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746E" w14:textId="77777777" w:rsidR="008E1397" w:rsidRDefault="008E1397" w:rsidP="008E1397">
      <w:pPr>
        <w:pStyle w:val="Nzev"/>
      </w:pPr>
      <w:r>
        <w:t>Smlouva o zajištění online prodeje vstupenek</w:t>
      </w:r>
    </w:p>
    <w:p w14:paraId="276F947A" w14:textId="77777777" w:rsidR="008E1397" w:rsidRDefault="008E1397" w:rsidP="008E1397">
      <w:pPr>
        <w:pStyle w:val="Nzev"/>
      </w:pPr>
      <w:r>
        <w:t>a poskytování služeb č. CTEP1522025</w:t>
      </w:r>
    </w:p>
    <w:p w14:paraId="7E9FD11A" w14:textId="77777777" w:rsidR="008E1397" w:rsidRDefault="008E1397" w:rsidP="008E1397">
      <w:pPr>
        <w:pStyle w:val="Nzev"/>
        <w:rPr>
          <w:b w:val="0"/>
          <w:bCs/>
          <w:sz w:val="24"/>
          <w:szCs w:val="18"/>
        </w:rPr>
      </w:pPr>
      <w:r w:rsidRPr="00BB4066">
        <w:rPr>
          <w:b w:val="0"/>
          <w:bCs/>
          <w:sz w:val="24"/>
          <w:szCs w:val="18"/>
        </w:rPr>
        <w:t>(dále jen „</w:t>
      </w:r>
      <w:r w:rsidRPr="00BA5E64">
        <w:rPr>
          <w:i/>
          <w:iCs/>
          <w:sz w:val="24"/>
          <w:szCs w:val="18"/>
        </w:rPr>
        <w:t>Smlouva</w:t>
      </w:r>
      <w:r w:rsidRPr="00BB4066">
        <w:rPr>
          <w:b w:val="0"/>
          <w:bCs/>
          <w:sz w:val="24"/>
          <w:szCs w:val="18"/>
        </w:rPr>
        <w:t>“)</w:t>
      </w:r>
    </w:p>
    <w:p w14:paraId="5425C8E8" w14:textId="77777777" w:rsidR="008E1397" w:rsidRPr="00C87435" w:rsidRDefault="008E1397" w:rsidP="008E1397">
      <w:pPr>
        <w:pStyle w:val="Nzev"/>
      </w:pPr>
      <w:r w:rsidRPr="00C87435">
        <w:rPr>
          <w:sz w:val="24"/>
          <w:szCs w:val="18"/>
        </w:rPr>
        <w:t>Dodatek č. 1</w:t>
      </w:r>
    </w:p>
    <w:p w14:paraId="48994CDD" w14:textId="77777777" w:rsidR="008E1397" w:rsidRDefault="008E1397" w:rsidP="008E1397">
      <w:pPr>
        <w:pStyle w:val="Nzev"/>
        <w:jc w:val="left"/>
        <w:rPr>
          <w:szCs w:val="22"/>
        </w:rPr>
      </w:pPr>
    </w:p>
    <w:p w14:paraId="3C26994B" w14:textId="77777777" w:rsidR="008E1397" w:rsidRPr="00BF5FF1" w:rsidRDefault="008E1397" w:rsidP="008E1397">
      <w:pPr>
        <w:rPr>
          <w:b/>
          <w:sz w:val="22"/>
        </w:rPr>
      </w:pPr>
      <w:r>
        <w:rPr>
          <w:b/>
          <w:sz w:val="22"/>
        </w:rPr>
        <w:t>Česká filharmonie</w:t>
      </w:r>
    </w:p>
    <w:p w14:paraId="2FD3B860" w14:textId="77777777" w:rsidR="008E1397" w:rsidRDefault="008E1397" w:rsidP="008E1397">
      <w:pPr>
        <w:rPr>
          <w:noProof/>
          <w:sz w:val="22"/>
          <w:szCs w:val="22"/>
        </w:rPr>
      </w:pPr>
      <w:r w:rsidRPr="00007053">
        <w:rPr>
          <w:noProof/>
          <w:sz w:val="22"/>
          <w:szCs w:val="22"/>
        </w:rPr>
        <w:t xml:space="preserve">se sídlem </w:t>
      </w:r>
      <w:r w:rsidRPr="009C2440">
        <w:rPr>
          <w:noProof/>
          <w:sz w:val="22"/>
          <w:szCs w:val="22"/>
        </w:rPr>
        <w:t>Alšovo nábřeží 79/12, 110 00 PRAHA 1</w:t>
      </w:r>
    </w:p>
    <w:p w14:paraId="68550474" w14:textId="77777777" w:rsidR="008E1397" w:rsidRPr="00007053" w:rsidRDefault="008E1397" w:rsidP="008E1397">
      <w:pPr>
        <w:rPr>
          <w:noProof/>
          <w:sz w:val="22"/>
          <w:szCs w:val="22"/>
        </w:rPr>
      </w:pPr>
      <w:r w:rsidRPr="00007053">
        <w:rPr>
          <w:noProof/>
          <w:sz w:val="22"/>
          <w:szCs w:val="22"/>
        </w:rPr>
        <w:t xml:space="preserve">IČ: </w:t>
      </w:r>
      <w:r w:rsidRPr="009C2440">
        <w:rPr>
          <w:noProof/>
          <w:sz w:val="22"/>
          <w:szCs w:val="22"/>
        </w:rPr>
        <w:t>00023264</w:t>
      </w:r>
    </w:p>
    <w:p w14:paraId="2098BE38" w14:textId="77777777" w:rsidR="008E1397" w:rsidRPr="00007053" w:rsidRDefault="008E1397" w:rsidP="008E1397">
      <w:pPr>
        <w:rPr>
          <w:noProof/>
          <w:sz w:val="22"/>
          <w:szCs w:val="22"/>
        </w:rPr>
      </w:pPr>
      <w:r w:rsidRPr="00007053">
        <w:rPr>
          <w:noProof/>
          <w:sz w:val="22"/>
          <w:szCs w:val="22"/>
        </w:rPr>
        <w:t xml:space="preserve">DIČ: </w:t>
      </w:r>
      <w:r w:rsidRPr="009C2440">
        <w:rPr>
          <w:noProof/>
          <w:sz w:val="22"/>
          <w:szCs w:val="22"/>
        </w:rPr>
        <w:t>CZ00023264</w:t>
      </w:r>
    </w:p>
    <w:p w14:paraId="1EC62949" w14:textId="77777777" w:rsidR="008E1397" w:rsidRPr="009C2440" w:rsidRDefault="008E1397" w:rsidP="008E1397">
      <w:pPr>
        <w:rPr>
          <w:noProof/>
          <w:sz w:val="22"/>
          <w:szCs w:val="22"/>
        </w:rPr>
      </w:pPr>
      <w:r w:rsidRPr="00007053">
        <w:rPr>
          <w:noProof/>
          <w:sz w:val="22"/>
          <w:szCs w:val="22"/>
        </w:rPr>
        <w:t xml:space="preserve">zastoupená: </w:t>
      </w:r>
      <w:r w:rsidRPr="009C2440">
        <w:rPr>
          <w:noProof/>
          <w:sz w:val="22"/>
          <w:szCs w:val="22"/>
        </w:rPr>
        <w:t>Davidem Marečkem, generálním ředitelem</w:t>
      </w:r>
    </w:p>
    <w:p w14:paraId="332A9F2D" w14:textId="77777777" w:rsidR="008E1397" w:rsidRPr="009C2440" w:rsidRDefault="008E1397" w:rsidP="008E1397">
      <w:pPr>
        <w:rPr>
          <w:noProof/>
          <w:sz w:val="22"/>
          <w:szCs w:val="22"/>
        </w:rPr>
      </w:pPr>
      <w:r w:rsidRPr="009C2440">
        <w:rPr>
          <w:noProof/>
          <w:sz w:val="22"/>
          <w:szCs w:val="22"/>
        </w:rPr>
        <w:t xml:space="preserve">odpovědná osoba ve věcech smluvních: </w:t>
      </w:r>
      <w:r>
        <w:rPr>
          <w:noProof/>
          <w:sz w:val="22"/>
          <w:szCs w:val="22"/>
        </w:rPr>
        <w:t>XXX</w:t>
      </w:r>
    </w:p>
    <w:p w14:paraId="05294A08" w14:textId="77777777" w:rsidR="008E1397" w:rsidRPr="002D5FC1" w:rsidRDefault="008E1397" w:rsidP="008E1397">
      <w:pPr>
        <w:rPr>
          <w:b/>
          <w:sz w:val="22"/>
          <w:szCs w:val="22"/>
        </w:rPr>
      </w:pPr>
      <w:r w:rsidRPr="009C2440">
        <w:rPr>
          <w:noProof/>
          <w:sz w:val="22"/>
          <w:szCs w:val="22"/>
          <w:lang w:val="en-GB"/>
        </w:rPr>
        <w:t>Bankovní spojení: Českánárodní banka, číslo účtu 12934011/0710</w:t>
      </w:r>
    </w:p>
    <w:p w14:paraId="1C09CFBA" w14:textId="77777777" w:rsidR="008E1397" w:rsidRPr="00E34FEC" w:rsidRDefault="008E1397" w:rsidP="008E1397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Pořadatel</w:t>
      </w:r>
      <w:r>
        <w:rPr>
          <w:sz w:val="22"/>
          <w:szCs w:val="22"/>
        </w:rPr>
        <w:t>“)</w:t>
      </w:r>
    </w:p>
    <w:p w14:paraId="3F72DC9A" w14:textId="77777777" w:rsidR="008E1397" w:rsidRDefault="008E1397" w:rsidP="008E1397">
      <w:pPr>
        <w:jc w:val="both"/>
        <w:rPr>
          <w:sz w:val="22"/>
        </w:rPr>
      </w:pPr>
    </w:p>
    <w:p w14:paraId="3485C51B" w14:textId="77777777" w:rsidR="008E1397" w:rsidRDefault="008E1397" w:rsidP="008E1397">
      <w:pPr>
        <w:jc w:val="both"/>
        <w:rPr>
          <w:sz w:val="22"/>
        </w:rPr>
      </w:pPr>
      <w:r>
        <w:rPr>
          <w:sz w:val="22"/>
        </w:rPr>
        <w:t>a</w:t>
      </w:r>
    </w:p>
    <w:p w14:paraId="0AE76964" w14:textId="77777777" w:rsidR="008E1397" w:rsidRDefault="008E1397" w:rsidP="008E1397">
      <w:pPr>
        <w:jc w:val="both"/>
        <w:rPr>
          <w:sz w:val="22"/>
        </w:rPr>
      </w:pPr>
    </w:p>
    <w:p w14:paraId="6AC2C6DD" w14:textId="77777777" w:rsidR="008E1397" w:rsidRDefault="008E1397" w:rsidP="008E1397">
      <w:pPr>
        <w:widowControl w:val="0"/>
        <w:rPr>
          <w:b/>
          <w:sz w:val="22"/>
        </w:rPr>
      </w:pPr>
      <w:proofErr w:type="spellStart"/>
      <w:r>
        <w:rPr>
          <w:b/>
          <w:sz w:val="22"/>
        </w:rPr>
        <w:t>Perfect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System</w:t>
      </w:r>
      <w:proofErr w:type="spellEnd"/>
      <w:r>
        <w:rPr>
          <w:b/>
          <w:sz w:val="22"/>
        </w:rPr>
        <w:t>, s.r.o.</w:t>
      </w:r>
    </w:p>
    <w:p w14:paraId="4D540C90" w14:textId="77777777" w:rsidR="008E1397" w:rsidRDefault="008E1397" w:rsidP="008E1397">
      <w:pPr>
        <w:widowControl w:val="0"/>
        <w:jc w:val="both"/>
        <w:rPr>
          <w:sz w:val="22"/>
        </w:rPr>
      </w:pPr>
      <w:r>
        <w:rPr>
          <w:sz w:val="22"/>
        </w:rPr>
        <w:t>se sídlem Radlická 3301/68, 150 00 Praha 5</w:t>
      </w:r>
    </w:p>
    <w:p w14:paraId="2C72C8F4" w14:textId="77777777" w:rsidR="008E1397" w:rsidRDefault="008E1397" w:rsidP="008E1397">
      <w:pPr>
        <w:widowControl w:val="0"/>
        <w:jc w:val="both"/>
        <w:rPr>
          <w:sz w:val="22"/>
        </w:rPr>
      </w:pPr>
      <w:r>
        <w:rPr>
          <w:sz w:val="22"/>
        </w:rPr>
        <w:t>zápis v OR: Městský soud v Praze, oddíl C, vložka č. 84989</w:t>
      </w:r>
    </w:p>
    <w:p w14:paraId="4A940DE9" w14:textId="77777777" w:rsidR="008E1397" w:rsidRDefault="008E1397" w:rsidP="008E1397">
      <w:pPr>
        <w:widowControl w:val="0"/>
        <w:jc w:val="both"/>
        <w:rPr>
          <w:sz w:val="22"/>
        </w:rPr>
      </w:pPr>
      <w:r>
        <w:rPr>
          <w:sz w:val="22"/>
        </w:rPr>
        <w:t>zastoupená Ing. Petrem Novotným, jednatelem</w:t>
      </w:r>
    </w:p>
    <w:p w14:paraId="2CE6723F" w14:textId="77777777" w:rsidR="008E1397" w:rsidRDefault="008E1397" w:rsidP="008E1397">
      <w:pPr>
        <w:widowControl w:val="0"/>
        <w:jc w:val="both"/>
        <w:rPr>
          <w:sz w:val="22"/>
        </w:rPr>
      </w:pPr>
      <w:r>
        <w:rPr>
          <w:sz w:val="22"/>
        </w:rPr>
        <w:t>IČ: 26480981</w:t>
      </w:r>
    </w:p>
    <w:p w14:paraId="1FB9A31F" w14:textId="77777777" w:rsidR="008E1397" w:rsidRDefault="008E1397" w:rsidP="008E1397">
      <w:pPr>
        <w:widowControl w:val="0"/>
        <w:jc w:val="both"/>
        <w:rPr>
          <w:sz w:val="22"/>
        </w:rPr>
      </w:pPr>
      <w:r>
        <w:rPr>
          <w:sz w:val="22"/>
        </w:rPr>
        <w:t>DIČ: CZ26480981</w:t>
      </w:r>
    </w:p>
    <w:p w14:paraId="2FB393A3" w14:textId="77777777" w:rsidR="008E1397" w:rsidRDefault="008E1397" w:rsidP="008E1397">
      <w:pPr>
        <w:widowControl w:val="0"/>
        <w:jc w:val="both"/>
        <w:rPr>
          <w:sz w:val="22"/>
        </w:rPr>
      </w:pPr>
      <w:r>
        <w:rPr>
          <w:sz w:val="22"/>
        </w:rPr>
        <w:t xml:space="preserve">Bankovní spojení: ČS Praha, </w:t>
      </w:r>
      <w:proofErr w:type="spellStart"/>
      <w:r>
        <w:rPr>
          <w:sz w:val="22"/>
        </w:rPr>
        <w:t>č.ú</w:t>
      </w:r>
      <w:proofErr w:type="spellEnd"/>
      <w:r>
        <w:rPr>
          <w:sz w:val="22"/>
        </w:rPr>
        <w:t xml:space="preserve">. </w:t>
      </w:r>
      <w:r>
        <w:rPr>
          <w:bCs/>
          <w:color w:val="000000"/>
          <w:sz w:val="22"/>
          <w:szCs w:val="22"/>
        </w:rPr>
        <w:t>6844482/0800</w:t>
      </w:r>
    </w:p>
    <w:p w14:paraId="1733909C" w14:textId="77777777" w:rsidR="008E1397" w:rsidRPr="00BD03B4" w:rsidRDefault="008E1397" w:rsidP="008E1397">
      <w:pPr>
        <w:tabs>
          <w:tab w:val="left" w:pos="851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BD03B4">
        <w:rPr>
          <w:sz w:val="22"/>
          <w:szCs w:val="22"/>
        </w:rPr>
        <w:t>„</w:t>
      </w:r>
      <w:r>
        <w:rPr>
          <w:b/>
          <w:bCs/>
          <w:i/>
          <w:iCs/>
          <w:sz w:val="22"/>
          <w:szCs w:val="22"/>
        </w:rPr>
        <w:t>PS</w:t>
      </w:r>
      <w:r w:rsidRPr="00BD03B4">
        <w:rPr>
          <w:sz w:val="22"/>
          <w:szCs w:val="22"/>
        </w:rPr>
        <w:t>“)</w:t>
      </w:r>
    </w:p>
    <w:p w14:paraId="303F7396" w14:textId="77777777" w:rsidR="008E1397" w:rsidRDefault="008E1397" w:rsidP="008E1397">
      <w:pPr>
        <w:widowControl w:val="0"/>
        <w:jc w:val="both"/>
        <w:rPr>
          <w:sz w:val="22"/>
        </w:rPr>
      </w:pPr>
    </w:p>
    <w:p w14:paraId="0D41FCD7" w14:textId="77777777" w:rsidR="008E1397" w:rsidRDefault="008E1397" w:rsidP="008E1397">
      <w:pPr>
        <w:widowControl w:val="0"/>
        <w:jc w:val="both"/>
        <w:rPr>
          <w:sz w:val="22"/>
        </w:rPr>
      </w:pPr>
      <w:r w:rsidRPr="009E6517">
        <w:rPr>
          <w:b/>
          <w:sz w:val="22"/>
          <w:szCs w:val="22"/>
        </w:rPr>
        <w:t xml:space="preserve">uzavírají </w:t>
      </w:r>
      <w:r>
        <w:rPr>
          <w:b/>
          <w:sz w:val="22"/>
          <w:szCs w:val="22"/>
        </w:rPr>
        <w:t>tento Dodatek číslo1 ke</w:t>
      </w:r>
      <w:r w:rsidRPr="009E651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 w:rsidRPr="009E6517">
        <w:rPr>
          <w:b/>
          <w:sz w:val="22"/>
          <w:szCs w:val="22"/>
        </w:rPr>
        <w:t>mlouv</w:t>
      </w:r>
      <w:r>
        <w:rPr>
          <w:b/>
          <w:sz w:val="22"/>
          <w:szCs w:val="22"/>
        </w:rPr>
        <w:t xml:space="preserve">ě </w:t>
      </w:r>
      <w:r w:rsidRPr="00C87435">
        <w:rPr>
          <w:b/>
          <w:sz w:val="22"/>
          <w:szCs w:val="22"/>
        </w:rPr>
        <w:t>o zajištění online prodeje vstupenek</w:t>
      </w:r>
      <w:r>
        <w:rPr>
          <w:b/>
          <w:sz w:val="22"/>
          <w:szCs w:val="22"/>
        </w:rPr>
        <w:t xml:space="preserve"> </w:t>
      </w:r>
      <w:r w:rsidRPr="00C87435">
        <w:rPr>
          <w:b/>
          <w:sz w:val="22"/>
          <w:szCs w:val="22"/>
        </w:rPr>
        <w:t>a poskytování služeb č. CTEP1522025</w:t>
      </w:r>
      <w:r w:rsidRPr="009E6517">
        <w:rPr>
          <w:b/>
          <w:sz w:val="22"/>
          <w:szCs w:val="22"/>
        </w:rPr>
        <w:t xml:space="preserve"> </w:t>
      </w:r>
      <w:r w:rsidRPr="001F2362">
        <w:rPr>
          <w:sz w:val="22"/>
        </w:rPr>
        <w:t xml:space="preserve">v souladu </w:t>
      </w:r>
      <w:r w:rsidRPr="0035368C">
        <w:rPr>
          <w:sz w:val="22"/>
          <w:szCs w:val="22"/>
        </w:rPr>
        <w:t xml:space="preserve">s § </w:t>
      </w:r>
      <w:r>
        <w:rPr>
          <w:sz w:val="22"/>
          <w:szCs w:val="22"/>
        </w:rPr>
        <w:t xml:space="preserve">1746 odst. 2, § 2402, § 2430 a násl. </w:t>
      </w:r>
      <w:r w:rsidRPr="0035368C">
        <w:rPr>
          <w:sz w:val="22"/>
          <w:szCs w:val="22"/>
        </w:rPr>
        <w:t>zákona č. 89/2012 Sb., občansk</w:t>
      </w:r>
      <w:r>
        <w:rPr>
          <w:sz w:val="22"/>
          <w:szCs w:val="22"/>
        </w:rPr>
        <w:t>ý</w:t>
      </w:r>
      <w:r w:rsidRPr="0035368C">
        <w:rPr>
          <w:sz w:val="22"/>
          <w:szCs w:val="22"/>
        </w:rPr>
        <w:t xml:space="preserve"> zákoník,</w:t>
      </w:r>
      <w:r w:rsidRPr="0035368C">
        <w:rPr>
          <w:sz w:val="22"/>
        </w:rPr>
        <w:t xml:space="preserve"> v platném znění</w:t>
      </w:r>
      <w:r>
        <w:rPr>
          <w:sz w:val="22"/>
        </w:rPr>
        <w:t xml:space="preserve"> (dále jen Smlouva).</w:t>
      </w:r>
    </w:p>
    <w:p w14:paraId="378D7230" w14:textId="77777777" w:rsidR="008E1397" w:rsidRDefault="008E1397" w:rsidP="008E1397">
      <w:pPr>
        <w:widowControl w:val="0"/>
        <w:jc w:val="both"/>
        <w:rPr>
          <w:sz w:val="22"/>
        </w:rPr>
      </w:pPr>
    </w:p>
    <w:p w14:paraId="48626A1D" w14:textId="77777777" w:rsidR="008E1397" w:rsidRDefault="008E1397" w:rsidP="008E1397">
      <w:pPr>
        <w:numPr>
          <w:ilvl w:val="0"/>
          <w:numId w:val="2"/>
        </w:numPr>
        <w:tabs>
          <w:tab w:val="clear" w:pos="360"/>
          <w:tab w:val="num" w:pos="42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Účel dodatku</w:t>
      </w:r>
    </w:p>
    <w:p w14:paraId="028DA9BD" w14:textId="77777777" w:rsidR="008E1397" w:rsidRPr="005C31AA" w:rsidRDefault="008E1397" w:rsidP="008E1397">
      <w:pPr>
        <w:ind w:left="360"/>
        <w:jc w:val="both"/>
        <w:rPr>
          <w:b/>
          <w:sz w:val="24"/>
          <w:szCs w:val="24"/>
        </w:rPr>
      </w:pPr>
    </w:p>
    <w:p w14:paraId="0FB56AEA" w14:textId="77777777" w:rsidR="008E1397" w:rsidRPr="009D6091" w:rsidRDefault="008E1397" w:rsidP="008E1397">
      <w:pPr>
        <w:pStyle w:val="Zkladntext"/>
        <w:numPr>
          <w:ilvl w:val="0"/>
          <w:numId w:val="1"/>
        </w:numPr>
        <w:tabs>
          <w:tab w:val="left" w:pos="426"/>
        </w:tabs>
        <w:ind w:right="-567"/>
        <w:rPr>
          <w:sz w:val="22"/>
        </w:rPr>
      </w:pPr>
      <w:r w:rsidRPr="00C87435">
        <w:rPr>
          <w:sz w:val="22"/>
        </w:rPr>
        <w:t xml:space="preserve">Tento dodatek se uzavírá z důvodu splnění </w:t>
      </w:r>
      <w:r>
        <w:rPr>
          <w:sz w:val="22"/>
        </w:rPr>
        <w:t xml:space="preserve">legislativních </w:t>
      </w:r>
      <w:r w:rsidRPr="00C87435">
        <w:rPr>
          <w:sz w:val="22"/>
        </w:rPr>
        <w:t>povinnost</w:t>
      </w:r>
      <w:r>
        <w:rPr>
          <w:sz w:val="22"/>
        </w:rPr>
        <w:t>í</w:t>
      </w:r>
      <w:r w:rsidRPr="00C87435">
        <w:rPr>
          <w:sz w:val="22"/>
        </w:rPr>
        <w:t xml:space="preserve"> Pořadatele dle</w:t>
      </w:r>
      <w:r>
        <w:rPr>
          <w:sz w:val="22"/>
        </w:rPr>
        <w:t xml:space="preserve"> </w:t>
      </w:r>
      <w:r w:rsidRPr="00C87435">
        <w:rPr>
          <w:sz w:val="22"/>
        </w:rPr>
        <w:t>zákon</w:t>
      </w:r>
      <w:r>
        <w:rPr>
          <w:sz w:val="22"/>
        </w:rPr>
        <w:t xml:space="preserve">ů vztahujících se na </w:t>
      </w:r>
      <w:r w:rsidRPr="00E20A14">
        <w:rPr>
          <w:sz w:val="22"/>
        </w:rPr>
        <w:t>státní příspěvkov</w:t>
      </w:r>
      <w:r>
        <w:rPr>
          <w:sz w:val="22"/>
        </w:rPr>
        <w:t>é</w:t>
      </w:r>
      <w:r w:rsidRPr="00E20A14">
        <w:rPr>
          <w:sz w:val="22"/>
        </w:rPr>
        <w:t xml:space="preserve"> </w:t>
      </w:r>
      <w:proofErr w:type="gramStart"/>
      <w:r w:rsidRPr="00E20A14">
        <w:rPr>
          <w:sz w:val="22"/>
        </w:rPr>
        <w:t>organizace</w:t>
      </w:r>
      <w:r>
        <w:rPr>
          <w:sz w:val="22"/>
        </w:rPr>
        <w:t xml:space="preserve"> </w:t>
      </w:r>
      <w:r w:rsidRPr="00C87435">
        <w:rPr>
          <w:sz w:val="22"/>
        </w:rPr>
        <w:t xml:space="preserve"> ,</w:t>
      </w:r>
      <w:proofErr w:type="gramEnd"/>
      <w:r w:rsidRPr="00C87435">
        <w:rPr>
          <w:sz w:val="22"/>
        </w:rPr>
        <w:t xml:space="preserve"> kdy je nutné ve Smlouvě výslovně stanovit maximální výši plnění, kterou nepřesáhne celkové plnění poskytované na základě Smlouvy v období její účinnosti.</w:t>
      </w:r>
    </w:p>
    <w:p w14:paraId="3DD34FC7" w14:textId="77777777" w:rsidR="008E1397" w:rsidRDefault="008E1397" w:rsidP="008E1397">
      <w:pPr>
        <w:pStyle w:val="Zkladntext"/>
        <w:tabs>
          <w:tab w:val="left" w:pos="426"/>
        </w:tabs>
        <w:ind w:left="360" w:right="-567"/>
        <w:rPr>
          <w:sz w:val="22"/>
        </w:rPr>
      </w:pPr>
    </w:p>
    <w:p w14:paraId="6EA85BAF" w14:textId="77777777" w:rsidR="008E1397" w:rsidRPr="004841E7" w:rsidRDefault="008E1397" w:rsidP="008E1397">
      <w:pPr>
        <w:numPr>
          <w:ilvl w:val="0"/>
          <w:numId w:val="2"/>
        </w:num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Stanovení limitu plnění</w:t>
      </w:r>
    </w:p>
    <w:p w14:paraId="4BD232F9" w14:textId="77777777" w:rsidR="008E1397" w:rsidRDefault="008E1397" w:rsidP="008E1397">
      <w:pPr>
        <w:ind w:left="360"/>
        <w:jc w:val="both"/>
        <w:rPr>
          <w:b/>
          <w:sz w:val="22"/>
        </w:rPr>
      </w:pPr>
    </w:p>
    <w:p w14:paraId="59FA5199" w14:textId="77777777" w:rsidR="008E1397" w:rsidRDefault="008E1397" w:rsidP="008E1397">
      <w:pPr>
        <w:pStyle w:val="Zkladntext"/>
        <w:numPr>
          <w:ilvl w:val="0"/>
          <w:numId w:val="3"/>
        </w:numPr>
        <w:tabs>
          <w:tab w:val="left" w:pos="426"/>
        </w:tabs>
        <w:rPr>
          <w:sz w:val="22"/>
        </w:rPr>
      </w:pPr>
      <w:r w:rsidRPr="00C87435">
        <w:rPr>
          <w:sz w:val="22"/>
        </w:rPr>
        <w:t>Smluvní strany se dohodly, že maximální výše plnění, které je Pořadatel povinen uhradit PS za poskytování služeb dle této Smlouvy, činí:</w:t>
      </w:r>
    </w:p>
    <w:p w14:paraId="73193DEF" w14:textId="77777777" w:rsidR="008E1397" w:rsidRPr="00C87435" w:rsidRDefault="008E1397" w:rsidP="008E1397">
      <w:pPr>
        <w:pStyle w:val="Zkladntext"/>
        <w:tabs>
          <w:tab w:val="left" w:pos="426"/>
        </w:tabs>
        <w:ind w:left="360"/>
        <w:rPr>
          <w:sz w:val="22"/>
        </w:rPr>
      </w:pPr>
    </w:p>
    <w:p w14:paraId="2A69F47C" w14:textId="77777777" w:rsidR="008E1397" w:rsidRPr="00C87435" w:rsidRDefault="008E1397" w:rsidP="008E1397">
      <w:pPr>
        <w:pStyle w:val="Zkladntext"/>
        <w:tabs>
          <w:tab w:val="left" w:pos="426"/>
        </w:tabs>
        <w:ind w:left="360"/>
        <w:rPr>
          <w:sz w:val="22"/>
        </w:rPr>
      </w:pPr>
      <w:r w:rsidRPr="00C87435">
        <w:rPr>
          <w:sz w:val="22"/>
        </w:rPr>
        <w:t>320 000 Kč bez DPH (slovy: tři sta dvacet tisíc korun českých).</w:t>
      </w:r>
    </w:p>
    <w:p w14:paraId="3DD4F9DC" w14:textId="77777777" w:rsidR="008E1397" w:rsidRDefault="008E1397" w:rsidP="008E1397">
      <w:pPr>
        <w:pStyle w:val="Zkladntext"/>
        <w:tabs>
          <w:tab w:val="left" w:pos="426"/>
        </w:tabs>
        <w:ind w:left="360"/>
        <w:rPr>
          <w:sz w:val="22"/>
        </w:rPr>
      </w:pPr>
    </w:p>
    <w:p w14:paraId="2E824B55" w14:textId="77777777" w:rsidR="008E1397" w:rsidRDefault="008E1397" w:rsidP="008E1397">
      <w:pPr>
        <w:pStyle w:val="Zkladntext"/>
        <w:numPr>
          <w:ilvl w:val="0"/>
          <w:numId w:val="3"/>
        </w:numPr>
        <w:tabs>
          <w:tab w:val="left" w:pos="426"/>
        </w:tabs>
        <w:rPr>
          <w:sz w:val="22"/>
        </w:rPr>
      </w:pPr>
      <w:r w:rsidRPr="00C87435">
        <w:rPr>
          <w:sz w:val="22"/>
        </w:rPr>
        <w:t>Uvedený limit plnění odpovídá předpokládané reálné výši odměny PS podle čl. 3 Smlouvy a Pořadatel se zavazuje tento limit nepřekročit.</w:t>
      </w:r>
    </w:p>
    <w:p w14:paraId="5790D09F" w14:textId="77777777" w:rsidR="008E1397" w:rsidRDefault="008E1397" w:rsidP="008E1397">
      <w:pPr>
        <w:pStyle w:val="Zkladntext"/>
        <w:tabs>
          <w:tab w:val="left" w:pos="426"/>
        </w:tabs>
        <w:rPr>
          <w:sz w:val="22"/>
        </w:rPr>
      </w:pPr>
    </w:p>
    <w:p w14:paraId="69A04E4F" w14:textId="77777777" w:rsidR="008E1397" w:rsidRPr="005B5604" w:rsidRDefault="008E1397" w:rsidP="008E1397">
      <w:pPr>
        <w:pStyle w:val="Zkladntext"/>
        <w:numPr>
          <w:ilvl w:val="0"/>
          <w:numId w:val="3"/>
        </w:numPr>
        <w:tabs>
          <w:tab w:val="left" w:pos="426"/>
        </w:tabs>
        <w:rPr>
          <w:sz w:val="22"/>
        </w:rPr>
      </w:pPr>
      <w:r w:rsidRPr="005B5604">
        <w:rPr>
          <w:sz w:val="22"/>
        </w:rPr>
        <w:t>Tato smlouva se uzavírá na dobu určitou do 31. 1.2028 a zároveň do doby, kdy bude dosažena maximální výše plnění podle odstavce 2.2</w:t>
      </w:r>
      <w:r>
        <w:rPr>
          <w:sz w:val="22"/>
        </w:rPr>
        <w:t xml:space="preserve">, </w:t>
      </w:r>
      <w:r w:rsidRPr="005B5604">
        <w:rPr>
          <w:sz w:val="22"/>
        </w:rPr>
        <w:t>podle toho, co nastane dříve.</w:t>
      </w:r>
    </w:p>
    <w:p w14:paraId="45E911C7" w14:textId="77777777" w:rsidR="008E1397" w:rsidRDefault="008E1397" w:rsidP="008E1397">
      <w:pPr>
        <w:pStyle w:val="Odstavecseseznamem"/>
        <w:jc w:val="both"/>
        <w:rPr>
          <w:sz w:val="22"/>
        </w:rPr>
      </w:pPr>
    </w:p>
    <w:p w14:paraId="195BDA69" w14:textId="77777777" w:rsidR="008E1397" w:rsidRDefault="008E1397" w:rsidP="008E1397">
      <w:pPr>
        <w:pStyle w:val="Zkladntext"/>
        <w:numPr>
          <w:ilvl w:val="0"/>
          <w:numId w:val="3"/>
        </w:numPr>
        <w:tabs>
          <w:tab w:val="left" w:pos="426"/>
        </w:tabs>
        <w:rPr>
          <w:sz w:val="22"/>
        </w:rPr>
      </w:pPr>
      <w:r w:rsidRPr="00C87435">
        <w:rPr>
          <w:sz w:val="22"/>
        </w:rPr>
        <w:t>Ostatní ujednání Smlouvy, zejména mechanismus výpočtu odměny dle čl. 3, zůstávají tímto nedotčena.</w:t>
      </w:r>
    </w:p>
    <w:p w14:paraId="73D69CD2" w14:textId="77777777" w:rsidR="008E1397" w:rsidRDefault="008E1397" w:rsidP="008E1397">
      <w:pPr>
        <w:pStyle w:val="Zkladntext"/>
        <w:tabs>
          <w:tab w:val="left" w:pos="426"/>
        </w:tabs>
        <w:ind w:left="360"/>
        <w:rPr>
          <w:sz w:val="22"/>
        </w:rPr>
      </w:pPr>
    </w:p>
    <w:p w14:paraId="0B4B2AB7" w14:textId="77777777" w:rsidR="008E1397" w:rsidRPr="00C87435" w:rsidRDefault="008E1397" w:rsidP="008E1397">
      <w:pPr>
        <w:numPr>
          <w:ilvl w:val="0"/>
          <w:numId w:val="2"/>
        </w:numPr>
        <w:jc w:val="both"/>
        <w:rPr>
          <w:b/>
          <w:sz w:val="24"/>
          <w:szCs w:val="22"/>
        </w:rPr>
      </w:pPr>
      <w:r w:rsidRPr="00C87435">
        <w:rPr>
          <w:b/>
          <w:sz w:val="24"/>
          <w:szCs w:val="22"/>
        </w:rPr>
        <w:t>Závěrečná ustanovení</w:t>
      </w:r>
    </w:p>
    <w:p w14:paraId="5DB25CDC" w14:textId="77777777" w:rsidR="008E1397" w:rsidRDefault="008E1397" w:rsidP="008E1397">
      <w:pPr>
        <w:pStyle w:val="Odstavecseseznamem"/>
        <w:ind w:left="360"/>
        <w:jc w:val="both"/>
        <w:rPr>
          <w:bCs/>
          <w:sz w:val="22"/>
        </w:rPr>
      </w:pPr>
      <w:bookmarkStart w:id="0" w:name="_Ref123647281"/>
    </w:p>
    <w:bookmarkEnd w:id="0"/>
    <w:p w14:paraId="1EA14E79" w14:textId="77777777" w:rsidR="008E1397" w:rsidRPr="00C87435" w:rsidRDefault="008E1397" w:rsidP="008E1397">
      <w:pPr>
        <w:pStyle w:val="Odstavecseseznamem"/>
        <w:numPr>
          <w:ilvl w:val="0"/>
          <w:numId w:val="4"/>
        </w:numPr>
        <w:jc w:val="both"/>
        <w:rPr>
          <w:bCs/>
          <w:sz w:val="22"/>
        </w:rPr>
      </w:pPr>
      <w:r w:rsidRPr="00C87435">
        <w:rPr>
          <w:bCs/>
          <w:sz w:val="22"/>
        </w:rPr>
        <w:lastRenderedPageBreak/>
        <w:t>Ostatní ustanovení Smlouvy zůstávají tímto dodatkem nedotčena a nadále v plném rozsahu platná a účinná.</w:t>
      </w:r>
    </w:p>
    <w:p w14:paraId="2D4C36AC" w14:textId="77777777" w:rsidR="008E1397" w:rsidRPr="00C87435" w:rsidRDefault="008E1397" w:rsidP="008E1397">
      <w:pPr>
        <w:pStyle w:val="Odstavecseseznamem"/>
        <w:ind w:left="360"/>
        <w:jc w:val="both"/>
        <w:rPr>
          <w:bCs/>
          <w:sz w:val="22"/>
        </w:rPr>
      </w:pPr>
    </w:p>
    <w:p w14:paraId="5FDA3F98" w14:textId="77777777" w:rsidR="008E1397" w:rsidRPr="00C87435" w:rsidRDefault="008E1397" w:rsidP="008E1397">
      <w:pPr>
        <w:pStyle w:val="Odstavecseseznamem"/>
        <w:numPr>
          <w:ilvl w:val="0"/>
          <w:numId w:val="4"/>
        </w:numPr>
        <w:jc w:val="both"/>
        <w:rPr>
          <w:bCs/>
          <w:sz w:val="22"/>
        </w:rPr>
      </w:pPr>
      <w:r w:rsidRPr="005B45A6">
        <w:rPr>
          <w:bCs/>
          <w:sz w:val="22"/>
        </w:rPr>
        <w:t>T</w:t>
      </w:r>
      <w:r>
        <w:rPr>
          <w:bCs/>
          <w:sz w:val="22"/>
        </w:rPr>
        <w:t>e</w:t>
      </w:r>
      <w:r w:rsidRPr="005B45A6">
        <w:rPr>
          <w:bCs/>
          <w:sz w:val="22"/>
        </w:rPr>
        <w:t xml:space="preserve">to </w:t>
      </w:r>
      <w:r>
        <w:rPr>
          <w:bCs/>
          <w:sz w:val="22"/>
        </w:rPr>
        <w:t>dodatek</w:t>
      </w:r>
      <w:r w:rsidRPr="005B45A6">
        <w:rPr>
          <w:bCs/>
          <w:sz w:val="22"/>
        </w:rPr>
        <w:t xml:space="preserve"> nabývá platnosti uzavřením a účinnosti uveřejněním v registru smluv podle zákona č. 340/2015 Sb., ve znění pozdějších předpisů</w:t>
      </w:r>
      <w:r>
        <w:rPr>
          <w:bCs/>
          <w:sz w:val="22"/>
        </w:rPr>
        <w:t>. Dodatek bude uveřejněn spolu se Smlouvou a jejich u</w:t>
      </w:r>
      <w:r w:rsidRPr="005B45A6">
        <w:rPr>
          <w:bCs/>
          <w:sz w:val="22"/>
        </w:rPr>
        <w:t xml:space="preserve">veřejnění v registru smluv podle zákona č. 340/2015 Sb., ve znění pozdějších předpisů, zajistí </w:t>
      </w:r>
      <w:r>
        <w:rPr>
          <w:bCs/>
          <w:sz w:val="22"/>
        </w:rPr>
        <w:t>Pořadatel</w:t>
      </w:r>
      <w:r w:rsidRPr="005B45A6">
        <w:rPr>
          <w:bCs/>
          <w:sz w:val="22"/>
        </w:rPr>
        <w:t xml:space="preserve">. Smluvní strany konstatují, že </w:t>
      </w:r>
      <w:r>
        <w:rPr>
          <w:bCs/>
          <w:sz w:val="22"/>
        </w:rPr>
        <w:t>oba zveřejňované dokumenty</w:t>
      </w:r>
      <w:r w:rsidRPr="005B45A6">
        <w:rPr>
          <w:bCs/>
          <w:sz w:val="22"/>
        </w:rPr>
        <w:t xml:space="preserve"> neobsahuj</w:t>
      </w:r>
      <w:r>
        <w:rPr>
          <w:bCs/>
          <w:sz w:val="22"/>
        </w:rPr>
        <w:t xml:space="preserve">í </w:t>
      </w:r>
      <w:r w:rsidRPr="005B45A6">
        <w:rPr>
          <w:bCs/>
          <w:sz w:val="22"/>
        </w:rPr>
        <w:t>ujednání, která by neměla být uveřejněna v registru smluv podle zákona č. 340/2015 Sb., ve znění pozdějších předpisů. Smluvní strana, která poskytla v</w:t>
      </w:r>
      <w:r>
        <w:rPr>
          <w:bCs/>
          <w:sz w:val="22"/>
        </w:rPr>
        <w:t> těchto dokumentech</w:t>
      </w:r>
      <w:r w:rsidRPr="005B45A6">
        <w:rPr>
          <w:bCs/>
          <w:sz w:val="22"/>
        </w:rPr>
        <w:t xml:space="preserve"> nějaké osobní údaje, souhlasí s jejich uveřejněn</w:t>
      </w:r>
      <w:r>
        <w:rPr>
          <w:bCs/>
          <w:sz w:val="22"/>
        </w:rPr>
        <w:t>ím</w:t>
      </w:r>
      <w:r w:rsidRPr="005B45A6">
        <w:rPr>
          <w:bCs/>
          <w:sz w:val="22"/>
        </w:rPr>
        <w:t xml:space="preserve">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52C6A5A0" w14:textId="77777777" w:rsidR="008E1397" w:rsidRPr="00C87435" w:rsidRDefault="008E1397" w:rsidP="008E1397">
      <w:pPr>
        <w:pStyle w:val="Odstavecseseznamem"/>
        <w:ind w:left="360"/>
        <w:jc w:val="both"/>
        <w:rPr>
          <w:bCs/>
          <w:sz w:val="22"/>
        </w:rPr>
      </w:pPr>
    </w:p>
    <w:p w14:paraId="29CCCB2F" w14:textId="77777777" w:rsidR="008E1397" w:rsidRPr="00294E98" w:rsidRDefault="008E1397" w:rsidP="008E1397">
      <w:pPr>
        <w:pStyle w:val="Odstavecseseznamem"/>
        <w:numPr>
          <w:ilvl w:val="0"/>
          <w:numId w:val="4"/>
        </w:numPr>
        <w:jc w:val="both"/>
        <w:rPr>
          <w:bCs/>
          <w:sz w:val="22"/>
        </w:rPr>
      </w:pPr>
      <w:r w:rsidRPr="00C87435">
        <w:rPr>
          <w:bCs/>
          <w:sz w:val="22"/>
        </w:rPr>
        <w:t>Dodatek je vyhotoven ve dvou stejnopisech, z nichž každá smluvní strana obdrží po jednom.</w:t>
      </w:r>
    </w:p>
    <w:p w14:paraId="309B9EAB" w14:textId="77777777" w:rsidR="008E1397" w:rsidRDefault="008E1397" w:rsidP="008E1397">
      <w:pPr>
        <w:pStyle w:val="Odstavecseseznamem"/>
        <w:ind w:left="360"/>
        <w:jc w:val="both"/>
        <w:rPr>
          <w:bCs/>
          <w:sz w:val="22"/>
        </w:rPr>
      </w:pPr>
    </w:p>
    <w:p w14:paraId="5D22E2BB" w14:textId="77777777" w:rsidR="008E1397" w:rsidRDefault="008E1397" w:rsidP="008E1397">
      <w:pPr>
        <w:pStyle w:val="Zkladntext"/>
        <w:tabs>
          <w:tab w:val="left" w:pos="426"/>
        </w:tabs>
        <w:rPr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8E1397" w14:paraId="5B7E3123" w14:textId="77777777" w:rsidTr="00D743C7">
        <w:trPr>
          <w:jc w:val="center"/>
        </w:trPr>
        <w:tc>
          <w:tcPr>
            <w:tcW w:w="4527" w:type="dxa"/>
          </w:tcPr>
          <w:p w14:paraId="1E610D42" w14:textId="77777777" w:rsidR="008E1397" w:rsidRDefault="008E1397" w:rsidP="00D743C7">
            <w:pPr>
              <w:pStyle w:val="Normln0"/>
              <w:spacing w:line="280" w:lineRule="atLeast"/>
              <w:jc w:val="center"/>
              <w:rPr>
                <w:rFonts w:ascii="Times New Roman" w:hAnsi="Times New Roman"/>
                <w:snapToGrid/>
                <w:lang w:eastAsia="cs-CZ"/>
              </w:rPr>
            </w:pPr>
            <w:r>
              <w:rPr>
                <w:rFonts w:ascii="Times New Roman" w:hAnsi="Times New Roman"/>
                <w:snapToGrid/>
                <w:lang w:eastAsia="cs-CZ"/>
              </w:rPr>
              <w:t xml:space="preserve">V Praze dne </w:t>
            </w:r>
          </w:p>
          <w:p w14:paraId="0C4650FB" w14:textId="77777777" w:rsidR="008E1397" w:rsidRDefault="008E1397" w:rsidP="00D743C7">
            <w:pPr>
              <w:jc w:val="center"/>
            </w:pPr>
          </w:p>
          <w:p w14:paraId="009D62E9" w14:textId="77777777" w:rsidR="008E1397" w:rsidRDefault="008E1397" w:rsidP="00D743C7">
            <w:pPr>
              <w:jc w:val="center"/>
            </w:pPr>
          </w:p>
          <w:p w14:paraId="30E84130" w14:textId="77777777" w:rsidR="008E1397" w:rsidRDefault="008E1397" w:rsidP="00D743C7">
            <w:pPr>
              <w:jc w:val="center"/>
            </w:pPr>
          </w:p>
          <w:p w14:paraId="59199F49" w14:textId="77777777" w:rsidR="008E1397" w:rsidRDefault="008E1397" w:rsidP="00D743C7">
            <w:pPr>
              <w:jc w:val="center"/>
            </w:pPr>
          </w:p>
        </w:tc>
        <w:tc>
          <w:tcPr>
            <w:tcW w:w="4527" w:type="dxa"/>
          </w:tcPr>
          <w:p w14:paraId="4700987C" w14:textId="77777777" w:rsidR="008E1397" w:rsidRDefault="008E1397" w:rsidP="00D743C7">
            <w:pPr>
              <w:pStyle w:val="Normln0"/>
              <w:spacing w:line="280" w:lineRule="atLeast"/>
              <w:jc w:val="center"/>
              <w:rPr>
                <w:rFonts w:ascii="Times New Roman" w:hAnsi="Times New Roman"/>
                <w:snapToGrid/>
                <w:lang w:eastAsia="cs-CZ"/>
              </w:rPr>
            </w:pPr>
            <w:r>
              <w:rPr>
                <w:rFonts w:ascii="Times New Roman" w:hAnsi="Times New Roman"/>
                <w:snapToGrid/>
                <w:lang w:eastAsia="cs-CZ"/>
              </w:rPr>
              <w:t xml:space="preserve">V Praze dne </w:t>
            </w:r>
          </w:p>
          <w:p w14:paraId="7CE6B0D9" w14:textId="77777777" w:rsidR="008E1397" w:rsidRDefault="008E1397" w:rsidP="00D743C7">
            <w:pPr>
              <w:jc w:val="center"/>
            </w:pPr>
          </w:p>
          <w:p w14:paraId="391B72F0" w14:textId="77777777" w:rsidR="008E1397" w:rsidRDefault="008E1397" w:rsidP="00D743C7">
            <w:pPr>
              <w:jc w:val="center"/>
            </w:pPr>
          </w:p>
          <w:p w14:paraId="6D152FA3" w14:textId="77777777" w:rsidR="008E1397" w:rsidRDefault="008E1397" w:rsidP="00D743C7">
            <w:pPr>
              <w:jc w:val="center"/>
            </w:pPr>
          </w:p>
          <w:p w14:paraId="60D160DF" w14:textId="77777777" w:rsidR="008E1397" w:rsidRDefault="008E1397" w:rsidP="00D743C7">
            <w:pPr>
              <w:jc w:val="center"/>
            </w:pPr>
          </w:p>
        </w:tc>
      </w:tr>
      <w:tr w:rsidR="008E1397" w:rsidRPr="00A52B74" w14:paraId="6A8B2AFA" w14:textId="77777777" w:rsidTr="00D743C7">
        <w:trPr>
          <w:jc w:val="center"/>
        </w:trPr>
        <w:tc>
          <w:tcPr>
            <w:tcW w:w="4527" w:type="dxa"/>
          </w:tcPr>
          <w:p w14:paraId="132FFBA9" w14:textId="77777777" w:rsidR="008E1397" w:rsidRPr="00A52B74" w:rsidRDefault="008E1397" w:rsidP="00D743C7">
            <w:pPr>
              <w:jc w:val="center"/>
            </w:pPr>
            <w:r w:rsidRPr="00A52B74">
              <w:t>.............................................</w:t>
            </w:r>
          </w:p>
          <w:p w14:paraId="32D6441C" w14:textId="77777777" w:rsidR="008E1397" w:rsidRPr="00A52B74" w:rsidRDefault="008E1397" w:rsidP="00D74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Mareček</w:t>
            </w:r>
          </w:p>
          <w:p w14:paraId="60FFA51C" w14:textId="77777777" w:rsidR="008E1397" w:rsidRPr="00D847BB" w:rsidRDefault="008E1397" w:rsidP="00D743C7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>generální ředitel</w:t>
            </w:r>
          </w:p>
          <w:p w14:paraId="4A6E1330" w14:textId="77777777" w:rsidR="008E1397" w:rsidRPr="00A52B74" w:rsidRDefault="008E1397" w:rsidP="00D743C7">
            <w:pPr>
              <w:jc w:val="center"/>
              <w:rPr>
                <w:b/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>Česká filharmonie</w:t>
            </w:r>
          </w:p>
        </w:tc>
        <w:tc>
          <w:tcPr>
            <w:tcW w:w="4527" w:type="dxa"/>
          </w:tcPr>
          <w:p w14:paraId="7BE3077A" w14:textId="77777777" w:rsidR="008E1397" w:rsidRPr="00A52B74" w:rsidRDefault="008E1397" w:rsidP="00D743C7">
            <w:pPr>
              <w:pStyle w:val="Zkladntext"/>
              <w:tabs>
                <w:tab w:val="left" w:pos="426"/>
              </w:tabs>
              <w:jc w:val="center"/>
              <w:rPr>
                <w:sz w:val="22"/>
              </w:rPr>
            </w:pPr>
            <w:r w:rsidRPr="00A52B74">
              <w:rPr>
                <w:sz w:val="22"/>
              </w:rPr>
              <w:t>.............................................</w:t>
            </w:r>
          </w:p>
          <w:p w14:paraId="4FA2DADD" w14:textId="77777777" w:rsidR="008E1397" w:rsidRPr="00A52B74" w:rsidRDefault="008E1397" w:rsidP="00D743C7">
            <w:pPr>
              <w:pStyle w:val="Zkladntext"/>
              <w:tabs>
                <w:tab w:val="left" w:pos="426"/>
              </w:tabs>
              <w:jc w:val="center"/>
              <w:rPr>
                <w:sz w:val="22"/>
              </w:rPr>
            </w:pPr>
            <w:r w:rsidRPr="00A52B74">
              <w:rPr>
                <w:sz w:val="22"/>
              </w:rPr>
              <w:t>Ing. Petr Novotný</w:t>
            </w:r>
          </w:p>
          <w:p w14:paraId="35B340C1" w14:textId="77777777" w:rsidR="008E1397" w:rsidRDefault="008E1397" w:rsidP="00D743C7">
            <w:pPr>
              <w:pStyle w:val="Zkladntext"/>
              <w:tabs>
                <w:tab w:val="left" w:pos="426"/>
              </w:tabs>
              <w:jc w:val="center"/>
              <w:rPr>
                <w:sz w:val="22"/>
              </w:rPr>
            </w:pPr>
            <w:r w:rsidRPr="00A52B74">
              <w:rPr>
                <w:sz w:val="22"/>
              </w:rPr>
              <w:t>jednatel</w:t>
            </w:r>
          </w:p>
          <w:p w14:paraId="38C7F83E" w14:textId="77777777" w:rsidR="008E1397" w:rsidRPr="00A52B74" w:rsidRDefault="008E1397" w:rsidP="00D743C7">
            <w:pPr>
              <w:pStyle w:val="Zkladntext"/>
              <w:tabs>
                <w:tab w:val="left" w:pos="426"/>
              </w:tabs>
              <w:jc w:val="center"/>
              <w:rPr>
                <w:sz w:val="22"/>
              </w:rPr>
            </w:pPr>
            <w:proofErr w:type="spellStart"/>
            <w:r w:rsidRPr="00A52B74">
              <w:rPr>
                <w:sz w:val="22"/>
              </w:rPr>
              <w:t>Perfect</w:t>
            </w:r>
            <w:proofErr w:type="spellEnd"/>
            <w:r w:rsidRPr="00A52B74">
              <w:rPr>
                <w:sz w:val="22"/>
              </w:rPr>
              <w:t xml:space="preserve"> </w:t>
            </w:r>
            <w:proofErr w:type="spellStart"/>
            <w:r w:rsidRPr="00A52B74">
              <w:rPr>
                <w:sz w:val="22"/>
              </w:rPr>
              <w:t>System</w:t>
            </w:r>
            <w:proofErr w:type="spellEnd"/>
            <w:r w:rsidRPr="00A52B74">
              <w:rPr>
                <w:sz w:val="22"/>
              </w:rPr>
              <w:t>, s. r. o.</w:t>
            </w:r>
          </w:p>
        </w:tc>
      </w:tr>
      <w:tr w:rsidR="008E1397" w:rsidRPr="00A52B74" w14:paraId="518C6273" w14:textId="77777777" w:rsidTr="00D743C7">
        <w:trPr>
          <w:jc w:val="center"/>
        </w:trPr>
        <w:tc>
          <w:tcPr>
            <w:tcW w:w="4527" w:type="dxa"/>
          </w:tcPr>
          <w:p w14:paraId="77FCAB75" w14:textId="77777777" w:rsidR="008E1397" w:rsidRPr="00A52B74" w:rsidRDefault="008E1397" w:rsidP="00D743C7">
            <w:pPr>
              <w:jc w:val="center"/>
            </w:pPr>
          </w:p>
        </w:tc>
        <w:tc>
          <w:tcPr>
            <w:tcW w:w="4527" w:type="dxa"/>
          </w:tcPr>
          <w:p w14:paraId="334AA443" w14:textId="77777777" w:rsidR="008E1397" w:rsidRPr="00A52B74" w:rsidRDefault="008E1397" w:rsidP="00D743C7">
            <w:pPr>
              <w:pStyle w:val="Zkladntext"/>
              <w:tabs>
                <w:tab w:val="left" w:pos="426"/>
              </w:tabs>
              <w:jc w:val="center"/>
              <w:rPr>
                <w:sz w:val="22"/>
              </w:rPr>
            </w:pPr>
          </w:p>
        </w:tc>
      </w:tr>
    </w:tbl>
    <w:p w14:paraId="11A9B3E4" w14:textId="77777777" w:rsidR="008E1397" w:rsidRDefault="008E1397" w:rsidP="008E1397">
      <w:pPr>
        <w:widowControl w:val="0"/>
        <w:jc w:val="both"/>
      </w:pPr>
    </w:p>
    <w:p w14:paraId="3666EAB3" w14:textId="77777777" w:rsidR="008E1397" w:rsidRDefault="008E1397" w:rsidP="008E1397">
      <w:pPr>
        <w:widowControl w:val="0"/>
        <w:jc w:val="both"/>
      </w:pPr>
      <w:r w:rsidRPr="00F72048">
        <w:t xml:space="preserve">Za správnost zodpovídá </w:t>
      </w:r>
      <w:r>
        <w:t>XXX</w:t>
      </w:r>
    </w:p>
    <w:p w14:paraId="3BCA626B" w14:textId="77777777" w:rsidR="00951044" w:rsidRDefault="00951044"/>
    <w:sectPr w:rsidR="00951044" w:rsidSect="009E1486">
      <w:headerReference w:type="default" r:id="rId5"/>
      <w:footerReference w:type="default" r:id="rId6"/>
      <w:pgSz w:w="11906" w:h="16838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34B9" w14:textId="77777777" w:rsidR="00657678" w:rsidRDefault="008E1397" w:rsidP="0023173C">
    <w:pPr>
      <w:pStyle w:val="Zpat"/>
      <w:pBdr>
        <w:top w:val="single" w:sz="4" w:space="1" w:color="auto"/>
      </w:pBdr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Strana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(celkem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A9B3" w14:textId="77777777" w:rsidR="00657678" w:rsidRPr="00EC0286" w:rsidRDefault="008E1397" w:rsidP="00EC0286">
    <w:pPr>
      <w:widowControl w:val="0"/>
      <w:pBdr>
        <w:bottom w:val="single" w:sz="4" w:space="1" w:color="auto"/>
      </w:pBdr>
      <w:jc w:val="right"/>
      <w:rPr>
        <w:b/>
      </w:rPr>
    </w:pPr>
    <w:r>
      <w:t>Dodatek č. 1 ke s</w:t>
    </w:r>
    <w:r w:rsidRPr="00EC0286">
      <w:t>mlouv</w:t>
    </w:r>
    <w:r>
      <w:t>ě</w:t>
    </w:r>
    <w:r>
      <w:t xml:space="preserve"> č</w:t>
    </w:r>
    <w:r>
      <w:t xml:space="preserve">. </w:t>
    </w:r>
    <w:r>
      <w:t>CTEP</w:t>
    </w:r>
    <w:r>
      <w:t>1522025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F81"/>
    <w:multiLevelType w:val="hybridMultilevel"/>
    <w:tmpl w:val="79E83A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EA5478"/>
    <w:multiLevelType w:val="multilevel"/>
    <w:tmpl w:val="18D4C80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3C8C0F16"/>
    <w:multiLevelType w:val="multilevel"/>
    <w:tmpl w:val="CB760F0A"/>
    <w:lvl w:ilvl="0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CC55958"/>
    <w:multiLevelType w:val="multilevel"/>
    <w:tmpl w:val="F8928BF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97"/>
    <w:rsid w:val="008E1397"/>
    <w:rsid w:val="0095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6515"/>
  <w15:chartTrackingRefBased/>
  <w15:docId w15:val="{DCA9AEA8-0103-4529-B87B-BFFA8E9E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3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E1397"/>
    <w:pPr>
      <w:widowControl w:val="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8E1397"/>
    <w:rPr>
      <w:rFonts w:ascii="Times New Roman" w:eastAsia="Times New Roman" w:hAnsi="Times New Roman" w:cs="Times New Roman"/>
      <w:b/>
      <w:sz w:val="28"/>
      <w:szCs w:val="20"/>
    </w:rPr>
  </w:style>
  <w:style w:type="paragraph" w:styleId="Zkladntext">
    <w:name w:val="Body Text"/>
    <w:basedOn w:val="Normln"/>
    <w:link w:val="ZkladntextChar"/>
    <w:rsid w:val="008E139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E1397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rsid w:val="008E1397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patChar">
    <w:name w:val="Zápatí Char"/>
    <w:basedOn w:val="Standardnpsmoodstavce"/>
    <w:link w:val="Zpat"/>
    <w:rsid w:val="008E1397"/>
    <w:rPr>
      <w:rFonts w:ascii="Arial" w:eastAsia="Times New Roman" w:hAnsi="Arial" w:cs="Times New Roman"/>
      <w:sz w:val="20"/>
      <w:szCs w:val="20"/>
    </w:rPr>
  </w:style>
  <w:style w:type="paragraph" w:customStyle="1" w:styleId="Normln0">
    <w:name w:val="Norm‡ln’"/>
    <w:rsid w:val="008E1397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8E13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Německá Jitka</cp:lastModifiedBy>
  <cp:revision>1</cp:revision>
  <dcterms:created xsi:type="dcterms:W3CDTF">2025-12-17T13:04:00Z</dcterms:created>
  <dcterms:modified xsi:type="dcterms:W3CDTF">2025-12-17T13:05:00Z</dcterms:modified>
</cp:coreProperties>
</file>