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A807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2C3BDC1A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0F7796D5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79E2247E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39F020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361E14A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3B0BD8A3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5082AA00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3FC09219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59B1A997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0FC3DDE6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68248470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5BF9AC41" w14:textId="78F880C2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proofErr w:type="spellStart"/>
      <w:r w:rsidR="00685DEA">
        <w:rPr>
          <w:rFonts w:ascii="Tahoma" w:hAnsi="Tahoma" w:cs="Tahoma"/>
          <w:sz w:val="20"/>
          <w:szCs w:val="22"/>
        </w:rPr>
        <w:t>xxxx</w:t>
      </w:r>
      <w:proofErr w:type="spellEnd"/>
    </w:p>
    <w:p w14:paraId="14522537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2E6A5C2A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415E7F0A" w14:textId="77777777"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613C7CEB" w14:textId="7D64E103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E8142F">
        <w:rPr>
          <w:rFonts w:ascii="Tahoma" w:hAnsi="Tahoma" w:cs="Tahoma"/>
          <w:sz w:val="20"/>
          <w:szCs w:val="20"/>
        </w:rPr>
        <w:t>imedoo</w:t>
      </w:r>
      <w:proofErr w:type="spellEnd"/>
      <w:r w:rsidR="00E814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142F">
        <w:rPr>
          <w:rFonts w:ascii="Tahoma" w:hAnsi="Tahoma" w:cs="Tahoma"/>
          <w:sz w:val="20"/>
          <w:szCs w:val="20"/>
        </w:rPr>
        <w:t>distribution</w:t>
      </w:r>
      <w:proofErr w:type="spellEnd"/>
      <w:r w:rsidR="00E8142F">
        <w:rPr>
          <w:rFonts w:ascii="Tahoma" w:hAnsi="Tahoma" w:cs="Tahoma"/>
          <w:sz w:val="20"/>
          <w:szCs w:val="20"/>
        </w:rPr>
        <w:t>, s.r.o.</w:t>
      </w:r>
    </w:p>
    <w:p w14:paraId="68913EDA" w14:textId="0933C019" w:rsidR="008E52BF" w:rsidRPr="00E8142F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E8142F">
        <w:rPr>
          <w:rFonts w:ascii="Tahoma" w:hAnsi="Tahoma" w:cs="Tahoma"/>
          <w:sz w:val="20"/>
          <w:szCs w:val="22"/>
        </w:rPr>
        <w:t>se sídlem:</w:t>
      </w:r>
      <w:r w:rsidR="00E8142F" w:rsidRPr="00E8142F">
        <w:rPr>
          <w:rFonts w:ascii="Tahoma" w:hAnsi="Tahoma" w:cs="Tahoma"/>
          <w:sz w:val="20"/>
          <w:szCs w:val="22"/>
        </w:rPr>
        <w:tab/>
        <w:t>Mariánské náměstí 11, 739 91 Jablunkov</w:t>
      </w:r>
      <w:r w:rsidRPr="00E8142F">
        <w:rPr>
          <w:rFonts w:ascii="Tahoma" w:hAnsi="Tahoma" w:cs="Tahoma"/>
          <w:sz w:val="20"/>
          <w:szCs w:val="22"/>
        </w:rPr>
        <w:tab/>
      </w:r>
    </w:p>
    <w:p w14:paraId="27251839" w14:textId="1F66C4DD" w:rsidR="008E52BF" w:rsidRPr="00E8142F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E8142F">
        <w:rPr>
          <w:rFonts w:ascii="Tahoma" w:hAnsi="Tahoma" w:cs="Tahoma"/>
          <w:sz w:val="20"/>
          <w:szCs w:val="22"/>
        </w:rPr>
        <w:t>zastoupena</w:t>
      </w:r>
      <w:r w:rsidR="00676038" w:rsidRPr="00E8142F">
        <w:rPr>
          <w:rFonts w:ascii="Tahoma" w:hAnsi="Tahoma" w:cs="Tahoma"/>
          <w:sz w:val="20"/>
          <w:szCs w:val="22"/>
        </w:rPr>
        <w:t>:</w:t>
      </w:r>
      <w:r w:rsidR="00E8142F" w:rsidRPr="00E8142F">
        <w:rPr>
          <w:rFonts w:ascii="Tahoma" w:hAnsi="Tahoma" w:cs="Tahoma"/>
          <w:sz w:val="20"/>
          <w:szCs w:val="22"/>
        </w:rPr>
        <w:tab/>
        <w:t>Ing. Roman</w:t>
      </w:r>
      <w:r w:rsidR="00B61343">
        <w:rPr>
          <w:rFonts w:ascii="Tahoma" w:hAnsi="Tahoma" w:cs="Tahoma"/>
          <w:sz w:val="20"/>
          <w:szCs w:val="22"/>
        </w:rPr>
        <w:t>em</w:t>
      </w:r>
      <w:r w:rsidR="00E8142F" w:rsidRPr="00E8142F">
        <w:rPr>
          <w:rFonts w:ascii="Tahoma" w:hAnsi="Tahoma" w:cs="Tahoma"/>
          <w:sz w:val="20"/>
          <w:szCs w:val="22"/>
        </w:rPr>
        <w:t xml:space="preserve"> </w:t>
      </w:r>
      <w:proofErr w:type="spellStart"/>
      <w:r w:rsidR="00E8142F" w:rsidRPr="00E8142F">
        <w:rPr>
          <w:rFonts w:ascii="Tahoma" w:hAnsi="Tahoma" w:cs="Tahoma"/>
          <w:sz w:val="20"/>
          <w:szCs w:val="22"/>
        </w:rPr>
        <w:t>Kráľ</w:t>
      </w:r>
      <w:r w:rsidR="00B61343">
        <w:rPr>
          <w:rFonts w:ascii="Tahoma" w:hAnsi="Tahoma" w:cs="Tahoma"/>
          <w:sz w:val="20"/>
          <w:szCs w:val="22"/>
        </w:rPr>
        <w:t>em</w:t>
      </w:r>
      <w:proofErr w:type="spellEnd"/>
      <w:r w:rsidR="00E8142F" w:rsidRPr="00E8142F">
        <w:rPr>
          <w:rFonts w:ascii="Tahoma" w:hAnsi="Tahoma" w:cs="Tahoma"/>
          <w:sz w:val="20"/>
          <w:szCs w:val="22"/>
        </w:rPr>
        <w:t>, jednatel</w:t>
      </w:r>
      <w:r w:rsidR="00B61343">
        <w:rPr>
          <w:rFonts w:ascii="Tahoma" w:hAnsi="Tahoma" w:cs="Tahoma"/>
          <w:sz w:val="20"/>
          <w:szCs w:val="22"/>
        </w:rPr>
        <w:t>e</w:t>
      </w:r>
      <w:r w:rsidR="001E1A33">
        <w:rPr>
          <w:rFonts w:ascii="Tahoma" w:hAnsi="Tahoma" w:cs="Tahoma"/>
          <w:sz w:val="20"/>
          <w:szCs w:val="22"/>
        </w:rPr>
        <w:t>m</w:t>
      </w:r>
      <w:r w:rsidRPr="00E8142F">
        <w:rPr>
          <w:rFonts w:ascii="Tahoma" w:hAnsi="Tahoma" w:cs="Tahoma"/>
          <w:sz w:val="20"/>
          <w:szCs w:val="22"/>
        </w:rPr>
        <w:tab/>
      </w:r>
    </w:p>
    <w:p w14:paraId="551F132E" w14:textId="6839912F" w:rsidR="008E52BF" w:rsidRPr="00E8142F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E8142F">
        <w:rPr>
          <w:rFonts w:ascii="Tahoma" w:hAnsi="Tahoma" w:cs="Tahoma"/>
          <w:sz w:val="20"/>
          <w:szCs w:val="22"/>
        </w:rPr>
        <w:t>IČO:</w:t>
      </w:r>
      <w:r w:rsidRPr="00E8142F">
        <w:rPr>
          <w:rFonts w:ascii="Tahoma" w:hAnsi="Tahoma" w:cs="Tahoma"/>
          <w:sz w:val="20"/>
          <w:szCs w:val="22"/>
        </w:rPr>
        <w:tab/>
      </w:r>
      <w:r w:rsidRPr="00E8142F">
        <w:rPr>
          <w:rFonts w:ascii="Tahoma" w:hAnsi="Tahoma" w:cs="Tahoma"/>
          <w:sz w:val="20"/>
          <w:szCs w:val="22"/>
        </w:rPr>
        <w:tab/>
      </w:r>
      <w:r w:rsidR="00E8142F" w:rsidRPr="00E8142F">
        <w:rPr>
          <w:rFonts w:ascii="Tahoma" w:hAnsi="Tahoma" w:cs="Tahoma"/>
          <w:sz w:val="20"/>
          <w:szCs w:val="22"/>
        </w:rPr>
        <w:t>19944471</w:t>
      </w:r>
    </w:p>
    <w:p w14:paraId="242FA8B3" w14:textId="1DB74AFA" w:rsidR="008E52BF" w:rsidRPr="00E8142F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E8142F">
        <w:rPr>
          <w:rFonts w:ascii="Tahoma" w:hAnsi="Tahoma" w:cs="Tahoma"/>
          <w:sz w:val="20"/>
          <w:szCs w:val="22"/>
        </w:rPr>
        <w:t>DIČ:</w:t>
      </w:r>
      <w:r w:rsidRPr="00E8142F">
        <w:rPr>
          <w:rFonts w:ascii="Tahoma" w:hAnsi="Tahoma" w:cs="Tahoma"/>
          <w:sz w:val="20"/>
          <w:szCs w:val="22"/>
        </w:rPr>
        <w:tab/>
      </w:r>
      <w:r w:rsidRPr="00E8142F">
        <w:rPr>
          <w:rFonts w:ascii="Tahoma" w:hAnsi="Tahoma" w:cs="Tahoma"/>
          <w:sz w:val="20"/>
          <w:szCs w:val="22"/>
        </w:rPr>
        <w:tab/>
      </w:r>
      <w:r w:rsidR="00E8142F" w:rsidRPr="00E8142F">
        <w:rPr>
          <w:rFonts w:ascii="Tahoma" w:hAnsi="Tahoma" w:cs="Tahoma"/>
          <w:sz w:val="20"/>
          <w:szCs w:val="22"/>
        </w:rPr>
        <w:t>CZ19944471</w:t>
      </w:r>
    </w:p>
    <w:p w14:paraId="53679E76" w14:textId="7DC5095A" w:rsidR="008E52BF" w:rsidRPr="00E8142F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E8142F">
        <w:rPr>
          <w:rFonts w:ascii="Tahoma" w:hAnsi="Tahoma" w:cs="Tahoma"/>
          <w:sz w:val="20"/>
          <w:szCs w:val="22"/>
        </w:rPr>
        <w:t>bankovní spojení:</w:t>
      </w:r>
      <w:r w:rsidRPr="00E8142F">
        <w:rPr>
          <w:rFonts w:ascii="Tahoma" w:hAnsi="Tahoma" w:cs="Tahoma"/>
          <w:sz w:val="20"/>
          <w:szCs w:val="22"/>
        </w:rPr>
        <w:tab/>
      </w:r>
      <w:proofErr w:type="spellStart"/>
      <w:r w:rsidR="00E8142F" w:rsidRPr="00E8142F">
        <w:rPr>
          <w:rFonts w:ascii="Tahoma" w:hAnsi="Tahoma" w:cs="Tahoma"/>
          <w:sz w:val="20"/>
          <w:szCs w:val="22"/>
        </w:rPr>
        <w:t>fio</w:t>
      </w:r>
      <w:proofErr w:type="spellEnd"/>
      <w:r w:rsidR="00E8142F" w:rsidRPr="00E8142F">
        <w:rPr>
          <w:rFonts w:ascii="Tahoma" w:hAnsi="Tahoma" w:cs="Tahoma"/>
          <w:sz w:val="20"/>
          <w:szCs w:val="22"/>
        </w:rPr>
        <w:t xml:space="preserve"> banka</w:t>
      </w:r>
    </w:p>
    <w:p w14:paraId="493700FD" w14:textId="051D0364" w:rsidR="008E52BF" w:rsidRPr="00E8142F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E8142F">
        <w:rPr>
          <w:rFonts w:ascii="Tahoma" w:hAnsi="Tahoma" w:cs="Tahoma"/>
          <w:sz w:val="20"/>
          <w:szCs w:val="22"/>
        </w:rPr>
        <w:t>číslo účtu:</w:t>
      </w:r>
      <w:r w:rsidRPr="00E8142F">
        <w:rPr>
          <w:rFonts w:ascii="Tahoma" w:hAnsi="Tahoma" w:cs="Tahoma"/>
          <w:sz w:val="20"/>
          <w:szCs w:val="22"/>
        </w:rPr>
        <w:tab/>
      </w:r>
      <w:proofErr w:type="spellStart"/>
      <w:r w:rsidR="00685DEA">
        <w:rPr>
          <w:rFonts w:ascii="Tahoma" w:hAnsi="Tahoma" w:cs="Tahoma"/>
          <w:sz w:val="20"/>
          <w:szCs w:val="22"/>
        </w:rPr>
        <w:t>xxx</w:t>
      </w:r>
      <w:proofErr w:type="spellEnd"/>
    </w:p>
    <w:p w14:paraId="5E2DC7DE" w14:textId="2A36B8A0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E8142F">
        <w:rPr>
          <w:rFonts w:ascii="Tahoma" w:hAnsi="Tahoma" w:cs="Tahoma"/>
          <w:sz w:val="20"/>
          <w:szCs w:val="22"/>
        </w:rPr>
        <w:t xml:space="preserve">Zapsána v obchodním rejstříku vedeném </w:t>
      </w:r>
      <w:r w:rsidR="00E8142F" w:rsidRPr="00E8142F">
        <w:rPr>
          <w:rFonts w:ascii="Tahoma" w:hAnsi="Tahoma" w:cs="Tahoma"/>
          <w:iCs/>
          <w:sz w:val="20"/>
          <w:szCs w:val="20"/>
        </w:rPr>
        <w:t>Krajským</w:t>
      </w:r>
      <w:r w:rsidRPr="00E8142F">
        <w:rPr>
          <w:rFonts w:ascii="Tahoma" w:hAnsi="Tahoma" w:cs="Tahoma"/>
          <w:iCs/>
          <w:sz w:val="20"/>
          <w:szCs w:val="20"/>
        </w:rPr>
        <w:t xml:space="preserve"> soud</w:t>
      </w:r>
      <w:r w:rsidR="00E8142F" w:rsidRPr="00E8142F">
        <w:rPr>
          <w:rFonts w:ascii="Tahoma" w:hAnsi="Tahoma" w:cs="Tahoma"/>
          <w:iCs/>
          <w:sz w:val="20"/>
          <w:szCs w:val="20"/>
        </w:rPr>
        <w:t>em</w:t>
      </w:r>
      <w:r w:rsidRPr="00E8142F">
        <w:rPr>
          <w:rFonts w:ascii="Tahoma" w:hAnsi="Tahoma" w:cs="Tahoma"/>
          <w:iCs/>
          <w:sz w:val="20"/>
          <w:szCs w:val="20"/>
        </w:rPr>
        <w:t xml:space="preserve"> v</w:t>
      </w:r>
      <w:r w:rsidR="00E8142F" w:rsidRPr="00E8142F">
        <w:rPr>
          <w:rFonts w:ascii="Tahoma" w:hAnsi="Tahoma" w:cs="Tahoma"/>
          <w:iCs/>
          <w:sz w:val="20"/>
          <w:szCs w:val="20"/>
        </w:rPr>
        <w:t> Ostravě,</w:t>
      </w:r>
      <w:r w:rsidRPr="00E8142F">
        <w:rPr>
          <w:rFonts w:ascii="Tahoma" w:hAnsi="Tahoma" w:cs="Tahoma"/>
          <w:iCs/>
          <w:sz w:val="20"/>
          <w:szCs w:val="20"/>
        </w:rPr>
        <w:t xml:space="preserve"> oddíl </w:t>
      </w:r>
      <w:r w:rsidR="00E8142F" w:rsidRPr="00E8142F">
        <w:rPr>
          <w:rFonts w:ascii="Tahoma" w:hAnsi="Tahoma" w:cs="Tahoma"/>
          <w:iCs/>
          <w:sz w:val="20"/>
          <w:szCs w:val="20"/>
        </w:rPr>
        <w:t>C,</w:t>
      </w:r>
      <w:r w:rsidRPr="00E8142F">
        <w:rPr>
          <w:rFonts w:ascii="Tahoma" w:hAnsi="Tahoma" w:cs="Tahoma"/>
          <w:iCs/>
          <w:sz w:val="20"/>
          <w:szCs w:val="20"/>
        </w:rPr>
        <w:t xml:space="preserve"> vložka </w:t>
      </w:r>
      <w:r w:rsidR="00E8142F" w:rsidRPr="00E8142F">
        <w:rPr>
          <w:rFonts w:ascii="Tahoma" w:hAnsi="Tahoma" w:cs="Tahoma"/>
          <w:iCs/>
          <w:sz w:val="20"/>
          <w:szCs w:val="20"/>
        </w:rPr>
        <w:t>94323</w:t>
      </w:r>
    </w:p>
    <w:p w14:paraId="1D598750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0EA8BE9D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AA54980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3201A3BE" w14:textId="77777777" w:rsidR="0046140A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3F38DC3" w14:textId="77777777" w:rsidR="002F3972" w:rsidRPr="002E01D8" w:rsidRDefault="002F3972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922E3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500476B5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64ADF76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16B8651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650C79BC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2AA716DC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6724CF89" w14:textId="77777777" w:rsidR="002F3972" w:rsidRDefault="002F3972">
      <w:pPr>
        <w:widowControl/>
        <w:suppressAutoHyphens w:val="0"/>
        <w:spacing w:after="20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0A3A9DE7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14:paraId="05C86650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409B1C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2F6DBCB" w14:textId="49F430E9" w:rsidR="002F3972" w:rsidRPr="002F3972" w:rsidRDefault="00AC45F4" w:rsidP="004E2774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5B15E1">
        <w:rPr>
          <w:rFonts w:ascii="Tahoma" w:hAnsi="Tahoma" w:cs="Tahoma"/>
          <w:b/>
          <w:sz w:val="20"/>
          <w:szCs w:val="20"/>
        </w:rPr>
        <w:t>„</w:t>
      </w:r>
      <w:r w:rsidR="00207A18" w:rsidRPr="005B15E1">
        <w:rPr>
          <w:rFonts w:ascii="Tahoma" w:hAnsi="Tahoma" w:cs="Tahoma"/>
          <w:b/>
          <w:sz w:val="20"/>
          <w:szCs w:val="20"/>
        </w:rPr>
        <w:t xml:space="preserve">Dodávky </w:t>
      </w:r>
      <w:r w:rsidR="002F3972" w:rsidRPr="005B15E1">
        <w:rPr>
          <w:rFonts w:ascii="Tahoma" w:hAnsi="Tahoma" w:cs="Tahoma"/>
          <w:b/>
          <w:sz w:val="20"/>
          <w:szCs w:val="20"/>
        </w:rPr>
        <w:t>infuzních setů</w:t>
      </w:r>
      <w:r w:rsidR="00B35F85" w:rsidRPr="005B15E1">
        <w:rPr>
          <w:rFonts w:ascii="Tahoma" w:hAnsi="Tahoma" w:cs="Tahoma"/>
          <w:b/>
          <w:sz w:val="20"/>
          <w:szCs w:val="20"/>
        </w:rPr>
        <w:t>“</w:t>
      </w:r>
      <w:r w:rsidR="008864BD" w:rsidRPr="002F3972">
        <w:rPr>
          <w:rFonts w:ascii="Tahoma" w:hAnsi="Tahoma" w:cs="Tahoma"/>
          <w:b/>
          <w:sz w:val="20"/>
          <w:szCs w:val="20"/>
        </w:rPr>
        <w:t xml:space="preserve">, část </w:t>
      </w:r>
      <w:r w:rsidR="00E8142F">
        <w:rPr>
          <w:rFonts w:ascii="Tahoma" w:hAnsi="Tahoma" w:cs="Tahoma"/>
          <w:b/>
          <w:sz w:val="20"/>
          <w:szCs w:val="20"/>
        </w:rPr>
        <w:t xml:space="preserve">1 </w:t>
      </w:r>
      <w:r w:rsidR="00E8142F" w:rsidRPr="00E8142F">
        <w:rPr>
          <w:rFonts w:ascii="Tahoma" w:hAnsi="Tahoma" w:cs="Tahoma"/>
          <w:b/>
          <w:sz w:val="20"/>
          <w:szCs w:val="20"/>
        </w:rPr>
        <w:t>Set infuzní pro gravitační infuzi</w:t>
      </w:r>
    </w:p>
    <w:p w14:paraId="435AB7D0" w14:textId="77777777" w:rsidR="0073168E" w:rsidRPr="002F3972" w:rsidRDefault="00AC45F4" w:rsidP="004E2774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>Předmětem plnění dle této smlouvy j</w:t>
      </w:r>
      <w:r w:rsidR="000654E0" w:rsidRPr="002F3972">
        <w:rPr>
          <w:rFonts w:ascii="Tahoma" w:hAnsi="Tahoma" w:cs="Tahoma"/>
          <w:sz w:val="20"/>
          <w:szCs w:val="20"/>
        </w:rPr>
        <w:t xml:space="preserve">e </w:t>
      </w:r>
      <w:r w:rsidR="00914A6C" w:rsidRPr="002F3972">
        <w:rPr>
          <w:rFonts w:ascii="Tahoma" w:hAnsi="Tahoma"/>
          <w:sz w:val="20"/>
          <w:szCs w:val="20"/>
        </w:rPr>
        <w:t>zajištění kompletních opakovaných dodávek</w:t>
      </w:r>
      <w:r w:rsidR="003F1AB1">
        <w:rPr>
          <w:rFonts w:ascii="Tahoma" w:hAnsi="Tahoma"/>
          <w:sz w:val="20"/>
          <w:szCs w:val="20"/>
        </w:rPr>
        <w:t>:</w:t>
      </w:r>
    </w:p>
    <w:p w14:paraId="0A4A81D4" w14:textId="102D9BF6" w:rsidR="0073168E" w:rsidRPr="002B58AD" w:rsidRDefault="002F3972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E1A33">
        <w:rPr>
          <w:rFonts w:ascii="Tahoma" w:hAnsi="Tahoma" w:cs="Tahoma"/>
          <w:b/>
          <w:sz w:val="20"/>
          <w:szCs w:val="20"/>
        </w:rPr>
        <w:t>Sety infuzní</w:t>
      </w:r>
      <w:r w:rsidR="00F4691E" w:rsidRPr="001E1A33">
        <w:rPr>
          <w:rFonts w:ascii="Tahoma" w:hAnsi="Tahoma" w:cs="Tahoma"/>
          <w:b/>
          <w:sz w:val="20"/>
          <w:szCs w:val="20"/>
        </w:rPr>
        <w:t xml:space="preserve"> pro gravitační infuzi</w:t>
      </w:r>
      <w:r w:rsidR="002B58AD">
        <w:rPr>
          <w:rFonts w:ascii="Tahoma" w:hAnsi="Tahoma" w:cs="Tahoma"/>
          <w:b/>
          <w:sz w:val="20"/>
          <w:szCs w:val="20"/>
        </w:rPr>
        <w:t xml:space="preserve"> </w:t>
      </w:r>
      <w:r w:rsidR="002B58AD" w:rsidRPr="002B58AD">
        <w:rPr>
          <w:rFonts w:ascii="Tahoma" w:hAnsi="Tahoma" w:cs="Tahoma"/>
          <w:sz w:val="20"/>
          <w:szCs w:val="20"/>
        </w:rPr>
        <w:t>pro kupujícího po dobu 2 let.</w:t>
      </w:r>
    </w:p>
    <w:p w14:paraId="2EF07B5D" w14:textId="77777777" w:rsidR="0046140A" w:rsidRPr="002E01D8" w:rsidRDefault="00557B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46140A" w:rsidRPr="005C61A9">
        <w:rPr>
          <w:rFonts w:ascii="Tahoma" w:hAnsi="Tahoma" w:cs="Tahoma"/>
          <w:sz w:val="20"/>
          <w:szCs w:val="20"/>
        </w:rPr>
        <w:t>upující</w:t>
      </w:r>
      <w:r w:rsidR="0046140A" w:rsidRPr="002E01D8">
        <w:rPr>
          <w:rFonts w:ascii="Tahoma" w:hAnsi="Tahoma" w:cs="Tahoma"/>
          <w:sz w:val="20"/>
          <w:szCs w:val="20"/>
        </w:rPr>
        <w:t xml:space="preserve"> se zavazuje prodávajícímu za poskytnuté plnění zaplatit za podmínek uvedených v této smlouvě kupní cenu dle čl. V této smlouvy. </w:t>
      </w:r>
    </w:p>
    <w:p w14:paraId="5AB95C26" w14:textId="77777777"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141114F2" w14:textId="77777777" w:rsidR="003F1AB1" w:rsidRDefault="003F1AB1" w:rsidP="003F1AB1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Prodávající poskytuje kupujícímu následující záruku na jakost: dodávané zboží musí o</w:t>
      </w:r>
      <w:r>
        <w:rPr>
          <w:rFonts w:ascii="Tahoma" w:hAnsi="Tahoma" w:cs="Tahoma"/>
          <w:sz w:val="20"/>
          <w:szCs w:val="20"/>
        </w:rPr>
        <w:t>d</w:t>
      </w:r>
      <w:r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dobu exspirační lhůty uvedené na obalu zboží způsobilé k řádnému užívání a zachovávat si obvyklé vlastnosti a uživatelský komfort. </w:t>
      </w:r>
    </w:p>
    <w:p w14:paraId="6E5D340B" w14:textId="77777777" w:rsidR="003F1AB1" w:rsidRPr="002F5F96" w:rsidRDefault="003F1AB1" w:rsidP="003F1AB1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 xml:space="preserve">Při nedodržení kteréhokoliv z technických parametrů uvedených </w:t>
      </w:r>
      <w:r>
        <w:rPr>
          <w:rFonts w:ascii="Tahoma" w:hAnsi="Tahoma" w:cs="Tahoma"/>
          <w:sz w:val="20"/>
          <w:szCs w:val="20"/>
        </w:rPr>
        <w:t>zadávacích podmínkách</w:t>
      </w:r>
      <w:r w:rsidRPr="002F5F96">
        <w:rPr>
          <w:rFonts w:ascii="Tahoma" w:hAnsi="Tahoma" w:cs="Tahoma"/>
          <w:sz w:val="20"/>
          <w:szCs w:val="20"/>
        </w:rPr>
        <w:t>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p w14:paraId="08A289AD" w14:textId="77777777"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E88791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349AD0AF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3244952E" w14:textId="77777777" w:rsidR="002F3972" w:rsidRDefault="0046140A" w:rsidP="008516FD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2F3972">
        <w:rPr>
          <w:rFonts w:ascii="Tahoma" w:hAnsi="Tahoma" w:cs="Tahoma"/>
          <w:sz w:val="20"/>
          <w:szCs w:val="20"/>
        </w:rPr>
        <w:t>:</w:t>
      </w:r>
    </w:p>
    <w:p w14:paraId="0C1BC3C1" w14:textId="77777777" w:rsidR="002F3972" w:rsidRPr="002F3972" w:rsidRDefault="0046140A" w:rsidP="002F3972">
      <w:pPr>
        <w:pStyle w:val="Odstavecseseznamem"/>
        <w:numPr>
          <w:ilvl w:val="0"/>
          <w:numId w:val="47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>sídl</w:t>
      </w:r>
      <w:r w:rsidR="002F3972" w:rsidRPr="002F3972">
        <w:rPr>
          <w:rFonts w:ascii="Tahoma" w:hAnsi="Tahoma" w:cs="Tahoma"/>
          <w:sz w:val="20"/>
          <w:szCs w:val="20"/>
        </w:rPr>
        <w:t>a</w:t>
      </w:r>
      <w:r w:rsidRPr="002F3972">
        <w:rPr>
          <w:rFonts w:ascii="Tahoma" w:hAnsi="Tahoma" w:cs="Tahoma"/>
          <w:sz w:val="20"/>
          <w:szCs w:val="20"/>
        </w:rPr>
        <w:t xml:space="preserve"> uživatele, tj. </w:t>
      </w:r>
      <w:r w:rsidRPr="002F3972">
        <w:rPr>
          <w:rFonts w:ascii="Tahoma" w:hAnsi="Tahoma" w:cs="Tahoma"/>
          <w:bCs/>
          <w:sz w:val="20"/>
          <w:szCs w:val="20"/>
        </w:rPr>
        <w:t>Slezská nemocnice v Opavě</w:t>
      </w:r>
      <w:r w:rsidRPr="002F397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2F3972">
        <w:rPr>
          <w:rFonts w:ascii="Tahoma" w:hAnsi="Tahoma" w:cs="Tahoma"/>
          <w:sz w:val="20"/>
          <w:szCs w:val="20"/>
        </w:rPr>
        <w:t>470/</w:t>
      </w:r>
      <w:r w:rsidRPr="002F3972">
        <w:rPr>
          <w:rFonts w:ascii="Tahoma" w:hAnsi="Tahoma" w:cs="Tahoma"/>
          <w:sz w:val="20"/>
          <w:szCs w:val="20"/>
        </w:rPr>
        <w:t xml:space="preserve">86, </w:t>
      </w:r>
      <w:r w:rsidR="005960E5" w:rsidRPr="002F3972">
        <w:rPr>
          <w:rFonts w:ascii="Tahoma" w:hAnsi="Tahoma" w:cs="Tahoma"/>
          <w:sz w:val="20"/>
          <w:szCs w:val="20"/>
        </w:rPr>
        <w:t xml:space="preserve">Předměstí, </w:t>
      </w:r>
      <w:r w:rsidRPr="002F3972">
        <w:rPr>
          <w:rFonts w:ascii="Tahoma" w:hAnsi="Tahoma" w:cs="Tahoma"/>
          <w:sz w:val="20"/>
          <w:szCs w:val="20"/>
        </w:rPr>
        <w:t xml:space="preserve">746 01, Opava, </w:t>
      </w:r>
      <w:r w:rsidR="002F3972" w:rsidRPr="002F397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0F0F6DEB" w14:textId="53F04E6F" w:rsidR="00C71EFE" w:rsidRPr="008516FD" w:rsidRDefault="0046140A" w:rsidP="002F3972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v období od </w:t>
      </w:r>
      <w:r w:rsidR="00702305">
        <w:rPr>
          <w:rFonts w:ascii="Tahoma" w:hAnsi="Tahoma" w:cs="Tahoma"/>
          <w:sz w:val="20"/>
          <w:szCs w:val="20"/>
        </w:rPr>
        <w:t>účinnosti</w:t>
      </w:r>
      <w:r w:rsidRPr="002E01D8">
        <w:rPr>
          <w:rFonts w:ascii="Tahoma" w:hAnsi="Tahoma" w:cs="Tahoma"/>
          <w:sz w:val="20"/>
          <w:szCs w:val="20"/>
        </w:rPr>
        <w:t xml:space="preserve"> kupní smlouvy v průběžných dodávkách dle požadavků kupujícího na základě písemné objednávky, která bude prodávajícímu doručena</w:t>
      </w:r>
      <w:r w:rsidR="008516FD">
        <w:rPr>
          <w:rFonts w:ascii="Tahoma" w:hAnsi="Tahoma" w:cs="Tahoma"/>
          <w:sz w:val="20"/>
          <w:szCs w:val="20"/>
        </w:rPr>
        <w:t xml:space="preserve"> na </w:t>
      </w:r>
      <w:r w:rsidR="00C71EFE" w:rsidRPr="008516FD">
        <w:rPr>
          <w:rFonts w:ascii="Tahoma" w:hAnsi="Tahoma" w:cs="Tahoma"/>
          <w:iCs/>
          <w:sz w:val="20"/>
          <w:szCs w:val="20"/>
        </w:rPr>
        <w:t xml:space="preserve">e-mail: </w:t>
      </w:r>
      <w:hyperlink r:id="rId11" w:history="1">
        <w:proofErr w:type="spellStart"/>
        <w:r w:rsidR="00685DEA">
          <w:rPr>
            <w:rStyle w:val="Hypertextovodkaz"/>
            <w:rFonts w:ascii="Tahoma" w:hAnsi="Tahoma" w:cs="Tahoma"/>
            <w:iCs/>
            <w:sz w:val="20"/>
            <w:szCs w:val="20"/>
          </w:rPr>
          <w:t>xxx</w:t>
        </w:r>
        <w:proofErr w:type="spellEnd"/>
      </w:hyperlink>
      <w:r w:rsidR="001E1A33">
        <w:rPr>
          <w:rFonts w:ascii="Tahoma" w:hAnsi="Tahoma" w:cs="Tahoma"/>
          <w:iCs/>
          <w:sz w:val="20"/>
          <w:szCs w:val="20"/>
        </w:rPr>
        <w:t xml:space="preserve"> </w:t>
      </w:r>
    </w:p>
    <w:p w14:paraId="5DF88040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F3972">
        <w:rPr>
          <w:rFonts w:ascii="Tahoma" w:hAnsi="Tahoma" w:cs="Tahoma"/>
          <w:b/>
          <w:sz w:val="20"/>
          <w:szCs w:val="20"/>
        </w:rPr>
        <w:t>3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F3972">
        <w:rPr>
          <w:rFonts w:ascii="Tahoma" w:hAnsi="Tahoma" w:cs="Tahoma"/>
          <w:b/>
          <w:sz w:val="20"/>
          <w:szCs w:val="20"/>
        </w:rPr>
        <w:t>pracovn</w:t>
      </w:r>
      <w:r w:rsidR="00207A18">
        <w:rPr>
          <w:rFonts w:ascii="Tahoma" w:hAnsi="Tahoma" w:cs="Tahoma"/>
          <w:b/>
          <w:sz w:val="20"/>
          <w:szCs w:val="20"/>
        </w:rPr>
        <w:t>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215CF3B7" w14:textId="77777777" w:rsidR="0097291D" w:rsidRPr="00207A1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05FE6C81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0C954D1C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56BBE025" w14:textId="77777777"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0092D565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C113107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5A9288E6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429ABD1A" w14:textId="77777777"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45557300" w14:textId="77777777"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lastRenderedPageBreak/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7A2997B2" w14:textId="77777777"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28AD798F" w14:textId="77777777"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221D1A06" w14:textId="77777777"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517C1F10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1C07C36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7069DD76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861DA66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D044F80" w14:textId="77777777"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396AB02D" w14:textId="77777777"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4CF57D8C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OPA/Hal/202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67B35">
        <w:rPr>
          <w:rFonts w:ascii="Tahoma" w:hAnsi="Tahoma" w:cs="Tahoma"/>
          <w:b/>
          <w:sz w:val="20"/>
          <w:szCs w:val="20"/>
        </w:rPr>
        <w:t>25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00DE3D7A" w14:textId="6C7BC1FF"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2" w:history="1">
        <w:proofErr w:type="spellStart"/>
        <w:r w:rsidR="00685DEA">
          <w:rPr>
            <w:rStyle w:val="Hypertextovodkaz"/>
            <w:rFonts w:ascii="Tahoma" w:hAnsi="Tahoma" w:cs="Tahoma"/>
            <w:sz w:val="20"/>
            <w:szCs w:val="20"/>
          </w:rPr>
          <w:t>xxx</w:t>
        </w:r>
        <w:proofErr w:type="spellEnd"/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68E92E16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499E7BF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2F5C62F4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064CF8F2" w14:textId="77777777"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>Je-li prodávající plátcem DPH, kupující uplatní institut zvláštního způsobu zajištění daně dle § 109a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51F70845" w14:textId="77777777"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14:paraId="0D052D4A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1AA72AC7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lastRenderedPageBreak/>
        <w:t>bankovní účet prodávajícího určený k úhradě plnění uvedený na faktuře nebude správcem daně zveřejněn v aplikaci „Registr DPH“.</w:t>
      </w:r>
    </w:p>
    <w:p w14:paraId="1A20E54B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7B092F48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A67D079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6BB57A69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2C2600C9" w14:textId="3F3BC03E" w:rsidR="00351F6A" w:rsidRPr="00BC4687" w:rsidRDefault="002F6E42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351F6A" w:rsidRPr="00BC4687">
        <w:rPr>
          <w:rFonts w:ascii="Tahoma" w:hAnsi="Tahoma" w:cs="Tahoma"/>
          <w:sz w:val="20"/>
          <w:szCs w:val="22"/>
        </w:rPr>
        <w:t>zboží ve stanovené lhůtě</w:t>
      </w:r>
      <w:r w:rsidR="00351F6A">
        <w:rPr>
          <w:rFonts w:ascii="Tahoma" w:hAnsi="Tahoma" w:cs="Tahoma"/>
          <w:sz w:val="20"/>
          <w:szCs w:val="22"/>
        </w:rPr>
        <w:t xml:space="preserve"> (nejpozději </w:t>
      </w:r>
      <w:r w:rsidR="00351F6A" w:rsidRPr="00867B35">
        <w:rPr>
          <w:rFonts w:ascii="Tahoma" w:hAnsi="Tahoma" w:cs="Tahoma"/>
          <w:sz w:val="20"/>
          <w:szCs w:val="22"/>
        </w:rPr>
        <w:t xml:space="preserve">do </w:t>
      </w:r>
      <w:r w:rsidR="00867B35">
        <w:rPr>
          <w:rFonts w:ascii="Tahoma" w:hAnsi="Tahoma" w:cs="Tahoma"/>
          <w:sz w:val="20"/>
          <w:szCs w:val="22"/>
        </w:rPr>
        <w:t>3</w:t>
      </w:r>
      <w:r w:rsidR="00351F6A" w:rsidRPr="00867B35">
        <w:rPr>
          <w:rFonts w:ascii="Tahoma" w:hAnsi="Tahoma" w:cs="Tahoma"/>
          <w:sz w:val="20"/>
          <w:szCs w:val="22"/>
        </w:rPr>
        <w:t xml:space="preserve"> pracovních</w:t>
      </w:r>
      <w:r w:rsidR="00867B35">
        <w:rPr>
          <w:rFonts w:ascii="Tahoma" w:hAnsi="Tahoma" w:cs="Tahoma"/>
          <w:sz w:val="20"/>
          <w:szCs w:val="22"/>
        </w:rPr>
        <w:t xml:space="preserve"> dnů </w:t>
      </w:r>
      <w:r w:rsidR="00351F6A" w:rsidRPr="00867B35">
        <w:rPr>
          <w:rFonts w:ascii="Tahoma" w:hAnsi="Tahoma" w:cs="Tahoma"/>
          <w:sz w:val="20"/>
          <w:szCs w:val="22"/>
        </w:rPr>
        <w:t>od obdržení objednávky), je povinen zaplatit kupujícímu smlu</w:t>
      </w:r>
      <w:r w:rsidR="00351F6A" w:rsidRPr="00BC4687">
        <w:rPr>
          <w:rFonts w:ascii="Tahoma" w:hAnsi="Tahoma" w:cs="Tahoma"/>
          <w:sz w:val="20"/>
          <w:szCs w:val="22"/>
        </w:rPr>
        <w:t xml:space="preserve">vní pokutu ve výši </w:t>
      </w:r>
      <w:r w:rsidR="00351F6A" w:rsidRPr="00BC4687">
        <w:rPr>
          <w:rFonts w:ascii="Tahoma" w:hAnsi="Tahoma" w:cs="Tahoma"/>
          <w:b/>
          <w:sz w:val="20"/>
          <w:szCs w:val="22"/>
        </w:rPr>
        <w:t>0,</w:t>
      </w:r>
      <w:r w:rsidR="001E1A33">
        <w:rPr>
          <w:rFonts w:ascii="Tahoma" w:hAnsi="Tahoma" w:cs="Tahoma"/>
          <w:b/>
          <w:sz w:val="20"/>
          <w:szCs w:val="22"/>
        </w:rPr>
        <w:t>05</w:t>
      </w:r>
      <w:r w:rsidR="00351F6A" w:rsidRPr="00BC4687">
        <w:rPr>
          <w:rFonts w:ascii="Tahoma" w:hAnsi="Tahoma" w:cs="Tahoma"/>
          <w:b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b/>
          <w:iCs/>
          <w:sz w:val="20"/>
          <w:szCs w:val="22"/>
        </w:rPr>
        <w:t>%</w:t>
      </w:r>
      <w:r w:rsidR="00351F6A"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 w:rsidR="00351F6A">
        <w:rPr>
          <w:rFonts w:ascii="Tahoma" w:hAnsi="Tahoma" w:cs="Tahoma"/>
          <w:iCs/>
          <w:sz w:val="20"/>
          <w:szCs w:val="22"/>
        </w:rPr>
        <w:t>nedodaného zboží</w:t>
      </w:r>
      <w:r w:rsidR="00351F6A"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48F8F590" w14:textId="77777777" w:rsidR="00EE61B5" w:rsidRDefault="00EE61B5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351F6A">
        <w:rPr>
          <w:rFonts w:ascii="Tahoma" w:hAnsi="Tahoma" w:cs="Tahoma"/>
          <w:sz w:val="20"/>
          <w:szCs w:val="20"/>
        </w:rPr>
        <w:t>v zákonem stanovené výši</w:t>
      </w:r>
      <w:r w:rsidR="00574C4E"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351F6A">
        <w:rPr>
          <w:rFonts w:ascii="Tahoma" w:hAnsi="Tahoma" w:cs="Tahoma"/>
          <w:sz w:val="20"/>
          <w:szCs w:val="20"/>
        </w:rPr>
        <w:t>z</w:t>
      </w:r>
      <w:r w:rsidR="00E037C5" w:rsidRPr="00351F6A">
        <w:rPr>
          <w:rFonts w:ascii="Tahoma" w:hAnsi="Tahoma" w:cs="Tahoma"/>
          <w:sz w:val="20"/>
          <w:szCs w:val="20"/>
        </w:rPr>
        <w:t> </w:t>
      </w:r>
      <w:r w:rsidR="00574C4E" w:rsidRPr="00351F6A">
        <w:rPr>
          <w:rFonts w:ascii="Tahoma" w:hAnsi="Tahoma" w:cs="Tahoma"/>
          <w:sz w:val="20"/>
          <w:szCs w:val="20"/>
        </w:rPr>
        <w:t>dl</w:t>
      </w:r>
      <w:r w:rsidRPr="00351F6A">
        <w:rPr>
          <w:rFonts w:ascii="Tahoma" w:hAnsi="Tahoma" w:cs="Tahoma"/>
          <w:sz w:val="20"/>
          <w:szCs w:val="20"/>
        </w:rPr>
        <w:t>užné</w:t>
      </w:r>
      <w:r w:rsidR="00E037C5" w:rsidRPr="00351F6A">
        <w:rPr>
          <w:rFonts w:ascii="Tahoma" w:hAnsi="Tahoma" w:cs="Tahoma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částky</w:t>
      </w:r>
      <w:r w:rsidR="00E037C5" w:rsidRPr="00351F6A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14:paraId="11F1674A" w14:textId="724AE8DB" w:rsidR="003F1AB1" w:rsidRPr="00A63A39" w:rsidRDefault="003F1AB1" w:rsidP="003F1AB1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ze strany kupujícího z důvodu jeho pochybností o splnění všech kvalitativních požadavků dodaného zboží, se prodávající zavazuje dodat kupujícímu nové, bezvadné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</w:t>
      </w:r>
      <w:r w:rsidR="001E1A33">
        <w:rPr>
          <w:rFonts w:ascii="Tahoma" w:hAnsi="Tahoma" w:cs="Tahoma"/>
          <w:sz w:val="20"/>
          <w:szCs w:val="20"/>
        </w:rPr>
        <w:t>0</w:t>
      </w:r>
      <w:r w:rsidRPr="00A63A39">
        <w:rPr>
          <w:rFonts w:ascii="Tahoma" w:hAnsi="Tahoma" w:cs="Tahoma"/>
          <w:sz w:val="20"/>
          <w:szCs w:val="20"/>
        </w:rPr>
        <w:t>5 % ze sjednané kupní ceny nedodaného předmětu plnění za každý den prodlení. V případě, že se reklamace ukáže jako neoprávněná, budou strany jednat o kompenzaci případných vícenákladů v mezidobí vynaložených prodávajícím.</w:t>
      </w:r>
    </w:p>
    <w:p w14:paraId="75142A6B" w14:textId="77777777"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 w:rsidR="00C01754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21AC2EFA" w14:textId="77777777"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6592FA12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29068CB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09110EF0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6E76C2D5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5D1D67AE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4C1F5341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</w:t>
      </w:r>
      <w:r w:rsidRPr="004F38B1">
        <w:rPr>
          <w:rFonts w:ascii="Tahoma" w:hAnsi="Tahoma" w:cs="Tahoma"/>
          <w:sz w:val="20"/>
        </w:rPr>
        <w:lastRenderedPageBreak/>
        <w:t>povinnosti zachovat důvěrnost informací souvisejících s plněním dle této smlouvy.</w:t>
      </w:r>
    </w:p>
    <w:p w14:paraId="68C9C4AB" w14:textId="77777777"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1F8ACF15" w14:textId="77777777"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14:paraId="2B370EE1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7A4294B1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674F4B07" w14:textId="77777777"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67FE27C7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1C48EE23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34E47D52" w14:textId="77777777"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3CA88D01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362D84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1E7CE5BD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388653C2" w14:textId="77777777"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144819FD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D19B097" w14:textId="77777777" w:rsidR="00EE61B5" w:rsidRPr="002E01D8" w:rsidRDefault="00EE61B5" w:rsidP="00664458">
      <w:pPr>
        <w:pStyle w:val="Odstavecseseznamem"/>
        <w:numPr>
          <w:ilvl w:val="0"/>
          <w:numId w:val="40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4D9854BD" w14:textId="77777777" w:rsidR="006E136D" w:rsidRPr="002E01D8" w:rsidRDefault="006E136D" w:rsidP="006E136D">
      <w:pPr>
        <w:pStyle w:val="Import3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67F7C63A" w14:textId="77777777" w:rsidR="006E136D" w:rsidRPr="002E01D8" w:rsidRDefault="006E136D" w:rsidP="006E136D">
      <w:pPr>
        <w:pStyle w:val="Import5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Pr="002E01D8">
        <w:rPr>
          <w:rFonts w:ascii="Tahoma" w:eastAsia="Calibri" w:hAnsi="Tahoma" w:cs="Tahoma"/>
          <w:sz w:val="20"/>
          <w:szCs w:val="20"/>
        </w:rPr>
        <w:t xml:space="preserve">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277C8AAB" w14:textId="77777777" w:rsidR="006E136D" w:rsidRPr="002E01D8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>
        <w:rPr>
          <w:rFonts w:ascii="Tahoma" w:eastAsia="Calibri" w:hAnsi="Tahoma" w:cs="Tahoma"/>
          <w:sz w:val="20"/>
          <w:szCs w:val="20"/>
        </w:rPr>
        <w:t xml:space="preserve">splňujícího veškeré kvalitativní požadavky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6FE095AA" w14:textId="77777777" w:rsidR="006E136D" w:rsidRPr="00A63A39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15DA88E8" w14:textId="77777777" w:rsidR="006E136D" w:rsidRPr="00A63A39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t>pokud objem vadného/nedodaného plnění bude odpovídat alespoň 5 % celkového objemu dodávky, který je touto smlouvou předpokládán,</w:t>
      </w:r>
    </w:p>
    <w:p w14:paraId="7BC2E05A" w14:textId="77777777" w:rsidR="006E136D" w:rsidRPr="002E01D8" w:rsidRDefault="006E136D" w:rsidP="006E136D">
      <w:pPr>
        <w:pStyle w:val="Import3"/>
        <w:numPr>
          <w:ilvl w:val="0"/>
          <w:numId w:val="42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7E25E61C" w14:textId="77777777"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0EF9C579" w14:textId="77777777"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1F196BD4" w14:textId="77777777" w:rsidR="00664458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2D4A78B0" w14:textId="77777777" w:rsidR="006E136D" w:rsidRPr="009E1C32" w:rsidRDefault="006E136D" w:rsidP="006E136D">
      <w:pPr>
        <w:pStyle w:val="Odstavecseseznamem"/>
        <w:spacing w:before="60" w:line="276" w:lineRule="auto"/>
        <w:ind w:left="1004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D04B528" w14:textId="77777777" w:rsidR="00664458" w:rsidRPr="006E136D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58A6825E" w14:textId="77777777" w:rsidR="006E136D" w:rsidRPr="00664458" w:rsidRDefault="006E136D" w:rsidP="006E136D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6E42AE4" w14:textId="104EACFE" w:rsidR="002B58AD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lastRenderedPageBreak/>
        <w:t>Pro účely této smlouvy se pod pojmem „bez zbytečného odkladu“ dle § 2002 občanského zákoníku rozumí „nejpozději do 3 týdnů“.</w:t>
      </w:r>
    </w:p>
    <w:p w14:paraId="354F4D16" w14:textId="77777777" w:rsidR="002B58AD" w:rsidRDefault="002B58AD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88A780C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532C598C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7742CFE" w14:textId="77777777"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2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6EEF0402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6279A49B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6FACAD17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4E7942F1" w14:textId="77777777"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3" w:name="_Hlk82415956"/>
      <w:bookmarkEnd w:id="2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1D09ED7F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20E8E1BA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21286614" w14:textId="77777777"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3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3"/>
    <w:p w14:paraId="25E0C803" w14:textId="77777777"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3B65DE27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440FB69C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4"/>
        <w:gridCol w:w="4576"/>
      </w:tblGrid>
      <w:tr w:rsidR="00D43E8E" w:rsidRPr="00633675" w14:paraId="0ECB2489" w14:textId="77777777" w:rsidTr="00763000">
        <w:tc>
          <w:tcPr>
            <w:tcW w:w="4581" w:type="dxa"/>
          </w:tcPr>
          <w:p w14:paraId="29DD46D4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28F309C9" w14:textId="6A5E5D7A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C92C7F">
              <w:rPr>
                <w:rFonts w:ascii="Tahoma" w:hAnsi="Tahoma" w:cs="Tahoma"/>
                <w:sz w:val="20"/>
                <w:szCs w:val="20"/>
              </w:rPr>
              <w:t xml:space="preserve">Jablunkově, 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</w:t>
            </w:r>
          </w:p>
        </w:tc>
      </w:tr>
      <w:tr w:rsidR="00D43E8E" w:rsidRPr="00633675" w14:paraId="1628525B" w14:textId="77777777" w:rsidTr="00763000">
        <w:tc>
          <w:tcPr>
            <w:tcW w:w="4581" w:type="dxa"/>
          </w:tcPr>
          <w:p w14:paraId="5A0B6C5C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48F897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D51E87" w14:textId="4F26AA2D" w:rsidR="00D43E8E" w:rsidRPr="00633675" w:rsidRDefault="00685DEA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18.12.2025</w:t>
            </w:r>
          </w:p>
          <w:p w14:paraId="5800EB72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53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05E4C132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3D45981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7A887F" w14:textId="4C56B17B" w:rsidR="00D43E8E" w:rsidRPr="00633675" w:rsidRDefault="00685DEA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18.12.2025</w:t>
            </w:r>
            <w:bookmarkStart w:id="4" w:name="_GoBack"/>
            <w:bookmarkEnd w:id="4"/>
          </w:p>
          <w:p w14:paraId="1BD359CA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9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23EC3AD6" w14:textId="755B1775" w:rsidR="00D43E8E" w:rsidRPr="00633675" w:rsidRDefault="00D43E8E" w:rsidP="001E1A33">
      <w:pPr>
        <w:tabs>
          <w:tab w:val="left" w:pos="4536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="00C92C7F">
        <w:rPr>
          <w:rFonts w:ascii="Tahoma" w:hAnsi="Tahoma" w:cs="Tahoma"/>
          <w:sz w:val="20"/>
          <w:szCs w:val="20"/>
        </w:rPr>
        <w:t xml:space="preserve">Ing. Roman </w:t>
      </w:r>
      <w:proofErr w:type="spellStart"/>
      <w:r w:rsidR="00C92C7F">
        <w:rPr>
          <w:rFonts w:ascii="Tahoma" w:hAnsi="Tahoma" w:cs="Tahoma"/>
          <w:sz w:val="20"/>
          <w:szCs w:val="20"/>
        </w:rPr>
        <w:t>Kráľ</w:t>
      </w:r>
      <w:proofErr w:type="spellEnd"/>
      <w:r w:rsidR="00C92C7F">
        <w:rPr>
          <w:rFonts w:ascii="Tahoma" w:hAnsi="Tahoma" w:cs="Tahoma"/>
          <w:sz w:val="20"/>
          <w:szCs w:val="20"/>
        </w:rPr>
        <w:t>, jednatel</w:t>
      </w:r>
    </w:p>
    <w:p w14:paraId="3899EC0C" w14:textId="77777777"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14:paraId="04016D11" w14:textId="77777777"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footerReference w:type="defaul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633675">
        <w:rPr>
          <w:rFonts w:ascii="Tahoma" w:hAnsi="Tahoma" w:cs="Tahoma"/>
          <w:sz w:val="20"/>
          <w:szCs w:val="20"/>
        </w:rPr>
        <w:tab/>
      </w:r>
    </w:p>
    <w:p w14:paraId="45C1DD72" w14:textId="77777777"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14:paraId="39594810" w14:textId="5F94E664" w:rsid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756"/>
        <w:gridCol w:w="1834"/>
        <w:gridCol w:w="1146"/>
        <w:gridCol w:w="706"/>
        <w:gridCol w:w="567"/>
        <w:gridCol w:w="850"/>
        <w:gridCol w:w="709"/>
        <w:gridCol w:w="992"/>
      </w:tblGrid>
      <w:tr w:rsidR="00716D0A" w:rsidRPr="002B58AD" w14:paraId="2DABE247" w14:textId="77777777" w:rsidTr="00716D0A">
        <w:trPr>
          <w:trHeight w:val="114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F22FC3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 w:rsidRPr="002B58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Poř</w:t>
            </w:r>
            <w:proofErr w:type="spellEnd"/>
            <w:r w:rsidRPr="002B58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F2BD4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Popis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E10B47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Název výrobku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7A8386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Katalogové číslo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1498A1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Počet setů v balení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01003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DPH v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30D6C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Cena za balení v Kč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86A2E7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DPH v Kč za balení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45A60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Cena v Kč za balení vč. DPH</w:t>
            </w:r>
          </w:p>
        </w:tc>
      </w:tr>
      <w:tr w:rsidR="00716D0A" w:rsidRPr="002B58AD" w14:paraId="6E1C31E0" w14:textId="77777777" w:rsidTr="00716D0A">
        <w:trPr>
          <w:trHeight w:val="88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899F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2B58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6BB5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Set infuzní pro gravitační infuzi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DB84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proofErr w:type="spellStart"/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Bero</w:t>
            </w:r>
            <w:proofErr w:type="spellEnd"/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</w:t>
            </w:r>
            <w:proofErr w:type="spellStart"/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Infuzna</w:t>
            </w:r>
            <w:proofErr w:type="spellEnd"/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</w:t>
            </w:r>
            <w:proofErr w:type="spellStart"/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suprava</w:t>
            </w:r>
            <w:proofErr w:type="spellEnd"/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 xml:space="preserve"> </w:t>
            </w:r>
            <w:proofErr w:type="gramStart"/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150cm</w:t>
            </w:r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2BD9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25030036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8F5F4" w14:textId="77777777" w:rsidR="002B58AD" w:rsidRPr="002B58AD" w:rsidRDefault="002B58AD" w:rsidP="002B58AD">
            <w:pPr>
              <w:widowControl/>
              <w:suppressAutoHyphens w:val="0"/>
              <w:jc w:val="center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6E7A" w14:textId="77777777" w:rsidR="002B58AD" w:rsidRPr="002B58AD" w:rsidRDefault="002B58AD" w:rsidP="002B58AD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proofErr w:type="gramStart"/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12%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1A2F" w14:textId="77777777" w:rsidR="002B58AD" w:rsidRPr="002B58AD" w:rsidRDefault="002B58AD" w:rsidP="002B58AD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82,50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4B14" w14:textId="77777777" w:rsidR="002B58AD" w:rsidRPr="002B58AD" w:rsidRDefault="002B58AD" w:rsidP="002B58AD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F51D" w14:textId="77777777" w:rsidR="002B58AD" w:rsidRPr="002B58AD" w:rsidRDefault="002B58AD" w:rsidP="002B58AD">
            <w:pPr>
              <w:widowControl/>
              <w:suppressAutoHyphens w:val="0"/>
              <w:jc w:val="right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2B58AD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cs-CZ" w:bidi="ar-SA"/>
              </w:rPr>
              <w:t>92,40</w:t>
            </w:r>
          </w:p>
        </w:tc>
      </w:tr>
    </w:tbl>
    <w:p w14:paraId="6E5760CB" w14:textId="16A1548F" w:rsidR="001E1A33" w:rsidRPr="001E046B" w:rsidRDefault="001E1A33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sectPr w:rsidR="001E1A33" w:rsidRPr="001E046B" w:rsidSect="002B58AD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A7B5C" w14:textId="77777777" w:rsidR="00457565" w:rsidRDefault="00457565" w:rsidP="00CA4C3A">
      <w:r>
        <w:separator/>
      </w:r>
    </w:p>
  </w:endnote>
  <w:endnote w:type="continuationSeparator" w:id="0">
    <w:p w14:paraId="70FA4BF1" w14:textId="77777777" w:rsidR="00457565" w:rsidRDefault="00457565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5350504B" w14:textId="77777777" w:rsidR="00BD67D0" w:rsidRDefault="00457565" w:rsidP="00BD67D0">
            <w:pPr>
              <w:pStyle w:val="Zpat"/>
            </w:pPr>
            <w:r>
              <w:pict w14:anchorId="755D18A1">
                <v:rect id="_x0000_i1025" style="width:0;height:1.5pt" o:hralign="center" o:hrstd="t" o:hr="t" fillcolor="#a0a0a0" stroked="f"/>
              </w:pict>
            </w:r>
          </w:p>
          <w:p w14:paraId="4B253612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6D982ECC" w14:textId="77777777"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2F3972">
              <w:rPr>
                <w:rFonts w:ascii="Tahoma" w:hAnsi="Tahoma" w:cs="Tahoma"/>
                <w:sz w:val="20"/>
                <w:szCs w:val="20"/>
              </w:rPr>
              <w:t>25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2F3972">
              <w:rPr>
                <w:rFonts w:ascii="Tahoma" w:hAnsi="Tahoma" w:cs="Tahoma"/>
                <w:sz w:val="20"/>
                <w:szCs w:val="20"/>
              </w:rPr>
              <w:t>infuzní sety</w:t>
            </w:r>
          </w:p>
          <w:p w14:paraId="02483549" w14:textId="77777777" w:rsidR="00BD67D0" w:rsidRDefault="00457565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22FF3" w14:textId="77777777" w:rsidR="00457565" w:rsidRDefault="00457565" w:rsidP="00CA4C3A">
      <w:r>
        <w:separator/>
      </w:r>
    </w:p>
  </w:footnote>
  <w:footnote w:type="continuationSeparator" w:id="0">
    <w:p w14:paraId="19C1CB93" w14:textId="77777777" w:rsidR="00457565" w:rsidRDefault="00457565" w:rsidP="00CA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74984C84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7BD7"/>
    <w:multiLevelType w:val="hybridMultilevel"/>
    <w:tmpl w:val="6E72A10A"/>
    <w:lvl w:ilvl="0" w:tplc="0846AE48">
      <w:start w:val="1"/>
      <w:numFmt w:val="upperRoman"/>
      <w:lvlText w:val="%1."/>
      <w:lvlJc w:val="center"/>
      <w:pPr>
        <w:ind w:left="100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6F6091F"/>
    <w:multiLevelType w:val="multilevel"/>
    <w:tmpl w:val="2DE29AC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02796"/>
    <w:multiLevelType w:val="hybridMultilevel"/>
    <w:tmpl w:val="C8C0EF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B406D"/>
    <w:multiLevelType w:val="multilevel"/>
    <w:tmpl w:val="9E14EF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1D0715"/>
    <w:multiLevelType w:val="hybridMultilevel"/>
    <w:tmpl w:val="A8E28A7C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1343B"/>
    <w:multiLevelType w:val="multilevel"/>
    <w:tmpl w:val="E8861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17451A"/>
    <w:multiLevelType w:val="multilevel"/>
    <w:tmpl w:val="790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20"/>
  </w:num>
  <w:num w:numId="14">
    <w:abstractNumId w:val="17"/>
  </w:num>
  <w:num w:numId="15">
    <w:abstractNumId w:val="32"/>
  </w:num>
  <w:num w:numId="16">
    <w:abstractNumId w:val="0"/>
  </w:num>
  <w:num w:numId="17">
    <w:abstractNumId w:val="18"/>
  </w:num>
  <w:num w:numId="18">
    <w:abstractNumId w:val="44"/>
  </w:num>
  <w:num w:numId="19">
    <w:abstractNumId w:val="43"/>
  </w:num>
  <w:num w:numId="20">
    <w:abstractNumId w:val="19"/>
  </w:num>
  <w:num w:numId="21">
    <w:abstractNumId w:val="11"/>
  </w:num>
  <w:num w:numId="22">
    <w:abstractNumId w:val="29"/>
  </w:num>
  <w:num w:numId="23">
    <w:abstractNumId w:val="27"/>
  </w:num>
  <w:num w:numId="24">
    <w:abstractNumId w:val="39"/>
  </w:num>
  <w:num w:numId="25">
    <w:abstractNumId w:val="40"/>
  </w:num>
  <w:num w:numId="26">
    <w:abstractNumId w:val="31"/>
  </w:num>
  <w:num w:numId="27">
    <w:abstractNumId w:val="23"/>
  </w:num>
  <w:num w:numId="28">
    <w:abstractNumId w:val="0"/>
  </w:num>
  <w:num w:numId="29">
    <w:abstractNumId w:val="24"/>
  </w:num>
  <w:num w:numId="30">
    <w:abstractNumId w:val="21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6"/>
  </w:num>
  <w:num w:numId="35">
    <w:abstractNumId w:val="12"/>
  </w:num>
  <w:num w:numId="36">
    <w:abstractNumId w:val="42"/>
  </w:num>
  <w:num w:numId="37">
    <w:abstractNumId w:val="14"/>
  </w:num>
  <w:num w:numId="38">
    <w:abstractNumId w:val="41"/>
  </w:num>
  <w:num w:numId="39">
    <w:abstractNumId w:val="30"/>
  </w:num>
  <w:num w:numId="40">
    <w:abstractNumId w:val="28"/>
  </w:num>
  <w:num w:numId="41">
    <w:abstractNumId w:val="16"/>
  </w:num>
  <w:num w:numId="42">
    <w:abstractNumId w:val="33"/>
  </w:num>
  <w:num w:numId="43">
    <w:abstractNumId w:val="34"/>
  </w:num>
  <w:num w:numId="44">
    <w:abstractNumId w:val="25"/>
  </w:num>
  <w:num w:numId="45">
    <w:abstractNumId w:val="36"/>
  </w:num>
  <w:num w:numId="46">
    <w:abstractNumId w:val="38"/>
  </w:num>
  <w:num w:numId="47">
    <w:abstractNumId w:val="22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1A33"/>
    <w:rsid w:val="001E38F0"/>
    <w:rsid w:val="001E51D3"/>
    <w:rsid w:val="001E6075"/>
    <w:rsid w:val="001F2C8B"/>
    <w:rsid w:val="001F4715"/>
    <w:rsid w:val="001F5594"/>
    <w:rsid w:val="001F5D74"/>
    <w:rsid w:val="001F71B8"/>
    <w:rsid w:val="00203CE5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2A21"/>
    <w:rsid w:val="002B3DD6"/>
    <w:rsid w:val="002B58AD"/>
    <w:rsid w:val="002B6906"/>
    <w:rsid w:val="002C02A5"/>
    <w:rsid w:val="002C4619"/>
    <w:rsid w:val="002C56FA"/>
    <w:rsid w:val="002C6F9E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3972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1AB1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57565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8731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D44A7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15E1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E6B5B"/>
    <w:rsid w:val="005E7B25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34F5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5DEA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136D"/>
    <w:rsid w:val="006E265C"/>
    <w:rsid w:val="006F072A"/>
    <w:rsid w:val="006F16FB"/>
    <w:rsid w:val="006F46BC"/>
    <w:rsid w:val="006F596B"/>
    <w:rsid w:val="006F7DB2"/>
    <w:rsid w:val="00702305"/>
    <w:rsid w:val="00702F42"/>
    <w:rsid w:val="0070718D"/>
    <w:rsid w:val="00707D9A"/>
    <w:rsid w:val="007101C6"/>
    <w:rsid w:val="007101D3"/>
    <w:rsid w:val="00710897"/>
    <w:rsid w:val="007133E4"/>
    <w:rsid w:val="00716D0A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2D1D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8B3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5737"/>
    <w:rsid w:val="00835904"/>
    <w:rsid w:val="0083776D"/>
    <w:rsid w:val="00841B75"/>
    <w:rsid w:val="0084491F"/>
    <w:rsid w:val="00846C90"/>
    <w:rsid w:val="00850DFC"/>
    <w:rsid w:val="008516FD"/>
    <w:rsid w:val="008554FA"/>
    <w:rsid w:val="00855CDA"/>
    <w:rsid w:val="00857002"/>
    <w:rsid w:val="00861C95"/>
    <w:rsid w:val="00864E5C"/>
    <w:rsid w:val="00865FDA"/>
    <w:rsid w:val="008666E0"/>
    <w:rsid w:val="00867B35"/>
    <w:rsid w:val="0087074D"/>
    <w:rsid w:val="0087078B"/>
    <w:rsid w:val="00872DC8"/>
    <w:rsid w:val="00874BE6"/>
    <w:rsid w:val="00875ED4"/>
    <w:rsid w:val="0088152F"/>
    <w:rsid w:val="0088404D"/>
    <w:rsid w:val="008847A3"/>
    <w:rsid w:val="008864BD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A5CFF"/>
    <w:rsid w:val="008B3248"/>
    <w:rsid w:val="008B3B29"/>
    <w:rsid w:val="008B43C3"/>
    <w:rsid w:val="008B588D"/>
    <w:rsid w:val="008B6FDF"/>
    <w:rsid w:val="008C5935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5D7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1343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C7F50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BD2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77C1D"/>
    <w:rsid w:val="00C81D96"/>
    <w:rsid w:val="00C82151"/>
    <w:rsid w:val="00C8271A"/>
    <w:rsid w:val="00C82883"/>
    <w:rsid w:val="00C83A81"/>
    <w:rsid w:val="00C90BE9"/>
    <w:rsid w:val="00C92C7F"/>
    <w:rsid w:val="00C9585F"/>
    <w:rsid w:val="00C9694C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0CF6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455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142F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234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691E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84003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1E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nopava.cz/nemocnice/ochrana-osobnich-udaj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.uct@snopav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medo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F44CE-942A-42A4-8D8E-491BBDC7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2392</Words>
  <Characters>14114</Characters>
  <Application>Microsoft Office Word</Application>
  <DocSecurity>0</DocSecurity>
  <Lines>117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Veronika Austová</cp:lastModifiedBy>
  <cp:revision>2</cp:revision>
  <cp:lastPrinted>2025-12-18T07:59:00Z</cp:lastPrinted>
  <dcterms:created xsi:type="dcterms:W3CDTF">2025-12-18T11:54:00Z</dcterms:created>
  <dcterms:modified xsi:type="dcterms:W3CDTF">2025-12-18T11:54:00Z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