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rap="none" w:vAnchor="page" w:hAnchor="page" w:x="9409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NS_1745/MO1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uzavřely osoby dle svého vlastního prohlášení svéprávné k právním jednáním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statutární město Pardubice,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Pardubicích, Pernštýnské nám. 1, PSČ 530 21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002 74 046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Ing. Miroslavem Macelou, vedoucím oddělení pozemků a převodu nemovitostí Magistrátu města Pardubic, a to na základě čl. 10 odst. 1 a odst. 6 a čl. 12 směrnice č. 5/2025 Organizační řád v platném znění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pronajímatel)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REDSTONE HOUSE s.r.o.,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Olomouci, tř. Kosmonautů 1221/2a, PSČ 779 00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074 36 394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Richardem Morávkem, jednatelem a Ing. Pavlem Nádvorníkem, jednatelem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obchodním rejstříku vedeném u Krajského soudu v Ostravě, oddíl C, vložka 75778</w:t>
      </w:r>
    </w:p>
    <w:p>
      <w:pPr>
        <w:pStyle w:val="Style9"/>
        <w:keepNext w:val="0"/>
        <w:keepLines w:val="0"/>
        <w:framePr w:w="10363" w:h="4603" w:hRule="exact" w:wrap="none" w:vAnchor="page" w:hAnchor="page" w:x="928" w:y="140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14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 o d a t e k č. 5</w:t>
      </w:r>
      <w:bookmarkEnd w:id="0"/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/>
        <w:ind w:left="19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 nájemní smlouvě ze dne 23.12.2021 ve znění dodatků č.1-4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 ustanovením § 2201 a násl. zákona č. 89/2012 Sb., občanský zákoník v platném znění</w:t>
      </w:r>
    </w:p>
    <w:p>
      <w:pPr>
        <w:pStyle w:val="Style16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1"/>
        </w:numPr>
        <w:shd w:val="clear" w:color="auto" w:fill="auto"/>
        <w:bidi w:val="0"/>
        <w:spacing w:before="0" w:after="40"/>
        <w:ind w:left="0" w:right="0" w:firstLine="0"/>
        <w:jc w:val="center"/>
      </w:pP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 a nájemce spolu dne 23.12.2021 uzavřeli nájemní smlouvu, ve znění dodatků č. 1-4, jejímž předmětem je nájem pozemků definovaných v článku II. odst.1. této smlouvy za účelem umístění staveniště, oplocení, stavebních objektů SO 102 lávka od parku, SO 114 záliv pro bus 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taxi, SO 100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Galerie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Pardubice, SO 99 - 273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ks kotev pažení stavebních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realizace stavby „Galerie Pardubice“ (dále jenom „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nájemní smlouva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16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1"/>
        </w:numPr>
        <w:shd w:val="clear" w:color="auto" w:fill="auto"/>
        <w:bidi w:val="0"/>
        <w:spacing w:before="0" w:after="40"/>
        <w:ind w:left="0" w:right="0" w:firstLine="0"/>
        <w:jc w:val="center"/>
      </w:pP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 na níže uvedených změnách nájemní smlouvy: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 w:after="0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čl. II. odst. 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se mění takto: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/>
        <w:ind w:left="0" w:right="0" w:firstLine="8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Nájemní smlouva je uzavírána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na dobu určitou do 31.12.2028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 w:after="0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čl. IV. odst. 1. 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mění takto: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/>
        <w:ind w:left="1240" w:right="0" w:hanging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ode den podpisu nájemní smlouvy do dne nabytí právní moci kolaudačního rozhodnutí/souhlasu příslušného stavebního úřadu na výše uvedenou stavbu,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nejdéle však do 31.12.2028, bude výše nájemného činit: 35,-Kč/m2/rok bez DPH.</w:t>
      </w: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Ostatní ustanovení nájemní smlouvy zůstávají nezměněna.</w:t>
      </w:r>
    </w:p>
    <w:p>
      <w:pPr>
        <w:pStyle w:val="Style16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7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9"/>
        <w:keepNext w:val="0"/>
        <w:keepLines w:val="0"/>
        <w:framePr w:w="10363" w:h="8515" w:hRule="exact" w:wrap="none" w:vAnchor="page" w:hAnchor="page" w:x="928" w:y="6775"/>
        <w:widowControl w:val="0"/>
        <w:numPr>
          <w:ilvl w:val="0"/>
          <w:numId w:val="9"/>
        </w:numPr>
        <w:shd w:val="clear" w:color="auto" w:fill="auto"/>
        <w:tabs>
          <w:tab w:pos="376" w:val="left"/>
        </w:tabs>
        <w:bidi w:val="0"/>
        <w:spacing w:before="0" w:after="0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7"/>
        <w:keepNext w:val="0"/>
        <w:keepLines w:val="0"/>
        <w:framePr w:wrap="none" w:vAnchor="page" w:hAnchor="page" w:x="5291" w:y="15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Stránka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ge">
                  <wp:posOffset>5584190</wp:posOffset>
                </wp:positionV>
                <wp:extent cx="1889760" cy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889760" cy="0"/>
                        </a:xfrm>
                        <a:prstGeom prst="straightConnector1"/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899999999999999pt;margin-top:439.69999999999999pt;width:148.80000000000001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4137025</wp:posOffset>
                </wp:positionH>
                <wp:positionV relativeFrom="page">
                  <wp:posOffset>5584190</wp:posOffset>
                </wp:positionV>
                <wp:extent cx="2084705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2084705" cy="0"/>
                        </a:xfrm>
                        <a:prstGeom prst="straightConnector1"/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5.75pt;margin-top:439.69999999999999pt;width:164.15000000000001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4161155</wp:posOffset>
                </wp:positionH>
                <wp:positionV relativeFrom="page">
                  <wp:posOffset>6946900</wp:posOffset>
                </wp:positionV>
                <wp:extent cx="2085340" cy="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2085340" cy="0"/>
                        </a:xfrm>
                        <a:prstGeom prst="straightConnector1"/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7.65000000000003pt;margin-top:547.pt;width:164.20000000000002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</w:p>
    <w:p>
      <w:pPr>
        <w:pStyle w:val="Style7"/>
        <w:keepNext w:val="0"/>
        <w:keepLines w:val="0"/>
        <w:framePr w:wrap="none" w:vAnchor="page" w:hAnchor="page" w:x="9713" w:y="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NSJI745/MO1</w:t>
      </w:r>
    </w:p>
    <w:p>
      <w:pPr>
        <w:pStyle w:val="Style9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tabs>
          <w:tab w:pos="427" w:val="left"/>
        </w:tabs>
        <w:bidi w:val="0"/>
        <w:spacing w:before="0" w:after="260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  <w:tab/>
        <w:t>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smluv jako kontakt pro notifikaci o uveřejnění.</w:t>
      </w:r>
    </w:p>
    <w:p>
      <w:pPr>
        <w:pStyle w:val="Style9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tabs>
          <w:tab w:pos="427" w:val="left"/>
        </w:tabs>
        <w:bidi w:val="0"/>
        <w:spacing w:before="0" w:after="260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  <w:tab/>
        <w:t>Smluvní strany berou na vědomí, že nebude-li dodatek uveřejněn ani do tří měsíců ode dne jeho uzavření, je následujícím dnem zrušen od počátku s účinky případného bezdůvodného obohacení.</w:t>
      </w:r>
    </w:p>
    <w:p>
      <w:pPr>
        <w:pStyle w:val="Style9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tabs>
          <w:tab w:pos="427" w:val="left"/>
        </w:tabs>
        <w:bidi w:val="0"/>
        <w:spacing w:before="0" w:after="260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  <w:tab/>
        <w:t>Smluvní strany prohlašují, že žádná část dodatku nenaplňuje znaky obchodního tajemství (§ 504 zákona č. 89/2012 Sb., občanský zákoník).</w:t>
      </w:r>
    </w:p>
    <w:p>
      <w:pPr>
        <w:pStyle w:val="Style14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20"/>
          <w:szCs w:val="20"/>
        </w:rPr>
      </w:pPr>
      <w:bookmarkStart w:id="8" w:name="bookmark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IV.</w:t>
      </w:r>
      <w:bookmarkEnd w:id="8"/>
    </w:p>
    <w:p>
      <w:pPr>
        <w:pStyle w:val="Style9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540" w:line="32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tento dodatek přečetly, prohlašují, že je projevem jejich svobodné a vážné vůle, že nebyl sjednán vtísni za nápadně nevýhodných podmínek a na důkaz souhlasu se zněním tohoto dodatku připojují oprávnění zástupci obou smluvních stran své elektronické podpisy.</w:t>
      </w:r>
    </w:p>
    <w:p>
      <w:pPr>
        <w:pStyle w:val="Style23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Schvalovací doložka dle ust. § 41 zák. č. 128/2000 Sb., o obcích</w:t>
      </w:r>
    </w:p>
    <w:p>
      <w:pPr>
        <w:pStyle w:val="Style23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schváleno: RmP dne 3.12.2025 usnesením č. R/6782/2025</w:t>
      </w:r>
    </w:p>
    <w:p>
      <w:pPr>
        <w:pStyle w:val="Style23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byl zveřejněn na úřední desce a elektronické úřední desce Magistrátu města Pardubic:</w:t>
      </w:r>
    </w:p>
    <w:p>
      <w:pPr>
        <w:pStyle w:val="Style23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vyvěšeno dne: 10.9.2025</w:t>
      </w:r>
    </w:p>
    <w:p>
      <w:pPr>
        <w:pStyle w:val="Style23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svěšeno dne: 26.9.2025</w:t>
      </w:r>
    </w:p>
    <w:p>
      <w:pPr>
        <w:pStyle w:val="Style9"/>
        <w:keepNext w:val="0"/>
        <w:keepLines w:val="0"/>
        <w:framePr w:w="10363" w:h="6682" w:hRule="exact" w:wrap="none" w:vAnchor="page" w:hAnchor="page" w:x="1231" w:y="1154"/>
        <w:widowControl w:val="0"/>
        <w:shd w:val="clear" w:color="auto" w:fill="auto"/>
        <w:tabs>
          <w:tab w:leader="dot" w:pos="306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  <w:tab/>
      </w:r>
    </w:p>
    <w:p>
      <w:pPr>
        <w:pStyle w:val="Style9"/>
        <w:keepNext w:val="0"/>
        <w:keepLines w:val="0"/>
        <w:framePr w:w="2784" w:h="816" w:hRule="exact" w:wrap="none" w:vAnchor="page" w:hAnchor="page" w:x="1236" w:y="88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Ing. Miroslav Macela vedoucí oddělení</w:t>
      </w:r>
    </w:p>
    <w:p>
      <w:pPr>
        <w:pStyle w:val="Style9"/>
        <w:keepNext w:val="0"/>
        <w:keepLines w:val="0"/>
        <w:framePr w:w="2501" w:h="816" w:hRule="exact" w:wrap="none" w:vAnchor="page" w:hAnchor="page" w:x="6521" w:y="88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REDSTONE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HOUSE s.r.o.</w:t>
      </w:r>
    </w:p>
    <w:p>
      <w:pPr>
        <w:pStyle w:val="Style9"/>
        <w:keepNext w:val="0"/>
        <w:keepLines w:val="0"/>
        <w:framePr w:w="2501" w:h="816" w:hRule="exact" w:wrap="none" w:vAnchor="page" w:hAnchor="page" w:x="6521" w:y="88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Richard Morávek jednatel</w:t>
      </w:r>
    </w:p>
    <w:p>
      <w:pPr>
        <w:pStyle w:val="Style9"/>
        <w:keepNext w:val="0"/>
        <w:keepLines w:val="0"/>
        <w:framePr w:w="9797" w:h="821" w:hRule="exact" w:wrap="none" w:vAnchor="page" w:hAnchor="page" w:x="1236" w:y="11042"/>
        <w:widowControl w:val="0"/>
        <w:shd w:val="clear" w:color="auto" w:fill="auto"/>
        <w:bidi w:val="0"/>
        <w:spacing w:before="0" w:after="0"/>
        <w:ind w:left="52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REDSTONE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HOUSE s.r.o. Ing. Pavel Nádvorník jednatel</w:t>
      </w:r>
    </w:p>
    <w:p>
      <w:pPr>
        <w:pStyle w:val="Style7"/>
        <w:keepNext w:val="0"/>
        <w:keepLines w:val="0"/>
        <w:framePr w:wrap="none" w:vAnchor="page" w:hAnchor="page" w:x="5594" w:y="15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Stránka 2 z 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3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hlaví nebo zápatí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">
    <w:name w:val="Nadpis #3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24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4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auto"/>
      <w:spacing w:after="20" w:line="276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auto"/>
      <w:spacing w:line="33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