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DED09B4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3554A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41FEC64" w:rsidR="00723981" w:rsidRPr="00F00EA5" w:rsidRDefault="00DA4439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</w:t>
            </w:r>
            <w:r w:rsidR="002F29D7" w:rsidRPr="002F29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přesnění nábytku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75F78350" w:rsidR="00BB1E6D" w:rsidRPr="00723981" w:rsidRDefault="009546ED" w:rsidP="00DA4439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> ohledem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konstrukční prostor, detailní doměření a 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budoucí užívání objektu </w:t>
            </w:r>
            <w:r w:rsidR="0024028F">
              <w:rPr>
                <w:rFonts w:ascii="Calibri" w:eastAsia="Times New Roman" w:hAnsi="Calibri" w:cs="Times New Roman"/>
                <w:color w:val="000000"/>
                <w:lang w:eastAsia="cs-CZ"/>
              </w:rPr>
              <w:t>bylo zpřesněno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vybavení</w:t>
            </w:r>
            <w:r w:rsidR="00DA4439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A4439">
              <w:rPr>
                <w:rFonts w:ascii="Calibri" w:eastAsia="Times New Roman" w:hAnsi="Calibri" w:cs="Times New Roman"/>
                <w:color w:val="000000"/>
                <w:lang w:eastAsia="cs-CZ"/>
              </w:rPr>
              <w:t>dle legislativních a funkčních požadavků.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33759B3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 upřesněním </w:t>
            </w:r>
            <w:r w:rsidR="002F29D7">
              <w:rPr>
                <w:rFonts w:ascii="Calibri" w:eastAsia="Times New Roman" w:hAnsi="Calibri" w:cs="Times New Roman"/>
                <w:color w:val="000000"/>
                <w:lang w:eastAsia="cs-CZ"/>
              </w:rPr>
              <w:t>rozsahu dodávky vestavěných skříní</w:t>
            </w:r>
            <w:r w:rsidR="00DA44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nábytku</w:t>
            </w:r>
            <w:bookmarkStart w:id="0" w:name="_GoBack"/>
            <w:bookmarkEnd w:id="0"/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7712B6D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24028F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D137378" w:rsidR="00723981" w:rsidRPr="00723981" w:rsidRDefault="00B072F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072F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-5 923,30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9124408" w:rsidR="00723981" w:rsidRPr="00723981" w:rsidRDefault="00B072F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072FF">
              <w:rPr>
                <w:rFonts w:ascii="Calibri" w:hAnsi="Calibri" w:cs="Calibri"/>
              </w:rPr>
              <w:t xml:space="preserve">98 564,61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A8599BC" w:rsidR="00723981" w:rsidRPr="00B91641" w:rsidRDefault="00B072FF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072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92 641,31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9"/>
      <w:footerReference w:type="even" r:id="rId10"/>
      <w:footerReference w:type="default" r:id="rId11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028F"/>
    <w:rsid w:val="00242A2A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546ED"/>
    <w:rsid w:val="00993DEF"/>
    <w:rsid w:val="009B63EF"/>
    <w:rsid w:val="009D0056"/>
    <w:rsid w:val="00A36E22"/>
    <w:rsid w:val="00A80CE6"/>
    <w:rsid w:val="00AA5331"/>
    <w:rsid w:val="00AD384B"/>
    <w:rsid w:val="00B072FF"/>
    <w:rsid w:val="00B075FD"/>
    <w:rsid w:val="00B1114B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A4439"/>
    <w:rsid w:val="00DC050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AEC7-6185-4C10-BE01-C8B5E764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klapalekp</cp:lastModifiedBy>
  <cp:revision>7</cp:revision>
  <dcterms:created xsi:type="dcterms:W3CDTF">2025-11-25T11:01:00Z</dcterms:created>
  <dcterms:modified xsi:type="dcterms:W3CDTF">2025-12-15T10:11:00Z</dcterms:modified>
</cp:coreProperties>
</file>