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32A" w:rsidRDefault="00BE66C4">
      <w:pPr>
        <w:pStyle w:val="Nadpis1"/>
        <w:spacing w:after="258"/>
        <w:ind w:left="-5"/>
      </w:pPr>
      <w:bookmarkStart w:id="0" w:name="_GoBack"/>
      <w:bookmarkEnd w:id="0"/>
      <w:r>
        <w:t xml:space="preserve">Knihovna města Ostravy, příspěvková organizace </w:t>
      </w:r>
    </w:p>
    <w:p w:rsidR="0082432A" w:rsidRDefault="00BE66C4">
      <w:pPr>
        <w:ind w:right="387"/>
      </w:pPr>
      <w:r>
        <w:t xml:space="preserve">Příloha </w:t>
      </w:r>
      <w:proofErr w:type="gramStart"/>
      <w:r>
        <w:t>č.1</w:t>
      </w:r>
      <w:proofErr w:type="gramEnd"/>
      <w:r>
        <w:t xml:space="preserve"> </w:t>
      </w:r>
    </w:p>
    <w:p w:rsidR="0082432A" w:rsidRDefault="00BE66C4">
      <w:pPr>
        <w:spacing w:after="217"/>
        <w:ind w:right="387"/>
      </w:pPr>
      <w:r>
        <w:t xml:space="preserve">ke Smlouvě o přenesení regionálních funkcí z krajské knihovny na pověřenou knihovnu </w:t>
      </w:r>
    </w:p>
    <w:p w:rsidR="0082432A" w:rsidRDefault="00BE66C4">
      <w:pPr>
        <w:spacing w:after="256" w:line="259" w:lineRule="auto"/>
        <w:ind w:left="-5"/>
      </w:pPr>
      <w:r>
        <w:rPr>
          <w:b/>
        </w:rPr>
        <w:t xml:space="preserve">Výčet regionálních funkcí na rok 2026 </w:t>
      </w:r>
    </w:p>
    <w:p w:rsidR="0082432A" w:rsidRDefault="00BE66C4">
      <w:pPr>
        <w:pStyle w:val="Nadpis1"/>
        <w:tabs>
          <w:tab w:val="center" w:pos="4411"/>
        </w:tabs>
        <w:ind w:left="-15" w:firstLine="0"/>
      </w:pPr>
      <w:r>
        <w:t xml:space="preserve">1. </w:t>
      </w:r>
      <w:r>
        <w:tab/>
      </w:r>
      <w:r>
        <w:t xml:space="preserve">Poradenská a konzultační činnost, metodické návštěvy, plány, rozbory </w:t>
      </w:r>
    </w:p>
    <w:p w:rsidR="0082432A" w:rsidRDefault="00BE66C4">
      <w:pPr>
        <w:numPr>
          <w:ilvl w:val="0"/>
          <w:numId w:val="1"/>
        </w:numPr>
        <w:ind w:right="387" w:hanging="425"/>
      </w:pPr>
      <w:r>
        <w:t xml:space="preserve">poskytování odborných rad, konzultací a referencí k aktuálním otázkám knihovnické a informační činnosti </w:t>
      </w:r>
    </w:p>
    <w:p w:rsidR="0082432A" w:rsidRDefault="00BE66C4">
      <w:pPr>
        <w:numPr>
          <w:ilvl w:val="0"/>
          <w:numId w:val="1"/>
        </w:numPr>
        <w:ind w:right="387" w:hanging="425"/>
      </w:pPr>
      <w:r>
        <w:t xml:space="preserve">metodické návštěvy – minimálně 1 návštěva v každé obsluhované knihovně </w:t>
      </w:r>
    </w:p>
    <w:p w:rsidR="0082432A" w:rsidRDefault="00BE66C4">
      <w:pPr>
        <w:numPr>
          <w:ilvl w:val="0"/>
          <w:numId w:val="1"/>
        </w:numPr>
        <w:spacing w:after="115"/>
        <w:ind w:right="387" w:hanging="425"/>
      </w:pPr>
      <w:r>
        <w:t>praktická</w:t>
      </w:r>
      <w:r>
        <w:t xml:space="preserve"> pomoc při řešení odborných problémů obsluhovaných knihoven  </w:t>
      </w:r>
    </w:p>
    <w:p w:rsidR="0082432A" w:rsidRDefault="00BE66C4">
      <w:pPr>
        <w:pStyle w:val="Nadpis1"/>
        <w:tabs>
          <w:tab w:val="center" w:pos="2457"/>
        </w:tabs>
        <w:ind w:left="-15" w:firstLine="0"/>
      </w:pPr>
      <w:r>
        <w:t xml:space="preserve">2. </w:t>
      </w:r>
      <w:r>
        <w:tab/>
        <w:t xml:space="preserve">Statistika knihovnických činností </w:t>
      </w:r>
    </w:p>
    <w:p w:rsidR="0082432A" w:rsidRDefault="00BE66C4">
      <w:pPr>
        <w:numPr>
          <w:ilvl w:val="0"/>
          <w:numId w:val="2"/>
        </w:numPr>
        <w:ind w:right="387" w:hanging="425"/>
      </w:pPr>
      <w:r>
        <w:t xml:space="preserve">metodická i praktická pomoc obsluhovaným knihovnám při zpracování dílčích statistických dat </w:t>
      </w:r>
    </w:p>
    <w:p w:rsidR="0082432A" w:rsidRDefault="00BE66C4">
      <w:pPr>
        <w:numPr>
          <w:ilvl w:val="0"/>
          <w:numId w:val="2"/>
        </w:numPr>
        <w:ind w:right="387" w:hanging="425"/>
      </w:pPr>
      <w:r>
        <w:t>sběr dat a včasné shromáždění úplných statistických údajů o či</w:t>
      </w:r>
      <w:r>
        <w:t xml:space="preserve">nnosti  </w:t>
      </w:r>
    </w:p>
    <w:p w:rsidR="0082432A" w:rsidRDefault="00BE66C4">
      <w:pPr>
        <w:numPr>
          <w:ilvl w:val="0"/>
          <w:numId w:val="2"/>
        </w:numPr>
        <w:ind w:right="387" w:hanging="425"/>
      </w:pPr>
      <w:r>
        <w:t xml:space="preserve">kontrola dat, zpracování údajů a jejich včasné odeslání </w:t>
      </w:r>
    </w:p>
    <w:p w:rsidR="0082432A" w:rsidRDefault="00BE66C4">
      <w:pPr>
        <w:numPr>
          <w:ilvl w:val="0"/>
          <w:numId w:val="2"/>
        </w:numPr>
        <w:spacing w:after="129"/>
        <w:ind w:right="387" w:hanging="425"/>
      </w:pPr>
      <w:r>
        <w:t xml:space="preserve">využívání výsledků statistiky knihovnických činností </w:t>
      </w:r>
    </w:p>
    <w:p w:rsidR="0082432A" w:rsidRDefault="00BE66C4">
      <w:pPr>
        <w:pStyle w:val="Nadpis1"/>
        <w:tabs>
          <w:tab w:val="center" w:pos="2874"/>
        </w:tabs>
        <w:ind w:left="-15" w:firstLine="0"/>
      </w:pPr>
      <w:r>
        <w:t xml:space="preserve">3. </w:t>
      </w:r>
      <w:r>
        <w:tab/>
        <w:t xml:space="preserve">Vzdělávání knihovníků, semináře, porady </w:t>
      </w:r>
    </w:p>
    <w:p w:rsidR="0082432A" w:rsidRDefault="00BE66C4">
      <w:pPr>
        <w:numPr>
          <w:ilvl w:val="0"/>
          <w:numId w:val="3"/>
        </w:numPr>
        <w:ind w:right="387" w:hanging="425"/>
      </w:pPr>
      <w:r>
        <w:t xml:space="preserve">minimálně 1x ročně porada knihovníků obsluhovaných knihoven </w:t>
      </w:r>
    </w:p>
    <w:p w:rsidR="0082432A" w:rsidRDefault="00BE66C4">
      <w:pPr>
        <w:numPr>
          <w:ilvl w:val="0"/>
          <w:numId w:val="3"/>
        </w:numPr>
        <w:spacing w:after="122"/>
        <w:ind w:right="387" w:hanging="425"/>
      </w:pPr>
      <w:r>
        <w:t xml:space="preserve">vzdělávání knihovníků (semináře, školení aj.) zajišťující nabídku odborného vzdělávání (bez ohledu na místo vzdělávání) </w:t>
      </w:r>
    </w:p>
    <w:p w:rsidR="0082432A" w:rsidRDefault="00BE66C4">
      <w:pPr>
        <w:pStyle w:val="Nadpis1"/>
        <w:tabs>
          <w:tab w:val="center" w:pos="4168"/>
        </w:tabs>
        <w:ind w:left="-15" w:firstLine="0"/>
      </w:pPr>
      <w:r>
        <w:t xml:space="preserve">4. </w:t>
      </w:r>
      <w:r>
        <w:tab/>
        <w:t xml:space="preserve">Tvorba výměnných knihovních fondů, jejich cirkulace a distribuce </w:t>
      </w:r>
    </w:p>
    <w:p w:rsidR="0082432A" w:rsidRDefault="00BE66C4">
      <w:pPr>
        <w:numPr>
          <w:ilvl w:val="0"/>
          <w:numId w:val="4"/>
        </w:numPr>
        <w:ind w:right="387" w:hanging="425"/>
      </w:pPr>
      <w:r>
        <w:t>zajištění kvalitních, aktuálních a odborně zpracovaných knihovníc</w:t>
      </w:r>
      <w:r>
        <w:t xml:space="preserve">h fondů v obsluhovaných knihovnách </w:t>
      </w:r>
    </w:p>
    <w:p w:rsidR="0082432A" w:rsidRDefault="00BE66C4">
      <w:pPr>
        <w:numPr>
          <w:ilvl w:val="0"/>
          <w:numId w:val="4"/>
        </w:numPr>
        <w:ind w:right="387" w:hanging="425"/>
      </w:pPr>
      <w:r>
        <w:t xml:space="preserve">akvizice, katalogizace a technická úprava výměnného fondu </w:t>
      </w:r>
    </w:p>
    <w:p w:rsidR="0082432A" w:rsidRDefault="00BE66C4">
      <w:pPr>
        <w:numPr>
          <w:ilvl w:val="0"/>
          <w:numId w:val="4"/>
        </w:numPr>
        <w:ind w:right="387" w:hanging="425"/>
      </w:pPr>
      <w:r>
        <w:t xml:space="preserve">tvorba souborů, jejich distribuce do knihoven, evidence pohybu výměnného fondu </w:t>
      </w:r>
    </w:p>
    <w:p w:rsidR="0082432A" w:rsidRDefault="00BE66C4">
      <w:pPr>
        <w:numPr>
          <w:ilvl w:val="0"/>
          <w:numId w:val="4"/>
        </w:numPr>
        <w:ind w:right="387" w:hanging="425"/>
      </w:pPr>
      <w:r>
        <w:t xml:space="preserve">výměna souborů bude probíhat minimálně 2x ročně  </w:t>
      </w:r>
    </w:p>
    <w:p w:rsidR="0082432A" w:rsidRDefault="00BE66C4">
      <w:pPr>
        <w:numPr>
          <w:ilvl w:val="0"/>
          <w:numId w:val="4"/>
        </w:numPr>
        <w:spacing w:after="127"/>
        <w:ind w:right="387" w:hanging="425"/>
      </w:pPr>
      <w:r>
        <w:t>průměrný počet knih ve výměnném</w:t>
      </w:r>
      <w:r>
        <w:t xml:space="preserve"> souboru 35 knih </w:t>
      </w:r>
    </w:p>
    <w:p w:rsidR="0082432A" w:rsidRDefault="00BE66C4">
      <w:pPr>
        <w:pStyle w:val="Nadpis1"/>
        <w:tabs>
          <w:tab w:val="center" w:pos="3196"/>
        </w:tabs>
        <w:ind w:left="-15" w:firstLine="0"/>
      </w:pPr>
      <w:r>
        <w:t xml:space="preserve">5. </w:t>
      </w:r>
      <w:r>
        <w:tab/>
        <w:t xml:space="preserve">Pomoc při revizi a aktualizaci knihovních fondů </w:t>
      </w:r>
    </w:p>
    <w:p w:rsidR="0082432A" w:rsidRDefault="00BE66C4">
      <w:pPr>
        <w:numPr>
          <w:ilvl w:val="0"/>
          <w:numId w:val="5"/>
        </w:numPr>
        <w:ind w:right="387" w:hanging="425"/>
      </w:pPr>
      <w:r>
        <w:t xml:space="preserve">pomoc při revizi a aktualizaci knihovních fondů v obsluhovaných knihovnách a v knihovnách s pracovním úvazkem nejvýše 1,0 </w:t>
      </w:r>
    </w:p>
    <w:p w:rsidR="0082432A" w:rsidRDefault="00BE66C4">
      <w:pPr>
        <w:numPr>
          <w:ilvl w:val="0"/>
          <w:numId w:val="5"/>
        </w:numPr>
        <w:ind w:right="387" w:hanging="425"/>
      </w:pPr>
      <w:r>
        <w:t>revize proběhnou dle plánu revizí</w:t>
      </w:r>
      <w:r>
        <w:rPr>
          <w:b/>
        </w:rPr>
        <w:t xml:space="preserve"> </w:t>
      </w:r>
    </w:p>
    <w:p w:rsidR="0082432A" w:rsidRDefault="00BE66C4">
      <w:pPr>
        <w:numPr>
          <w:ilvl w:val="0"/>
          <w:numId w:val="5"/>
        </w:numPr>
        <w:ind w:right="387" w:hanging="425"/>
      </w:pPr>
      <w:r>
        <w:t>aktualizace KF budou probíh</w:t>
      </w:r>
      <w:r>
        <w:t xml:space="preserve">at průběžně dle aktuální potřeby  </w:t>
      </w:r>
    </w:p>
    <w:p w:rsidR="0082432A" w:rsidRDefault="00BE66C4">
      <w:pPr>
        <w:numPr>
          <w:ilvl w:val="0"/>
          <w:numId w:val="5"/>
        </w:numPr>
        <w:spacing w:after="123"/>
        <w:ind w:right="387" w:hanging="425"/>
      </w:pPr>
      <w:r>
        <w:t xml:space="preserve">zpracování protokolu o výsledku revize KF </w:t>
      </w:r>
    </w:p>
    <w:p w:rsidR="0082432A" w:rsidRDefault="00BE66C4">
      <w:pPr>
        <w:ind w:left="720" w:right="387" w:hanging="720"/>
      </w:pPr>
      <w:r>
        <w:rPr>
          <w:b/>
        </w:rPr>
        <w:t xml:space="preserve">6. </w:t>
      </w:r>
      <w:r>
        <w:rPr>
          <w:b/>
        </w:rPr>
        <w:tab/>
        <w:t>Nákup a zpracování knihovních fondů pořízených z prostředků obce a jejich</w:t>
      </w:r>
      <w:r>
        <w:t xml:space="preserve"> distribuce v obsluhovaných knihovnách, které na tuto službu uzavřely smlouvu s pověřenou knihovnou: </w:t>
      </w:r>
      <w:r>
        <w:t xml:space="preserve"> </w:t>
      </w:r>
    </w:p>
    <w:p w:rsidR="0082432A" w:rsidRDefault="00BE66C4">
      <w:pPr>
        <w:numPr>
          <w:ilvl w:val="0"/>
          <w:numId w:val="6"/>
        </w:numPr>
        <w:ind w:right="387" w:hanging="425"/>
      </w:pPr>
      <w:r>
        <w:t xml:space="preserve">akvizice, katalogizace a technická úprava knihovního fondu </w:t>
      </w:r>
    </w:p>
    <w:p w:rsidR="0082432A" w:rsidRDefault="00BE66C4">
      <w:pPr>
        <w:numPr>
          <w:ilvl w:val="0"/>
          <w:numId w:val="6"/>
        </w:numPr>
        <w:ind w:right="387" w:hanging="425"/>
      </w:pPr>
      <w:r>
        <w:t xml:space="preserve">jeho distribuce do knihoven </w:t>
      </w:r>
    </w:p>
    <w:p w:rsidR="0082432A" w:rsidRDefault="00BE66C4">
      <w:pPr>
        <w:numPr>
          <w:ilvl w:val="0"/>
          <w:numId w:val="6"/>
        </w:numPr>
        <w:ind w:right="387" w:hanging="425"/>
      </w:pPr>
      <w:r>
        <w:t xml:space="preserve">provádění odpisů </w:t>
      </w:r>
    </w:p>
    <w:p w:rsidR="0082432A" w:rsidRDefault="00BE66C4">
      <w:pPr>
        <w:numPr>
          <w:ilvl w:val="0"/>
          <w:numId w:val="6"/>
        </w:numPr>
        <w:spacing w:after="127"/>
        <w:ind w:right="387" w:hanging="425"/>
      </w:pPr>
      <w:r>
        <w:t xml:space="preserve">tvorba regionálního souborného katalogu </w:t>
      </w:r>
    </w:p>
    <w:p w:rsidR="0082432A" w:rsidRDefault="00BE66C4">
      <w:pPr>
        <w:pStyle w:val="Nadpis1"/>
        <w:tabs>
          <w:tab w:val="center" w:pos="3476"/>
        </w:tabs>
        <w:ind w:left="-15" w:firstLine="0"/>
      </w:pPr>
      <w:r>
        <w:t xml:space="preserve">7. </w:t>
      </w:r>
      <w:r>
        <w:tab/>
        <w:t xml:space="preserve">Servis automatizovaného knihovního systému (AKS) </w:t>
      </w:r>
    </w:p>
    <w:p w:rsidR="0082432A" w:rsidRDefault="00BE66C4">
      <w:pPr>
        <w:ind w:left="703" w:right="387"/>
      </w:pPr>
      <w:r>
        <w:t xml:space="preserve">Zajištění servisních služeb AKS pouze v </w:t>
      </w:r>
      <w:r>
        <w:t>částech, které jsou využívány k plnění regionálních funkcí v obsluhovaných knihovnách.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2432A">
      <w:pgSz w:w="11906" w:h="16838"/>
      <w:pgMar w:top="1440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C3566"/>
    <w:multiLevelType w:val="hybridMultilevel"/>
    <w:tmpl w:val="74C8C1B8"/>
    <w:lvl w:ilvl="0" w:tplc="2C623576">
      <w:start w:val="1"/>
      <w:numFmt w:val="lowerLetter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455F8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DC453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68D62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0BF2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2575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2C685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669FC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E080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96ED7"/>
    <w:multiLevelType w:val="hybridMultilevel"/>
    <w:tmpl w:val="15607BD2"/>
    <w:lvl w:ilvl="0" w:tplc="93CC64F0">
      <w:start w:val="1"/>
      <w:numFmt w:val="lowerLetter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C93D4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B60C7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84D60E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EB2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D09A7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E03DD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2C8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2490C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265EAB"/>
    <w:multiLevelType w:val="hybridMultilevel"/>
    <w:tmpl w:val="FB245906"/>
    <w:lvl w:ilvl="0" w:tplc="C0F2AAFC">
      <w:start w:val="1"/>
      <w:numFmt w:val="lowerLetter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024E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AEC9A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E0BB32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768EE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C8F0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6AA4EC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20A3F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2859D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254B9E"/>
    <w:multiLevelType w:val="hybridMultilevel"/>
    <w:tmpl w:val="6F86050C"/>
    <w:lvl w:ilvl="0" w:tplc="FE025E64">
      <w:start w:val="1"/>
      <w:numFmt w:val="lowerLetter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AC1A7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84FFB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2360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F8D35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BA0CAC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A09770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344E7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25A0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F850B7"/>
    <w:multiLevelType w:val="hybridMultilevel"/>
    <w:tmpl w:val="83388DB4"/>
    <w:lvl w:ilvl="0" w:tplc="DADCC0C8">
      <w:start w:val="1"/>
      <w:numFmt w:val="lowerLetter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62723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8BFB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6494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36C5F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0921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EE3B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C36A0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D4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117A69"/>
    <w:multiLevelType w:val="hybridMultilevel"/>
    <w:tmpl w:val="B3AA2A18"/>
    <w:lvl w:ilvl="0" w:tplc="694880B2">
      <w:start w:val="1"/>
      <w:numFmt w:val="lowerLetter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38398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22ABB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B2DD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C4542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4CE6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2441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C6F9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D09FA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2A"/>
    <w:rsid w:val="0082432A"/>
    <w:rsid w:val="00B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11AE56-BD95-48A9-B34E-3E3C51F3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68" w:lineRule="auto"/>
      <w:ind w:left="10" w:hanging="10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22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Bc. Marie Šedá</dc:creator>
  <cp:keywords/>
  <cp:lastModifiedBy>Dagmar Mikundová</cp:lastModifiedBy>
  <cp:revision>2</cp:revision>
  <dcterms:created xsi:type="dcterms:W3CDTF">2025-12-18T11:23:00Z</dcterms:created>
  <dcterms:modified xsi:type="dcterms:W3CDTF">2025-12-18T11:23:00Z</dcterms:modified>
</cp:coreProperties>
</file>