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401786A" w:rsidR="0098229D" w:rsidRPr="00533179" w:rsidRDefault="004101E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OBJEDN</w:t>
            </w:r>
            <w:r w:rsidR="00995EBF">
              <w:rPr>
                <w:rFonts w:cs="Georgia"/>
                <w:b/>
                <w:bCs/>
                <w:color w:val="000000"/>
                <w:sz w:val="43"/>
                <w:szCs w:val="43"/>
              </w:rPr>
              <w:t>ÁVKA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775611">
              <w:rPr>
                <w:rFonts w:cs="Georgia"/>
                <w:b/>
                <w:bCs/>
                <w:color w:val="000000"/>
                <w:sz w:val="43"/>
                <w:szCs w:val="43"/>
              </w:rPr>
              <w:t>402</w:t>
            </w:r>
          </w:p>
          <w:p w14:paraId="096F1E56" w14:textId="77777777" w:rsidR="00445B8D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E11726" w:rsidRPr="00E11726">
              <w:rPr>
                <w:rFonts w:cs="Georgia"/>
                <w:color w:val="000000"/>
                <w:sz w:val="20"/>
                <w:szCs w:val="20"/>
              </w:rPr>
              <w:t>ŘVC/654/2020/ORE-75</w:t>
            </w:r>
          </w:p>
          <w:p w14:paraId="2F732358" w14:textId="2A9ACEF4" w:rsidR="00E11726" w:rsidRPr="00533179" w:rsidRDefault="00E117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1726">
              <w:rPr>
                <w:rFonts w:ascii="Arial" w:hAnsi="Arial" w:cs="Arial"/>
                <w:color w:val="000000"/>
                <w:sz w:val="14"/>
                <w:szCs w:val="14"/>
              </w:rPr>
              <w:t>RVCCR-eO-D2507848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5C92C2A" w:rsidR="00D52E3A" w:rsidRPr="00A95AAF" w:rsidRDefault="00A95AAF" w:rsidP="00A9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A95AAF">
              <w:rPr>
                <w:rFonts w:cs="Georgia"/>
                <w:b/>
                <w:bCs/>
                <w:color w:val="000000"/>
              </w:rPr>
              <w:t>Contract</w:t>
            </w:r>
            <w:proofErr w:type="spellEnd"/>
            <w:r w:rsidRPr="00A95AAF">
              <w:rPr>
                <w:rFonts w:cs="Georgia"/>
                <w:b/>
                <w:bCs/>
                <w:color w:val="000000"/>
              </w:rPr>
              <w:t xml:space="preserve"> management, a.s.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51515C4" w:rsidR="00D52E3A" w:rsidRPr="006A684A" w:rsidRDefault="00A95AA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95AAF">
              <w:rPr>
                <w:rFonts w:cs="Georgia"/>
                <w:color w:val="000000"/>
              </w:rPr>
              <w:t>Pujmanové 1753/</w:t>
            </w:r>
            <w:proofErr w:type="gramStart"/>
            <w:r w:rsidRPr="00A95AAF">
              <w:rPr>
                <w:rFonts w:cs="Georgia"/>
                <w:color w:val="000000"/>
              </w:rPr>
              <w:t>10a</w:t>
            </w:r>
            <w:proofErr w:type="gramEnd"/>
            <w:r w:rsidRPr="00A95AAF">
              <w:rPr>
                <w:rFonts w:cs="Georgia"/>
                <w:color w:val="000000"/>
              </w:rPr>
              <w:t xml:space="preserve">, </w:t>
            </w:r>
            <w:r w:rsidR="00CC0961">
              <w:rPr>
                <w:rFonts w:cs="Georgia"/>
                <w:color w:val="000000"/>
              </w:rPr>
              <w:br/>
            </w:r>
            <w:r w:rsidRPr="00A95AAF">
              <w:rPr>
                <w:rFonts w:cs="Georgia"/>
                <w:color w:val="000000"/>
              </w:rPr>
              <w:t>Nusle, 140 00 Praha 4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0D7718E" w:rsidR="00D52E3A" w:rsidRPr="000F3C71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05BCE2C" w:rsidR="00D52E3A" w:rsidRPr="00CC0961" w:rsidRDefault="00A95AA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C0961">
              <w:rPr>
                <w:rFonts w:cs="Georgia"/>
                <w:color w:val="000000"/>
              </w:rPr>
              <w:t>05306035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60B3FA8" w:rsidR="00D52E3A" w:rsidRPr="000F3C71" w:rsidRDefault="000F3C7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0F3C71">
              <w:rPr>
                <w:rFonts w:cs="Georgia"/>
                <w:bCs/>
                <w:color w:val="000000"/>
              </w:rPr>
              <w:t>CZ05306035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39575CBC" w:rsidR="00D52E3A" w:rsidRPr="00533179" w:rsidRDefault="00EF3B3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91B7883" w:rsidR="00D52E3A" w:rsidRPr="00533179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D7441A2" w:rsidR="00D52E3A" w:rsidRPr="006A684A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086D4B0" w:rsidR="00D52E3A" w:rsidRPr="00533179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7DD72AB" w:rsidR="00D52E3A" w:rsidRPr="006A684A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2E5F6D6" w:rsidR="00D52E3A" w:rsidRPr="00533179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98255C4" w:rsidR="00D52E3A" w:rsidRPr="006A684A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B706781" w:rsidR="00D52E3A" w:rsidRPr="00533179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195A62E" w:rsidR="00D52E3A" w:rsidRPr="006A684A" w:rsidRDefault="00CC096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0A9D6B3" w:rsidR="00DA0419" w:rsidRPr="008930D9" w:rsidRDefault="006A684A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930D9">
              <w:rPr>
                <w:rFonts w:cs="Calibri"/>
              </w:rPr>
              <w:t xml:space="preserve">Zapsána v obchodním rejstříku vedeném u </w:t>
            </w:r>
            <w:r w:rsidR="008930D9" w:rsidRPr="008930D9">
              <w:rPr>
                <w:rFonts w:cs="Calibri"/>
              </w:rPr>
              <w:t>Městského</w:t>
            </w:r>
            <w:r w:rsidRPr="008930D9">
              <w:rPr>
                <w:rFonts w:cs="Calibri"/>
              </w:rPr>
              <w:t xml:space="preserve"> soudu v</w:t>
            </w:r>
            <w:r w:rsidR="008930D9" w:rsidRPr="008930D9">
              <w:rPr>
                <w:rFonts w:cs="Calibri"/>
              </w:rPr>
              <w:t xml:space="preserve"> Praze</w:t>
            </w:r>
            <w:r w:rsidRPr="008930D9">
              <w:rPr>
                <w:rFonts w:cs="Calibri"/>
              </w:rPr>
              <w:t xml:space="preserve">, oddíl </w:t>
            </w:r>
            <w:r w:rsidR="008930D9" w:rsidRPr="008930D9">
              <w:rPr>
                <w:rFonts w:cs="Calibri"/>
              </w:rPr>
              <w:t>B</w:t>
            </w:r>
            <w:r w:rsidRPr="008930D9">
              <w:rPr>
                <w:rFonts w:cs="Calibri"/>
              </w:rPr>
              <w:t xml:space="preserve">, vložka </w:t>
            </w:r>
            <w:r w:rsidR="008930D9" w:rsidRPr="008930D9">
              <w:rPr>
                <w:rFonts w:cs="Calibri"/>
              </w:rPr>
              <w:t>21757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6871826" w14:textId="16DE0F94" w:rsidR="00A532D8" w:rsidRDefault="001C74EE" w:rsidP="0000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lastRenderedPageBreak/>
              <w:t>Objednáváme u Vás:</w:t>
            </w:r>
          </w:p>
          <w:p w14:paraId="4F0E7F84" w14:textId="0627ED42" w:rsidR="00775611" w:rsidRPr="00775611" w:rsidRDefault="00775611" w:rsidP="00006B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75611">
              <w:t xml:space="preserve">Zpracování expertního ekonomického posouzení nároků zhotovitele u zastavené </w:t>
            </w:r>
            <w:proofErr w:type="gramStart"/>
            <w:r w:rsidRPr="00775611">
              <w:t>stavby ,,Přístaviště</w:t>
            </w:r>
            <w:proofErr w:type="gramEnd"/>
            <w:r w:rsidRPr="00775611">
              <w:t xml:space="preserve"> v </w:t>
            </w:r>
            <w:proofErr w:type="gramStart"/>
            <w:r w:rsidRPr="00775611">
              <w:t>Mělník - posouzení</w:t>
            </w:r>
            <w:proofErr w:type="gramEnd"/>
            <w:r w:rsidRPr="00775611">
              <w:t xml:space="preserve"> dodatečných podkladů</w:t>
            </w:r>
          </w:p>
          <w:p w14:paraId="7F92FB23" w14:textId="38B873A6" w:rsidR="00A532D8" w:rsidRDefault="00006B13" w:rsidP="00A532D8">
            <w:pPr>
              <w:spacing w:line="320" w:lineRule="atLeast"/>
              <w:jc w:val="both"/>
            </w:pPr>
            <w:r>
              <w:t xml:space="preserve">Zajištění expertního ekonomického </w:t>
            </w:r>
            <w:r w:rsidR="00A532D8">
              <w:t>posouzení</w:t>
            </w:r>
            <w:r>
              <w:t xml:space="preserve">, zastavené </w:t>
            </w:r>
            <w:proofErr w:type="gramStart"/>
            <w:r>
              <w:t>stavby</w:t>
            </w:r>
            <w:r w:rsidR="00310743">
              <w:t xml:space="preserve"> </w:t>
            </w:r>
            <w:r>
              <w:t>,,Přístaviště</w:t>
            </w:r>
            <w:proofErr w:type="gramEnd"/>
            <w:r w:rsidR="00310743">
              <w:t xml:space="preserve"> </w:t>
            </w:r>
            <w:r>
              <w:t>Mělník“.</w:t>
            </w:r>
            <w:r w:rsidR="00A532D8">
              <w:t xml:space="preserve"> </w:t>
            </w:r>
            <w:r>
              <w:t xml:space="preserve">Posouzeny budou </w:t>
            </w:r>
            <w:r w:rsidR="00A532D8">
              <w:t>vešker</w:t>
            </w:r>
            <w:r>
              <w:t>é</w:t>
            </w:r>
            <w:r w:rsidR="00A532D8">
              <w:t xml:space="preserve"> </w:t>
            </w:r>
            <w:r w:rsidR="00775611">
              <w:t xml:space="preserve">dodatečné </w:t>
            </w:r>
            <w:r w:rsidR="00A532D8">
              <w:t>podklad</w:t>
            </w:r>
            <w:r>
              <w:t xml:space="preserve">y </w:t>
            </w:r>
            <w:r w:rsidR="00A532D8">
              <w:t>doložen</w:t>
            </w:r>
            <w:r>
              <w:t>é</w:t>
            </w:r>
            <w:r w:rsidR="00A532D8">
              <w:t xml:space="preserve"> zhotovitelem k vyčíslení jeho </w:t>
            </w:r>
            <w:r>
              <w:t>nároků,</w:t>
            </w:r>
            <w:r w:rsidR="00A532D8">
              <w:t xml:space="preserve"> včetně přezkoumání i dodatečně dodaných dokladů zhotovitelem na základě </w:t>
            </w:r>
            <w:r w:rsidR="00310743">
              <w:t>p</w:t>
            </w:r>
            <w:r w:rsidR="00775611">
              <w:t xml:space="preserve">řípadné </w:t>
            </w:r>
            <w:r w:rsidR="00A532D8">
              <w:t>výzvy.</w:t>
            </w:r>
          </w:p>
          <w:p w14:paraId="305C4FD0" w14:textId="01A4494D" w:rsidR="00006B13" w:rsidRDefault="00006B13" w:rsidP="00006B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Samotné </w:t>
            </w:r>
            <w:r w:rsidR="00775611">
              <w:t xml:space="preserve">dodatečné </w:t>
            </w:r>
            <w:r>
              <w:t>expertní posouzení bude v souladu s</w:t>
            </w:r>
            <w:r w:rsidR="00995EBF">
              <w:t> podmínkami FIDIC,</w:t>
            </w:r>
            <w:r>
              <w:t xml:space="preserve"> pravidly a metodikami SFDI </w:t>
            </w:r>
            <w:r w:rsidR="00995EBF">
              <w:t>i</w:t>
            </w:r>
            <w:r>
              <w:t xml:space="preserve"> </w:t>
            </w:r>
            <w:r w:rsidR="00617D08">
              <w:t>Ministerstva</w:t>
            </w:r>
            <w:r>
              <w:t xml:space="preserve"> </w:t>
            </w:r>
            <w:r w:rsidR="00995EBF">
              <w:t>d</w:t>
            </w:r>
            <w:r>
              <w:t xml:space="preserve">opravy a dále dne platných právních předpisů. Expertní posouzení může být v budoucnu použito jako </w:t>
            </w:r>
            <w:r w:rsidR="00995EBF">
              <w:t xml:space="preserve">soudní </w:t>
            </w:r>
            <w:r>
              <w:t>důkaz pro posouzení, zda jsou jednotlivé dílčí nároky uplatněné zhotovitelem oprávněné a řádně prokázané.</w:t>
            </w:r>
          </w:p>
          <w:p w14:paraId="2F6754E0" w14:textId="10FE8C1B" w:rsidR="00A532D8" w:rsidRDefault="00A532D8" w:rsidP="003E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05BA6AA7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  <w:t>Rozpis služeb, cena a doba plnění</w:t>
            </w:r>
          </w:p>
          <w:p w14:paraId="5B9A4668" w14:textId="77777777" w:rsidR="008E3B66" w:rsidRPr="00310743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10743"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  <w:t>Tabulka 1: Cenová nabídka</w:t>
            </w:r>
          </w:p>
          <w:p w14:paraId="1C4ABBBE" w14:textId="77777777" w:rsidR="00593485" w:rsidRPr="00CC0961" w:rsidRDefault="00593485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</w:p>
          <w:p w14:paraId="3C9EC1F2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  <w:t>Expertní ekonomické posouzení stavby „Přístaviště Mělník“</w:t>
            </w:r>
          </w:p>
          <w:p w14:paraId="31833C1A" w14:textId="61F9E712" w:rsidR="008E3B66" w:rsidRPr="00CC0961" w:rsidRDefault="008E3B66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Zajištění expertního ekonomického posouzení, zastavené stavby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„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Přístaviště Mělník“. Posouzeny budou dodatečně doložené podklady k vyčíslení nároků, bude připraven sepis výzvy zhotoviteli k doložení těchto chybějících dokladů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a přezkoumání i dodatečně dodaných dokladů zhotovitelem na základě výzvy.</w:t>
            </w:r>
          </w:p>
          <w:p w14:paraId="3F2D1E2F" w14:textId="77777777" w:rsidR="00CC0961" w:rsidRPr="00CC0961" w:rsidRDefault="00CC0961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</w:p>
          <w:p w14:paraId="74309D70" w14:textId="032C9171" w:rsidR="008E3B66" w:rsidRPr="00CC0961" w:rsidRDefault="008E3B66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Prostudování a evidence doplněných dokladů ke kapitolám </w:t>
            </w:r>
            <w:proofErr w:type="gram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2a</w:t>
            </w:r>
            <w:proofErr w:type="gram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– THP Mzdy, </w:t>
            </w:r>
            <w:proofErr w:type="gram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2b</w:t>
            </w:r>
            <w:proofErr w:type="gram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– ubytování THP,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2c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– Pronájem vozidel, </w:t>
            </w:r>
            <w:proofErr w:type="gram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3a</w:t>
            </w:r>
            <w:proofErr w:type="gram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– výpadková správní režie, </w:t>
            </w:r>
            <w:proofErr w:type="gram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4a</w:t>
            </w:r>
            <w:proofErr w:type="gram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– stavební kontejnery a </w:t>
            </w:r>
            <w:proofErr w:type="gram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5b</w:t>
            </w:r>
            <w:proofErr w:type="gram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– bankovní záruky za zajištění splnění smlouvy. Jedná se o kapitoly navyšující nárokovanou částku z 18,5 milionů na 23,5 miliónů.</w:t>
            </w:r>
          </w:p>
          <w:p w14:paraId="33149892" w14:textId="77777777" w:rsidR="00CC0961" w:rsidRPr="00CC0961" w:rsidRDefault="00CC0961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/>
                <w:sz w:val="24"/>
                <w:szCs w:val="24"/>
              </w:rPr>
            </w:pPr>
          </w:p>
          <w:p w14:paraId="0814CD06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/>
                <w:sz w:val="28"/>
                <w:szCs w:val="28"/>
              </w:rPr>
              <w:t>Jednání v sídle Objednatele za účasti Zhotovitele k diskusi nad doplněnými doklady a závěry expertního posouzení.</w:t>
            </w:r>
          </w:p>
          <w:p w14:paraId="09B6F773" w14:textId="77777777" w:rsidR="00CC0961" w:rsidRPr="00CC0961" w:rsidRDefault="00CC0961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/>
                <w:sz w:val="28"/>
                <w:szCs w:val="28"/>
              </w:rPr>
            </w:pPr>
          </w:p>
          <w:p w14:paraId="210A120F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/>
                <w:sz w:val="28"/>
                <w:szCs w:val="28"/>
              </w:rPr>
              <w:t>Prostudování doplnění dokladů na základě závěru jednání z jednání, a to včetně úpravy posouzení a vydání aktualizovaného čistopisu.</w:t>
            </w:r>
          </w:p>
          <w:p w14:paraId="1A6389BE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</w:p>
          <w:p w14:paraId="29F5C2B3" w14:textId="77777777" w:rsidR="00593485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Ocenění služby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m.j</w:t>
            </w:r>
            <w:proofErr w:type="spell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  <w:t xml:space="preserve">Počet </w:t>
            </w:r>
            <w:proofErr w:type="spell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m.j</w:t>
            </w:r>
            <w:proofErr w:type="spell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  <w:t xml:space="preserve">Cena za </w:t>
            </w:r>
            <w:proofErr w:type="spellStart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m.j</w:t>
            </w:r>
            <w:proofErr w:type="spellEnd"/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. (CZK)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00085743" w14:textId="363D7824" w:rsidR="008E3B66" w:rsidRPr="00593485" w:rsidRDefault="00593485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 w:themeColor="text1"/>
                <w:sz w:val="28"/>
                <w:szCs w:val="28"/>
              </w:rPr>
            </w:pPr>
            <w:r w:rsidRPr="00593485">
              <w:rPr>
                <w:rFonts w:cs="Georgia"/>
                <w:color w:val="000000" w:themeColor="text1"/>
                <w:sz w:val="28"/>
                <w:szCs w:val="28"/>
              </w:rPr>
              <w:t xml:space="preserve">                                  </w:t>
            </w:r>
            <w:proofErr w:type="spellStart"/>
            <w:r w:rsidR="008E3B66" w:rsidRPr="00593485">
              <w:rPr>
                <w:rFonts w:cs="Georgia"/>
                <w:color w:val="000000" w:themeColor="text1"/>
                <w:sz w:val="28"/>
                <w:szCs w:val="28"/>
              </w:rPr>
              <w:t>kpl</w:t>
            </w:r>
            <w:proofErr w:type="spellEnd"/>
            <w:r w:rsidR="008E3B66" w:rsidRPr="00593485">
              <w:rPr>
                <w:rFonts w:cs="Georgia"/>
                <w:color w:val="000000" w:themeColor="text1"/>
                <w:sz w:val="28"/>
                <w:szCs w:val="28"/>
              </w:rPr>
              <w:tab/>
            </w:r>
            <w:r w:rsidRPr="00593485">
              <w:rPr>
                <w:rFonts w:cs="Georgia"/>
                <w:color w:val="000000" w:themeColor="text1"/>
                <w:sz w:val="28"/>
                <w:szCs w:val="28"/>
              </w:rPr>
              <w:t xml:space="preserve">    </w:t>
            </w:r>
            <w:r w:rsidRPr="00593485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1   </w:t>
            </w:r>
            <w:r>
              <w:rPr>
                <w:rFonts w:cs="Georgia"/>
                <w:color w:val="000000" w:themeColor="text1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cs="Georgia"/>
                <w:color w:val="000000" w:themeColor="text1"/>
                <w:sz w:val="28"/>
                <w:szCs w:val="28"/>
              </w:rPr>
              <w:t>xxxx</w:t>
            </w:r>
            <w:proofErr w:type="spellEnd"/>
          </w:p>
          <w:p w14:paraId="744D9813" w14:textId="77777777" w:rsidR="003900E0" w:rsidRDefault="003900E0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</w:p>
          <w:p w14:paraId="5B0866E7" w14:textId="3A589B60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Cena bez DPH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</w:r>
            <w:r w:rsid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82 000,00</w:t>
            </w:r>
          </w:p>
          <w:p w14:paraId="6C608349" w14:textId="33D46B49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DPH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</w:r>
            <w:r w:rsid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17 220,00</w:t>
            </w:r>
          </w:p>
          <w:p w14:paraId="4D99670D" w14:textId="065FB6C6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Cena vč. DPH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ab/>
            </w:r>
            <w:r w:rsid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99 220,00</w:t>
            </w:r>
          </w:p>
          <w:p w14:paraId="5705A438" w14:textId="77777777" w:rsidR="00CC0961" w:rsidRPr="00CC0961" w:rsidRDefault="00CC0961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</w:p>
          <w:p w14:paraId="2CB139AC" w14:textId="0D2351B1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Cena za poskytování služeb: Celková   cena   poskytování služe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b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společnosti    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  <w:lang w:val="en-CA"/>
              </w:rPr>
              <w:t>Contract</w:t>
            </w:r>
            <w:r w:rsidR="00CC0961"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 xml:space="preserve">management, a.s. je stanovena na </w:t>
            </w:r>
            <w:r w:rsidRPr="00CC0961">
              <w:rPr>
                <w:rFonts w:cs="Georgia"/>
                <w:b/>
                <w:bCs/>
                <w:i/>
                <w:iCs/>
                <w:color w:val="000000" w:themeColor="text1"/>
                <w:sz w:val="28"/>
                <w:szCs w:val="28"/>
              </w:rPr>
              <w:t>82 000,00 Kč bez DPH</w:t>
            </w:r>
            <w:r w:rsidRPr="00CC0961">
              <w:rPr>
                <w:rFonts w:cs="Georgia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14:paraId="25FE3BB3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  <w:p w14:paraId="25450F0E" w14:textId="77777777" w:rsidR="008E3B66" w:rsidRPr="00CC0961" w:rsidRDefault="008E3B66" w:rsidP="008E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color w:val="000000" w:themeColor="text1"/>
                <w:sz w:val="32"/>
                <w:szCs w:val="32"/>
              </w:rPr>
              <w:t xml:space="preserve">Za </w:t>
            </w:r>
            <w:r w:rsidRPr="00CC0961">
              <w:rPr>
                <w:rFonts w:cs="Georgia"/>
                <w:color w:val="000000" w:themeColor="text1"/>
                <w:sz w:val="28"/>
                <w:szCs w:val="28"/>
              </w:rPr>
              <w:t>Poskytovatele</w:t>
            </w:r>
          </w:p>
          <w:p w14:paraId="3A4CA444" w14:textId="17E185F6" w:rsidR="008E3B66" w:rsidRPr="00CC0961" w:rsidRDefault="00CC0961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Georgia"/>
                <w:color w:val="000000" w:themeColor="text1"/>
                <w:sz w:val="28"/>
                <w:szCs w:val="28"/>
              </w:rPr>
            </w:pPr>
            <w:proofErr w:type="spellStart"/>
            <w:r w:rsidRPr="00CC0961">
              <w:rPr>
                <w:rFonts w:cs="Georgia"/>
                <w:color w:val="000000" w:themeColor="text1"/>
                <w:sz w:val="28"/>
                <w:szCs w:val="28"/>
              </w:rPr>
              <w:t>xxxxx</w:t>
            </w:r>
            <w:proofErr w:type="spellEnd"/>
          </w:p>
          <w:p w14:paraId="550909B9" w14:textId="566BA8D3" w:rsidR="008E3B66" w:rsidRPr="00CC0961" w:rsidRDefault="008E3B66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Georgia"/>
                <w:color w:val="000000" w:themeColor="text1"/>
                <w:sz w:val="28"/>
                <w:szCs w:val="28"/>
              </w:rPr>
            </w:pPr>
            <w:r w:rsidRPr="00CC0961">
              <w:rPr>
                <w:rFonts w:cs="Georgia"/>
                <w:color w:val="000000" w:themeColor="text1"/>
                <w:sz w:val="28"/>
                <w:szCs w:val="28"/>
              </w:rPr>
              <w:t>Člen představenstva</w:t>
            </w:r>
          </w:p>
          <w:p w14:paraId="16D5CECE" w14:textId="56C6E90E" w:rsidR="008E3B66" w:rsidRPr="00CC0961" w:rsidRDefault="008E3B66" w:rsidP="00CC0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Georgia"/>
                <w:color w:val="000000" w:themeColor="text1"/>
                <w:sz w:val="28"/>
                <w:szCs w:val="28"/>
              </w:rPr>
            </w:pPr>
            <w:proofErr w:type="spellStart"/>
            <w:r w:rsidRPr="00CC0961">
              <w:rPr>
                <w:rFonts w:cs="Georgia"/>
                <w:color w:val="000000" w:themeColor="text1"/>
                <w:sz w:val="28"/>
                <w:szCs w:val="28"/>
              </w:rPr>
              <w:t>Contract</w:t>
            </w:r>
            <w:proofErr w:type="spellEnd"/>
            <w:r w:rsidRPr="00CC0961">
              <w:rPr>
                <w:rFonts w:cs="Georgia"/>
                <w:color w:val="000000" w:themeColor="text1"/>
                <w:sz w:val="28"/>
                <w:szCs w:val="28"/>
              </w:rPr>
              <w:t xml:space="preserve"> management, a.s.</w:t>
            </w:r>
          </w:p>
          <w:p w14:paraId="6D847497" w14:textId="77777777" w:rsidR="008E3B66" w:rsidRPr="00CC0961" w:rsidRDefault="008E3B66" w:rsidP="003E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32"/>
                <w:szCs w:val="32"/>
              </w:rPr>
            </w:pPr>
          </w:p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</w:tblGrid>
            <w:tr w:rsidR="003E6FB0" w:rsidRPr="003E6FB0" w14:paraId="23027DA2" w14:textId="77777777" w:rsidTr="003E6FB0">
              <w:trPr>
                <w:trHeight w:val="432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17B834" w14:textId="5E966F0D" w:rsidR="00F413FF" w:rsidRPr="003E6FB0" w:rsidRDefault="00F413FF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6936A70C" w14:textId="0D9AD118" w:rsidR="00995EBF" w:rsidRPr="00630374" w:rsidRDefault="00995EBF" w:rsidP="00630374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Objednatel vybranému uchazeči předá kompletní </w:t>
            </w:r>
            <w:r w:rsidR="00775611">
              <w:rPr>
                <w:rFonts w:cs="Georgia"/>
                <w:color w:val="000000"/>
              </w:rPr>
              <w:t>dodatečné</w:t>
            </w:r>
            <w:r>
              <w:rPr>
                <w:rFonts w:cs="Georgia"/>
                <w:color w:val="000000"/>
              </w:rPr>
              <w:t xml:space="preserve"> podklady.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4E842205" w:rsidR="00566F6C" w:rsidRPr="00775611" w:rsidRDefault="00775611" w:rsidP="00020511">
            <w:pPr>
              <w:rPr>
                <w:rFonts w:cs="Georgia"/>
                <w:sz w:val="24"/>
                <w:szCs w:val="24"/>
              </w:rPr>
            </w:pPr>
            <w:r w:rsidRPr="00E11726">
              <w:rPr>
                <w:rFonts w:cs="Georgia"/>
                <w:sz w:val="24"/>
                <w:szCs w:val="24"/>
              </w:rPr>
              <w:lastRenderedPageBreak/>
              <w:t>V</w:t>
            </w:r>
            <w:r>
              <w:rPr>
                <w:rFonts w:cs="Georgia"/>
                <w:sz w:val="24"/>
                <w:szCs w:val="24"/>
              </w:rPr>
              <w:t xml:space="preserve">ybraný zhotovitel je zpracovatelem </w:t>
            </w:r>
            <w:r w:rsidR="00F413FF">
              <w:rPr>
                <w:rFonts w:cs="Georgia"/>
                <w:sz w:val="24"/>
                <w:szCs w:val="24"/>
              </w:rPr>
              <w:t>e</w:t>
            </w:r>
            <w:r>
              <w:rPr>
                <w:rFonts w:cs="Georgia"/>
                <w:sz w:val="24"/>
                <w:szCs w:val="24"/>
              </w:rPr>
              <w:t xml:space="preserve">xpertního posouzení, které bylo vypracováno daným </w:t>
            </w:r>
            <w:r w:rsidR="00F413FF">
              <w:rPr>
                <w:rFonts w:cs="Georgia"/>
                <w:sz w:val="24"/>
                <w:szCs w:val="24"/>
              </w:rPr>
              <w:t>dodavatelem</w:t>
            </w:r>
            <w:r>
              <w:rPr>
                <w:rFonts w:cs="Georgia"/>
                <w:sz w:val="24"/>
                <w:szCs w:val="24"/>
              </w:rPr>
              <w:t>, při samotném vypořádání se zhotovitele se ukázalo jako nezbytné posouzení dodatečně doložených podkladů, které je nutné posoudit</w:t>
            </w:r>
            <w:r w:rsidR="00F413FF">
              <w:rPr>
                <w:rFonts w:cs="Georgia"/>
                <w:sz w:val="24"/>
                <w:szCs w:val="24"/>
              </w:rPr>
              <w:t xml:space="preserve"> nad rámec původní objednávky OBJ-2025-129. Zakázka je přidělena původnímu zpracovateli pro znalost, ucelenost a ekonomickou výhodnost celkového expertního posouzení.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4CD811FB" w14:textId="77777777" w:rsidR="00593485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93485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C27B7">
              <w:rPr>
                <w:rFonts w:cs="Arial"/>
                <w:color w:val="000000"/>
                <w:sz w:val="17"/>
                <w:szCs w:val="17"/>
              </w:rPr>
              <w:t>ORE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</w:p>
          <w:p w14:paraId="1A757CD0" w14:textId="7A69EDE3" w:rsidR="00020511" w:rsidRPr="00BC1057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305A083D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413FF">
              <w:rPr>
                <w:rFonts w:cs="Georgia"/>
                <w:b/>
                <w:color w:val="000000"/>
                <w:sz w:val="24"/>
                <w:szCs w:val="24"/>
              </w:rPr>
              <w:t>82</w:t>
            </w:r>
            <w:r w:rsidR="00D7222C" w:rsidRPr="00D7222C">
              <w:rPr>
                <w:rFonts w:cs="Georgia"/>
                <w:b/>
                <w:color w:val="000000"/>
                <w:sz w:val="24"/>
                <w:szCs w:val="24"/>
              </w:rPr>
              <w:t> 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79000FAA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F413FF">
              <w:rPr>
                <w:rFonts w:cs="Georgia"/>
                <w:b/>
                <w:color w:val="000000"/>
                <w:sz w:val="24"/>
                <w:szCs w:val="24"/>
              </w:rPr>
              <w:t>99 220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68C9FCC" w:rsidR="0098229D" w:rsidRPr="00533179" w:rsidRDefault="00F413F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E11726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72D6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E11726">
              <w:rPr>
                <w:rFonts w:cs="Georgia"/>
                <w:color w:val="000000"/>
                <w:sz w:val="21"/>
                <w:szCs w:val="21"/>
              </w:rPr>
              <w:t>3</w:t>
            </w:r>
            <w:r w:rsidR="00572D62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41940A5" w14:textId="77777777" w:rsidR="006A684A" w:rsidRDefault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  <w:p w14:paraId="694E9EF6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  <w:p w14:paraId="16EE12DA" w14:textId="79A18286" w:rsidR="006A684A" w:rsidRPr="00533179" w:rsidRDefault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82" w:type="dxa"/>
            <w:vAlign w:val="bottom"/>
          </w:tcPr>
          <w:p w14:paraId="0C5024D4" w14:textId="1BEF5A25" w:rsidR="006A684A" w:rsidRDefault="00F413F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15</w:t>
            </w:r>
            <w:r w:rsidR="004101E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43252B">
              <w:rPr>
                <w:rFonts w:cs="Georgia"/>
                <w:color w:val="000000"/>
                <w:sz w:val="21"/>
                <w:szCs w:val="21"/>
              </w:rPr>
              <w:t>5</w:t>
            </w:r>
          </w:p>
          <w:p w14:paraId="4655E633" w14:textId="09808930" w:rsidR="006A684A" w:rsidRPr="00533179" w:rsidRDefault="006A684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6A684A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3FCED31E" w:rsidR="006A684A" w:rsidRPr="00533179" w:rsidRDefault="006A684A" w:rsidP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3C8ED045" w14:textId="2A1E5080" w:rsidR="006A684A" w:rsidRPr="00533179" w:rsidRDefault="006A684A" w:rsidP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11" w:history="1">
              <w:proofErr w:type="spellStart"/>
              <w:r w:rsidR="00593485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1C357D87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ze státního rozpočtu, globální položka „Investiční akce s RN do 100 </w:t>
      </w:r>
      <w:r w:rsidR="007C1B47" w:rsidRPr="004868B6">
        <w:rPr>
          <w:b/>
          <w:bCs/>
          <w:color w:val="000000"/>
          <w:sz w:val="24"/>
          <w:szCs w:val="24"/>
        </w:rPr>
        <w:t>mil. Kč</w:t>
      </w:r>
      <w:r w:rsidRPr="004868B6">
        <w:rPr>
          <w:b/>
          <w:bCs/>
          <w:color w:val="000000"/>
          <w:sz w:val="24"/>
          <w:szCs w:val="24"/>
        </w:rPr>
        <w:t>“, číslo</w:t>
      </w:r>
      <w:r>
        <w:rPr>
          <w:b/>
          <w:bCs/>
          <w:color w:val="000000"/>
          <w:sz w:val="24"/>
          <w:szCs w:val="24"/>
        </w:rPr>
        <w:t xml:space="preserve"> </w:t>
      </w:r>
      <w:r w:rsidRPr="004868B6">
        <w:rPr>
          <w:b/>
          <w:bCs/>
          <w:color w:val="000000"/>
          <w:sz w:val="24"/>
          <w:szCs w:val="24"/>
        </w:rPr>
        <w:t xml:space="preserve">ISPROFOND 500 554 0002, </w:t>
      </w:r>
      <w:r w:rsidR="006A684A">
        <w:rPr>
          <w:b/>
          <w:bCs/>
          <w:color w:val="000000"/>
          <w:sz w:val="24"/>
          <w:szCs w:val="24"/>
        </w:rPr>
        <w:t>Přístaviště Mělník</w:t>
      </w:r>
      <w:r w:rsidRPr="004868B6">
        <w:rPr>
          <w:b/>
          <w:bCs/>
          <w:color w:val="000000"/>
          <w:sz w:val="24"/>
          <w:szCs w:val="24"/>
        </w:rPr>
        <w:t xml:space="preserve"> č. projektu </w:t>
      </w:r>
      <w:r w:rsidR="00EC27B7" w:rsidRPr="00EC27B7">
        <w:rPr>
          <w:b/>
          <w:bCs/>
          <w:color w:val="000000"/>
          <w:sz w:val="24"/>
          <w:szCs w:val="24"/>
        </w:rPr>
        <w:t>521</w:t>
      </w:r>
      <w:r w:rsidR="00EC27B7">
        <w:rPr>
          <w:b/>
          <w:bCs/>
          <w:color w:val="000000"/>
          <w:sz w:val="24"/>
          <w:szCs w:val="24"/>
        </w:rPr>
        <w:t> </w:t>
      </w:r>
      <w:r w:rsidR="00EC27B7" w:rsidRPr="00EC27B7">
        <w:rPr>
          <w:b/>
          <w:bCs/>
          <w:color w:val="000000"/>
          <w:sz w:val="24"/>
          <w:szCs w:val="24"/>
        </w:rPr>
        <w:t>553</w:t>
      </w:r>
      <w:r w:rsidR="00EC27B7">
        <w:rPr>
          <w:b/>
          <w:bCs/>
          <w:color w:val="000000"/>
          <w:sz w:val="24"/>
          <w:szCs w:val="24"/>
        </w:rPr>
        <w:t xml:space="preserve"> </w:t>
      </w:r>
      <w:r w:rsidR="00EC27B7" w:rsidRPr="00EC27B7">
        <w:rPr>
          <w:b/>
          <w:bCs/>
          <w:color w:val="000000"/>
          <w:sz w:val="24"/>
          <w:szCs w:val="24"/>
        </w:rPr>
        <w:t>0005</w:t>
      </w:r>
      <w:r>
        <w:rPr>
          <w:b/>
          <w:bCs/>
          <w:color w:val="000000"/>
          <w:sz w:val="24"/>
          <w:szCs w:val="24"/>
        </w:rPr>
        <w:t>.</w:t>
      </w:r>
    </w:p>
    <w:p w14:paraId="6E1B6A9E" w14:textId="00594832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6A684A">
        <w:rPr>
          <w:b/>
          <w:bCs/>
          <w:color w:val="000000"/>
          <w:sz w:val="24"/>
          <w:szCs w:val="24"/>
        </w:rPr>
        <w:t xml:space="preserve">není </w:t>
      </w:r>
      <w:r w:rsidRPr="00305CAE">
        <w:rPr>
          <w:b/>
          <w:bCs/>
          <w:color w:val="000000"/>
          <w:sz w:val="24"/>
          <w:szCs w:val="24"/>
        </w:rPr>
        <w:t>pro ekonomickou činnost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3247B93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593485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363472AB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</w:t>
      </w:r>
      <w:r w:rsidR="006A684A">
        <w:rPr>
          <w:b/>
          <w:bCs/>
        </w:rPr>
        <w:t>RE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02E64C9A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593485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0242573C" w14:textId="77777777" w:rsidR="00593485" w:rsidRDefault="00593485" w:rsidP="00D52E3A">
      <w:pPr>
        <w:tabs>
          <w:tab w:val="center" w:pos="5245"/>
        </w:tabs>
        <w:spacing w:after="0" w:line="240" w:lineRule="auto"/>
        <w:ind w:left="2160" w:firstLine="720"/>
      </w:pPr>
    </w:p>
    <w:p w14:paraId="56198DE0" w14:textId="77777777" w:rsidR="00593485" w:rsidRDefault="00593485" w:rsidP="00D52E3A">
      <w:pPr>
        <w:tabs>
          <w:tab w:val="center" w:pos="5245"/>
        </w:tabs>
        <w:spacing w:after="0" w:line="240" w:lineRule="auto"/>
        <w:ind w:left="2160" w:firstLine="720"/>
      </w:pPr>
    </w:p>
    <w:p w14:paraId="0AC5AF18" w14:textId="77777777" w:rsidR="00593485" w:rsidRDefault="00593485" w:rsidP="00D52E3A">
      <w:pPr>
        <w:tabs>
          <w:tab w:val="center" w:pos="5245"/>
        </w:tabs>
        <w:spacing w:after="0" w:line="240" w:lineRule="auto"/>
        <w:ind w:left="2160" w:firstLine="720"/>
      </w:pPr>
    </w:p>
    <w:p w14:paraId="6FF2EB88" w14:textId="77777777" w:rsidR="00593485" w:rsidRDefault="00593485" w:rsidP="00593485">
      <w:pPr>
        <w:tabs>
          <w:tab w:val="center" w:pos="5245"/>
        </w:tabs>
        <w:spacing w:after="0" w:line="240" w:lineRule="auto"/>
        <w:jc w:val="both"/>
      </w:pPr>
    </w:p>
    <w:p w14:paraId="532A38EA" w14:textId="16F5D4D7" w:rsidR="00593485" w:rsidRDefault="00593485" w:rsidP="00593485">
      <w:pPr>
        <w:tabs>
          <w:tab w:val="center" w:pos="5245"/>
        </w:tabs>
        <w:spacing w:after="0" w:line="240" w:lineRule="auto"/>
        <w:jc w:val="both"/>
      </w:pPr>
      <w:r>
        <w:t>Dodavatel akceptoval dne: 17.12.2025</w:t>
      </w:r>
    </w:p>
    <w:sectPr w:rsidR="00593485" w:rsidSect="00503276">
      <w:footerReference w:type="default" r:id="rId12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411D" w14:textId="77777777" w:rsidR="004C7340" w:rsidRDefault="004C7340">
      <w:pPr>
        <w:spacing w:after="0" w:line="240" w:lineRule="auto"/>
      </w:pPr>
      <w:r>
        <w:separator/>
      </w:r>
    </w:p>
  </w:endnote>
  <w:endnote w:type="continuationSeparator" w:id="0">
    <w:p w14:paraId="2FFB02F7" w14:textId="77777777" w:rsidR="004C7340" w:rsidRDefault="004C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4382" w14:textId="77777777" w:rsidR="004C7340" w:rsidRDefault="004C7340">
      <w:pPr>
        <w:spacing w:after="0" w:line="240" w:lineRule="auto"/>
      </w:pPr>
      <w:r>
        <w:separator/>
      </w:r>
    </w:p>
  </w:footnote>
  <w:footnote w:type="continuationSeparator" w:id="0">
    <w:p w14:paraId="525DED81" w14:textId="77777777" w:rsidR="004C7340" w:rsidRDefault="004C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858"/>
    <w:multiLevelType w:val="hybridMultilevel"/>
    <w:tmpl w:val="FE4A11C4"/>
    <w:lvl w:ilvl="0" w:tplc="23865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3"/>
  </w:num>
  <w:num w:numId="2" w16cid:durableId="552959251">
    <w:abstractNumId w:val="2"/>
  </w:num>
  <w:num w:numId="3" w16cid:durableId="1910338433">
    <w:abstractNumId w:val="4"/>
  </w:num>
  <w:num w:numId="4" w16cid:durableId="197161259">
    <w:abstractNumId w:val="1"/>
  </w:num>
  <w:num w:numId="5" w16cid:durableId="16121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0633"/>
    <w:rsid w:val="000020A9"/>
    <w:rsid w:val="00002353"/>
    <w:rsid w:val="00006AED"/>
    <w:rsid w:val="00006B13"/>
    <w:rsid w:val="00020511"/>
    <w:rsid w:val="000255CB"/>
    <w:rsid w:val="00045398"/>
    <w:rsid w:val="00045E9A"/>
    <w:rsid w:val="000477D3"/>
    <w:rsid w:val="000563D1"/>
    <w:rsid w:val="00056FCC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2445"/>
    <w:rsid w:val="000B78F4"/>
    <w:rsid w:val="000C6EE2"/>
    <w:rsid w:val="000D052F"/>
    <w:rsid w:val="000D521B"/>
    <w:rsid w:val="000E1D6A"/>
    <w:rsid w:val="000F0B4E"/>
    <w:rsid w:val="000F3C71"/>
    <w:rsid w:val="000F432D"/>
    <w:rsid w:val="000F53D1"/>
    <w:rsid w:val="0010131A"/>
    <w:rsid w:val="00112037"/>
    <w:rsid w:val="0012468E"/>
    <w:rsid w:val="001354F5"/>
    <w:rsid w:val="00142CB2"/>
    <w:rsid w:val="00142FE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52FD3"/>
    <w:rsid w:val="00253698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5EF2"/>
    <w:rsid w:val="002A6A77"/>
    <w:rsid w:val="002B5756"/>
    <w:rsid w:val="002C7184"/>
    <w:rsid w:val="002D437A"/>
    <w:rsid w:val="00302FA6"/>
    <w:rsid w:val="00304B16"/>
    <w:rsid w:val="00305CAE"/>
    <w:rsid w:val="00310743"/>
    <w:rsid w:val="003347D7"/>
    <w:rsid w:val="0034167F"/>
    <w:rsid w:val="00352C98"/>
    <w:rsid w:val="00360186"/>
    <w:rsid w:val="00360C8B"/>
    <w:rsid w:val="00374631"/>
    <w:rsid w:val="003860C4"/>
    <w:rsid w:val="003872C4"/>
    <w:rsid w:val="003900E0"/>
    <w:rsid w:val="0039145E"/>
    <w:rsid w:val="00391C01"/>
    <w:rsid w:val="003A3932"/>
    <w:rsid w:val="003A64DD"/>
    <w:rsid w:val="003B25AA"/>
    <w:rsid w:val="003B6675"/>
    <w:rsid w:val="003E2D12"/>
    <w:rsid w:val="003E5966"/>
    <w:rsid w:val="003E6FB0"/>
    <w:rsid w:val="003F2364"/>
    <w:rsid w:val="004101EA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C7340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2D62"/>
    <w:rsid w:val="00582B3C"/>
    <w:rsid w:val="00585546"/>
    <w:rsid w:val="00591197"/>
    <w:rsid w:val="005928C8"/>
    <w:rsid w:val="00593485"/>
    <w:rsid w:val="005A6748"/>
    <w:rsid w:val="005B152E"/>
    <w:rsid w:val="005B25DA"/>
    <w:rsid w:val="005B3ED7"/>
    <w:rsid w:val="005C0797"/>
    <w:rsid w:val="005D468F"/>
    <w:rsid w:val="005F1E73"/>
    <w:rsid w:val="005F297A"/>
    <w:rsid w:val="00603131"/>
    <w:rsid w:val="00616F9D"/>
    <w:rsid w:val="00617D08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A684A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0500B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611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C1B47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76E12"/>
    <w:rsid w:val="00882612"/>
    <w:rsid w:val="008930D9"/>
    <w:rsid w:val="00897C7B"/>
    <w:rsid w:val="008A6538"/>
    <w:rsid w:val="008B1889"/>
    <w:rsid w:val="008B67DA"/>
    <w:rsid w:val="008C6BAA"/>
    <w:rsid w:val="008D3C97"/>
    <w:rsid w:val="008E175E"/>
    <w:rsid w:val="008E3B66"/>
    <w:rsid w:val="008E4C60"/>
    <w:rsid w:val="00951E53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95EBF"/>
    <w:rsid w:val="009A1ED4"/>
    <w:rsid w:val="009A6AA3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532D8"/>
    <w:rsid w:val="00A72BBE"/>
    <w:rsid w:val="00A74B91"/>
    <w:rsid w:val="00A756C9"/>
    <w:rsid w:val="00A762E5"/>
    <w:rsid w:val="00A76ED6"/>
    <w:rsid w:val="00A95AAF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2752"/>
    <w:rsid w:val="00B33611"/>
    <w:rsid w:val="00B4150D"/>
    <w:rsid w:val="00B41962"/>
    <w:rsid w:val="00B823D2"/>
    <w:rsid w:val="00B936BA"/>
    <w:rsid w:val="00BA0791"/>
    <w:rsid w:val="00BA1866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7F9D"/>
    <w:rsid w:val="00BF1D2A"/>
    <w:rsid w:val="00C003ED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961"/>
    <w:rsid w:val="00CC0E4F"/>
    <w:rsid w:val="00CC6C4A"/>
    <w:rsid w:val="00CC78A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595E"/>
    <w:rsid w:val="00D405C7"/>
    <w:rsid w:val="00D42667"/>
    <w:rsid w:val="00D4300B"/>
    <w:rsid w:val="00D4422D"/>
    <w:rsid w:val="00D46474"/>
    <w:rsid w:val="00D500B7"/>
    <w:rsid w:val="00D52E3A"/>
    <w:rsid w:val="00D54B50"/>
    <w:rsid w:val="00D61D73"/>
    <w:rsid w:val="00D670B1"/>
    <w:rsid w:val="00D67FF4"/>
    <w:rsid w:val="00D71F88"/>
    <w:rsid w:val="00D7222C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1726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8538C"/>
    <w:rsid w:val="00E86BEE"/>
    <w:rsid w:val="00E969AB"/>
    <w:rsid w:val="00EB1537"/>
    <w:rsid w:val="00EB5625"/>
    <w:rsid w:val="00EB75C4"/>
    <w:rsid w:val="00EC27B7"/>
    <w:rsid w:val="00EC4EDC"/>
    <w:rsid w:val="00EC6A26"/>
    <w:rsid w:val="00ED13FC"/>
    <w:rsid w:val="00EE2D0D"/>
    <w:rsid w:val="00EE5BD1"/>
    <w:rsid w:val="00EE7917"/>
    <w:rsid w:val="00EF3B3C"/>
    <w:rsid w:val="00EF5B87"/>
    <w:rsid w:val="00EF79CC"/>
    <w:rsid w:val="00F0206C"/>
    <w:rsid w:val="00F104F1"/>
    <w:rsid w:val="00F1081C"/>
    <w:rsid w:val="00F14A3C"/>
    <w:rsid w:val="00F237B0"/>
    <w:rsid w:val="00F27428"/>
    <w:rsid w:val="00F3345D"/>
    <w:rsid w:val="00F413FF"/>
    <w:rsid w:val="00F44F90"/>
    <w:rsid w:val="00F465B4"/>
    <w:rsid w:val="00F54D50"/>
    <w:rsid w:val="00F6572C"/>
    <w:rsid w:val="00F85F35"/>
    <w:rsid w:val="00F92078"/>
    <w:rsid w:val="00F92A13"/>
    <w:rsid w:val="00F96093"/>
    <w:rsid w:val="00FA4A77"/>
    <w:rsid w:val="00FC3F3F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Odstavecseseznamem">
    <w:name w:val="List Paragraph"/>
    <w:basedOn w:val="Normln"/>
    <w:uiPriority w:val="34"/>
    <w:qFormat/>
    <w:rsid w:val="005B25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2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6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rvccr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romotedState xmlns="http://schemas.microsoft.com/sharepoint/v3">0</Promoted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0" ma:contentTypeDescription="Vytvoří nový dokument" ma:contentTypeScope="" ma:versionID="09084ee19973f5c4f14fbf5cd2845ab0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868427b91c1e2909f3b1aa54b7e7f642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31CF0-F171-4294-BCED-ED80F5EAC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360B3-118E-4861-9672-9A4E771FE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3.xml><?xml version="1.0" encoding="utf-8"?>
<ds:datastoreItem xmlns:ds="http://schemas.openxmlformats.org/officeDocument/2006/customXml" ds:itemID="{AFA227CB-F2CF-49C5-83A4-0BC26647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Petr</dc:creator>
  <cp:keywords/>
  <cp:lastModifiedBy>Jana Mullerová</cp:lastModifiedBy>
  <cp:revision>6</cp:revision>
  <cp:lastPrinted>2025-04-24T11:14:00Z</cp:lastPrinted>
  <dcterms:created xsi:type="dcterms:W3CDTF">2025-12-17T18:39:00Z</dcterms:created>
  <dcterms:modified xsi:type="dcterms:W3CDTF">2025-12-18T10:19:00Z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