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91AFB" w14:textId="29649C76" w:rsidR="00113EA7" w:rsidRDefault="00113EA7" w:rsidP="00EE4EA3">
      <w:pPr>
        <w:pStyle w:val="Nadpis1"/>
      </w:pPr>
      <w:r>
        <w:t xml:space="preserve">Příloha č. </w:t>
      </w:r>
      <w:r w:rsidR="003B161B">
        <w:t xml:space="preserve">1 </w:t>
      </w:r>
      <w:r w:rsidR="00860043">
        <w:t xml:space="preserve">- </w:t>
      </w:r>
      <w:r>
        <w:t>Technická specifikace</w:t>
      </w:r>
    </w:p>
    <w:p w14:paraId="0EB616E8" w14:textId="563178B4" w:rsidR="00EE4EA3" w:rsidRDefault="00594119" w:rsidP="004D1380">
      <w:pPr>
        <w:jc w:val="both"/>
      </w:pPr>
      <w:r>
        <w:t xml:space="preserve">Předmětem </w:t>
      </w:r>
      <w:r w:rsidR="00F62AC2">
        <w:t xml:space="preserve">plnění </w:t>
      </w:r>
      <w:r>
        <w:t>je zpracování demografické projekce do roku 2070 pro tyto části Karlovarského kraje (celkem 9 prognóz):</w:t>
      </w:r>
    </w:p>
    <w:p w14:paraId="0BE97A04" w14:textId="132181A0" w:rsidR="00594119" w:rsidRDefault="00594119" w:rsidP="004D1380">
      <w:pPr>
        <w:pStyle w:val="Odstavecseseznamem"/>
        <w:numPr>
          <w:ilvl w:val="0"/>
          <w:numId w:val="1"/>
        </w:numPr>
        <w:jc w:val="both"/>
      </w:pPr>
      <w:r>
        <w:t>Ostrov</w:t>
      </w:r>
      <w:r w:rsidR="00113EA7">
        <w:t>,</w:t>
      </w:r>
    </w:p>
    <w:p w14:paraId="40C260D8" w14:textId="3BCC446C" w:rsidR="00594119" w:rsidRDefault="00594119" w:rsidP="004D1380">
      <w:pPr>
        <w:pStyle w:val="Odstavecseseznamem"/>
        <w:numPr>
          <w:ilvl w:val="0"/>
          <w:numId w:val="1"/>
        </w:numPr>
        <w:jc w:val="both"/>
      </w:pPr>
      <w:r>
        <w:t>zázemí Ostrova</w:t>
      </w:r>
      <w:r w:rsidR="00113EA7">
        <w:t>,</w:t>
      </w:r>
    </w:p>
    <w:p w14:paraId="10D6AFAE" w14:textId="6B209CA4" w:rsidR="00594119" w:rsidRDefault="00594119" w:rsidP="004D1380">
      <w:pPr>
        <w:pStyle w:val="Odstavecseseznamem"/>
        <w:numPr>
          <w:ilvl w:val="0"/>
          <w:numId w:val="1"/>
        </w:numPr>
        <w:jc w:val="both"/>
      </w:pPr>
      <w:r>
        <w:t>Karlovy Vary</w:t>
      </w:r>
      <w:r w:rsidR="00113EA7">
        <w:t>,</w:t>
      </w:r>
    </w:p>
    <w:p w14:paraId="39275990" w14:textId="6E1E8B4D" w:rsidR="00594119" w:rsidRDefault="00594119" w:rsidP="004D1380">
      <w:pPr>
        <w:pStyle w:val="Odstavecseseznamem"/>
        <w:numPr>
          <w:ilvl w:val="0"/>
          <w:numId w:val="1"/>
        </w:numPr>
        <w:jc w:val="both"/>
      </w:pPr>
      <w:r>
        <w:t>zázemí Karlových Varů</w:t>
      </w:r>
      <w:r w:rsidR="00113EA7">
        <w:t>,</w:t>
      </w:r>
    </w:p>
    <w:p w14:paraId="3259E972" w14:textId="151845D1" w:rsidR="00594119" w:rsidRDefault="00594119" w:rsidP="004D1380">
      <w:pPr>
        <w:pStyle w:val="Odstavecseseznamem"/>
        <w:numPr>
          <w:ilvl w:val="0"/>
          <w:numId w:val="1"/>
        </w:numPr>
        <w:jc w:val="both"/>
      </w:pPr>
      <w:r>
        <w:t>Sokolov</w:t>
      </w:r>
      <w:r w:rsidR="00113EA7">
        <w:t>,</w:t>
      </w:r>
    </w:p>
    <w:p w14:paraId="2B272F5D" w14:textId="757D3338" w:rsidR="00594119" w:rsidRDefault="00594119" w:rsidP="004D1380">
      <w:pPr>
        <w:pStyle w:val="Odstavecseseznamem"/>
        <w:numPr>
          <w:ilvl w:val="0"/>
          <w:numId w:val="1"/>
        </w:numPr>
        <w:jc w:val="both"/>
      </w:pPr>
      <w:r>
        <w:t>zázemí Sokolova</w:t>
      </w:r>
      <w:r w:rsidR="00113EA7">
        <w:t>,</w:t>
      </w:r>
    </w:p>
    <w:p w14:paraId="1A1BB8A8" w14:textId="428E43FC" w:rsidR="00594119" w:rsidRDefault="00594119" w:rsidP="004D1380">
      <w:pPr>
        <w:pStyle w:val="Odstavecseseznamem"/>
        <w:numPr>
          <w:ilvl w:val="0"/>
          <w:numId w:val="1"/>
        </w:numPr>
        <w:jc w:val="both"/>
      </w:pPr>
      <w:r>
        <w:t>Cheb</w:t>
      </w:r>
      <w:r w:rsidR="00113EA7">
        <w:t>,</w:t>
      </w:r>
    </w:p>
    <w:p w14:paraId="360C66A8" w14:textId="09A49029" w:rsidR="00594119" w:rsidRDefault="00594119" w:rsidP="004D1380">
      <w:pPr>
        <w:pStyle w:val="Odstavecseseznamem"/>
        <w:numPr>
          <w:ilvl w:val="0"/>
          <w:numId w:val="1"/>
        </w:numPr>
        <w:jc w:val="both"/>
      </w:pPr>
      <w:r>
        <w:t>zázemí Chebu</w:t>
      </w:r>
      <w:r w:rsidR="00113EA7">
        <w:t>,</w:t>
      </w:r>
    </w:p>
    <w:p w14:paraId="0E810DFE" w14:textId="419A662D" w:rsidR="00594119" w:rsidRDefault="00594119" w:rsidP="004D1380">
      <w:pPr>
        <w:pStyle w:val="Odstavecseseznamem"/>
        <w:numPr>
          <w:ilvl w:val="0"/>
          <w:numId w:val="1"/>
        </w:numPr>
        <w:jc w:val="both"/>
      </w:pPr>
      <w:r>
        <w:t>Mariánskolázeňsko</w:t>
      </w:r>
      <w:r w:rsidR="008E5914">
        <w:t xml:space="preserve"> (ML + zázemí společně)</w:t>
      </w:r>
      <w:r w:rsidR="00113EA7">
        <w:t>.</w:t>
      </w:r>
    </w:p>
    <w:p w14:paraId="593631F5" w14:textId="2F52F8C0" w:rsidR="00594119" w:rsidRDefault="00594119" w:rsidP="004D1380">
      <w:pPr>
        <w:jc w:val="both"/>
      </w:pPr>
      <w:r>
        <w:t xml:space="preserve">Rozsah zázemí bude vymezen v podrobnosti celých obcí a bude poskytnut </w:t>
      </w:r>
      <w:r w:rsidR="00185B68">
        <w:t>objednatelem</w:t>
      </w:r>
      <w:r>
        <w:t xml:space="preserve"> </w:t>
      </w:r>
      <w:r w:rsidR="00185B68">
        <w:t>zhotoviteli</w:t>
      </w:r>
      <w:r>
        <w:t xml:space="preserve"> před zahájením prací.</w:t>
      </w:r>
    </w:p>
    <w:p w14:paraId="0BDDF312" w14:textId="223F19A1" w:rsidR="00594119" w:rsidRDefault="00594119" w:rsidP="004D1380">
      <w:pPr>
        <w:jc w:val="both"/>
      </w:pPr>
      <w:r>
        <w:t>Demografická prognóza bude mít tyto základní parametry:</w:t>
      </w:r>
    </w:p>
    <w:p w14:paraId="104E4D1C" w14:textId="2A67F574" w:rsidR="00594119" w:rsidRDefault="00594119" w:rsidP="004D1380">
      <w:pPr>
        <w:pStyle w:val="Odstavecseseznamem"/>
        <w:numPr>
          <w:ilvl w:val="0"/>
          <w:numId w:val="2"/>
        </w:numPr>
        <w:jc w:val="both"/>
      </w:pPr>
      <w:r>
        <w:t>budou zpracovány tři varianty vyjadřující nejistotu odhadu (střední, nízká, vysoká)</w:t>
      </w:r>
      <w:r w:rsidR="00113EA7">
        <w:t>;</w:t>
      </w:r>
    </w:p>
    <w:p w14:paraId="19029148" w14:textId="69A33B96" w:rsidR="00594119" w:rsidRDefault="00594119" w:rsidP="004D1380">
      <w:pPr>
        <w:pStyle w:val="Odstavecseseznamem"/>
        <w:numPr>
          <w:ilvl w:val="0"/>
          <w:numId w:val="2"/>
        </w:numPr>
        <w:jc w:val="both"/>
      </w:pPr>
      <w:r>
        <w:t>prognóza bude zpracována v kroku jednoho roku mezi lety 2025 a 2070</w:t>
      </w:r>
      <w:r w:rsidR="00113EA7">
        <w:t>;</w:t>
      </w:r>
    </w:p>
    <w:p w14:paraId="0A44AF5A" w14:textId="07C1F345" w:rsidR="00594119" w:rsidRDefault="00391351" w:rsidP="004D1380">
      <w:pPr>
        <w:pStyle w:val="Odstavecseseznamem"/>
        <w:numPr>
          <w:ilvl w:val="0"/>
          <w:numId w:val="2"/>
        </w:numPr>
        <w:jc w:val="both"/>
      </w:pPr>
      <w:r>
        <w:t>počty obyvatel budou stanoveny a poskytnuty ve struktuře:</w:t>
      </w:r>
    </w:p>
    <w:p w14:paraId="232AD977" w14:textId="119BF063" w:rsidR="00391351" w:rsidRDefault="00391351" w:rsidP="004D1380">
      <w:pPr>
        <w:pStyle w:val="Odstavecseseznamem"/>
        <w:numPr>
          <w:ilvl w:val="1"/>
          <w:numId w:val="2"/>
        </w:numPr>
        <w:jc w:val="both"/>
      </w:pPr>
      <w:r>
        <w:t>muži, ženy, celkový počet obyvatel</w:t>
      </w:r>
      <w:r w:rsidR="00113EA7">
        <w:t>,</w:t>
      </w:r>
    </w:p>
    <w:p w14:paraId="3BD2587A" w14:textId="1B5CC508" w:rsidR="00391351" w:rsidRDefault="00391351" w:rsidP="004D1380">
      <w:pPr>
        <w:pStyle w:val="Odstavecseseznamem"/>
        <w:numPr>
          <w:ilvl w:val="1"/>
          <w:numId w:val="2"/>
        </w:numPr>
        <w:jc w:val="both"/>
      </w:pPr>
      <w:r>
        <w:t xml:space="preserve">jednoletých věkových kohortách až </w:t>
      </w:r>
      <w:r w:rsidR="00C14571">
        <w:t xml:space="preserve">do hraničního věku daného možnostmi a potřebami prognózy </w:t>
      </w:r>
      <w:r w:rsidR="00F62AC2">
        <w:t>a velikostí</w:t>
      </w:r>
      <w:r w:rsidR="00C14571">
        <w:t xml:space="preserve"> věkových kohort </w:t>
      </w:r>
      <w:r>
        <w:t>+ kategorie zahrnující souhrnně obyvatele nad tento věk</w:t>
      </w:r>
      <w:r w:rsidR="005147CC">
        <w:rPr>
          <w:lang w:val="en-US"/>
        </w:rPr>
        <w:t xml:space="preserve">; </w:t>
      </w:r>
      <w:r w:rsidR="005147CC">
        <w:t>ve členění dle předchozího bodu</w:t>
      </w:r>
      <w:r w:rsidR="00113EA7">
        <w:t>,</w:t>
      </w:r>
    </w:p>
    <w:p w14:paraId="4BB70ED3" w14:textId="523D423E" w:rsidR="00391351" w:rsidRDefault="00391351" w:rsidP="004D1380">
      <w:pPr>
        <w:pStyle w:val="Odstavecseseznamem"/>
        <w:numPr>
          <w:ilvl w:val="1"/>
          <w:numId w:val="2"/>
        </w:numPr>
        <w:jc w:val="both"/>
      </w:pPr>
      <w:r>
        <w:t>agregované věkové kategorie (pětileté, základní rozdělení (předproduktivní, produktivní, postproduktivní</w:t>
      </w:r>
      <w:r w:rsidR="009B6E18">
        <w:t xml:space="preserve">, kategorie odpovídající dětem, mládeži připravující se na zaměstnání </w:t>
      </w:r>
      <w:r w:rsidR="000C3010">
        <w:t xml:space="preserve">a seniorů </w:t>
      </w:r>
      <w:r w:rsidR="00F64A4B">
        <w:t xml:space="preserve">ve věkovém členění odpovídajícím potřebě odpovídající občanské vybavenosti (školství, sociální </w:t>
      </w:r>
      <w:r w:rsidR="00575112">
        <w:t xml:space="preserve">a zdravotní </w:t>
      </w:r>
      <w:r w:rsidR="00F64A4B">
        <w:t>služby)</w:t>
      </w:r>
      <w:r w:rsidR="009B6E18">
        <w:t>)</w:t>
      </w:r>
      <w:r w:rsidR="00113EA7">
        <w:t>.</w:t>
      </w:r>
    </w:p>
    <w:p w14:paraId="60007936" w14:textId="1A2E781D" w:rsidR="009B6E18" w:rsidRDefault="0018692E" w:rsidP="004D1380">
      <w:pPr>
        <w:pStyle w:val="Odstavecseseznamem"/>
        <w:numPr>
          <w:ilvl w:val="0"/>
          <w:numId w:val="2"/>
        </w:numPr>
        <w:jc w:val="both"/>
      </w:pPr>
      <w:r>
        <w:t xml:space="preserve">výše uvedená </w:t>
      </w:r>
      <w:r w:rsidR="009B6E18">
        <w:t xml:space="preserve">data </w:t>
      </w:r>
      <w:r>
        <w:t xml:space="preserve">a parametry, na základě kterých byla prognóza </w:t>
      </w:r>
      <w:r w:rsidR="003728A8">
        <w:t>vypracována</w:t>
      </w:r>
      <w:r>
        <w:t xml:space="preserve">, </w:t>
      </w:r>
      <w:r w:rsidR="009B6E18">
        <w:t>budou předán</w:t>
      </w:r>
      <w:r w:rsidR="003728A8">
        <w:t>y</w:t>
      </w:r>
      <w:r w:rsidR="009B6E18">
        <w:t xml:space="preserve"> ve formátu </w:t>
      </w:r>
      <w:r w:rsidR="002572CF" w:rsidRPr="002572CF">
        <w:t>Office Open XML Workbook</w:t>
      </w:r>
      <w:r w:rsidR="002572CF">
        <w:t xml:space="preserve"> (MS Excel .xlsx)</w:t>
      </w:r>
      <w:r w:rsidR="00E23BCE">
        <w:t xml:space="preserve">, tj. v podobě umožňující vlastní analýzy výsledků </w:t>
      </w:r>
      <w:r w:rsidR="00185B68">
        <w:t>objednatelem</w:t>
      </w:r>
    </w:p>
    <w:p w14:paraId="42D06D3D" w14:textId="407154D6" w:rsidR="003728A8" w:rsidRDefault="002572CF" w:rsidP="004D1380">
      <w:pPr>
        <w:pStyle w:val="Odstavecseseznamem"/>
        <w:numPr>
          <w:ilvl w:val="0"/>
          <w:numId w:val="2"/>
        </w:numPr>
        <w:jc w:val="both"/>
      </w:pPr>
      <w:r>
        <w:t>součástí prognózy bude popis základních východisek, předpokladů a metody zpracování prognózy</w:t>
      </w:r>
      <w:r w:rsidR="00D62CFB">
        <w:t>;</w:t>
      </w:r>
      <w:r>
        <w:t xml:space="preserve"> </w:t>
      </w:r>
      <w:r w:rsidR="00210EE1">
        <w:t>komentář výsledků prognózy</w:t>
      </w:r>
      <w:r w:rsidR="00D62CFB">
        <w:rPr>
          <w:lang w:val="en-US"/>
        </w:rPr>
        <w:t>;</w:t>
      </w:r>
      <w:r w:rsidR="00804D50">
        <w:t xml:space="preserve"> diskuze těchto výsledků vzhledem k předpokladům </w:t>
      </w:r>
      <w:r w:rsidR="00D62CFB">
        <w:t xml:space="preserve">prognózy </w:t>
      </w:r>
      <w:r w:rsidR="00804D50">
        <w:t>a</w:t>
      </w:r>
      <w:r w:rsidR="00D62CFB">
        <w:t xml:space="preserve"> jejich</w:t>
      </w:r>
      <w:r w:rsidR="00804D50">
        <w:t xml:space="preserve"> spolehlivosti</w:t>
      </w:r>
      <w:r w:rsidR="001B6169">
        <w:rPr>
          <w:lang w:val="en-US"/>
        </w:rPr>
        <w:t>;</w:t>
      </w:r>
      <w:r w:rsidR="00210EE1">
        <w:t xml:space="preserve"> tabelární a grafické vyjádření výsledků</w:t>
      </w:r>
      <w:r w:rsidR="003728A8">
        <w:t xml:space="preserve">. Tyto výstupy budou předány </w:t>
      </w:r>
      <w:r w:rsidR="00122ADA">
        <w:t xml:space="preserve">elektronicky </w:t>
      </w:r>
      <w:r w:rsidR="003728A8">
        <w:t>ve formátu Portable Document Format (PDF).</w:t>
      </w:r>
    </w:p>
    <w:p w14:paraId="2744208E" w14:textId="17607065" w:rsidR="007F2E62" w:rsidRDefault="0018692E" w:rsidP="004D1380">
      <w:pPr>
        <w:jc w:val="both"/>
      </w:pPr>
      <w:r>
        <w:t xml:space="preserve">Součástí </w:t>
      </w:r>
      <w:r w:rsidR="00F62AC2">
        <w:t xml:space="preserve">plnění </w:t>
      </w:r>
      <w:r>
        <w:t>bude prezentace výsledků z</w:t>
      </w:r>
      <w:r w:rsidR="00185B68">
        <w:t>hotovitelem</w:t>
      </w:r>
      <w:r>
        <w:t xml:space="preserve"> v řešeném území do </w:t>
      </w:r>
      <w:r w:rsidR="00185B68">
        <w:t>6 měsíců</w:t>
      </w:r>
      <w:r>
        <w:t xml:space="preserve"> </w:t>
      </w:r>
      <w:r w:rsidR="00185B68">
        <w:t>po nabytí účinnosti Smlouvy</w:t>
      </w:r>
      <w:r>
        <w:t xml:space="preserve"> a konzultace k výsledkům v rozsahu 6 hodin po dobu do 90 dnů od předání výsledků prognózy.</w:t>
      </w:r>
    </w:p>
    <w:p w14:paraId="2F079C14" w14:textId="5BBCB97C" w:rsidR="0018692E" w:rsidRPr="00FE2242" w:rsidRDefault="00611EF9" w:rsidP="004D1380">
      <w:pPr>
        <w:pStyle w:val="Nadpis2"/>
        <w:jc w:val="both"/>
      </w:pPr>
      <w:r w:rsidRPr="00FE2242">
        <w:t>Další požadavky na řešení</w:t>
      </w:r>
    </w:p>
    <w:p w14:paraId="02F3DE35" w14:textId="5F9C11C6" w:rsidR="00611EF9" w:rsidRPr="00FE2242" w:rsidRDefault="0018692E" w:rsidP="004D1380">
      <w:pPr>
        <w:jc w:val="both"/>
      </w:pPr>
      <w:r w:rsidRPr="00FE2242">
        <w:t xml:space="preserve">Součástí </w:t>
      </w:r>
      <w:r w:rsidR="00F62AC2" w:rsidRPr="00FE2242">
        <w:t xml:space="preserve">plnění </w:t>
      </w:r>
      <w:r w:rsidRPr="00FE2242">
        <w:t>bude konzultace</w:t>
      </w:r>
      <w:r w:rsidR="005D20FD" w:rsidRPr="00FE2242">
        <w:t xml:space="preserve"> a odsouhlasení</w:t>
      </w:r>
      <w:r w:rsidRPr="00FE2242">
        <w:t xml:space="preserve"> předpokladů a východisek prognóz, zejména vzhledem očekávaným faktorům</w:t>
      </w:r>
      <w:r w:rsidR="00305415" w:rsidRPr="00FE2242">
        <w:t xml:space="preserve"> a záměrům</w:t>
      </w:r>
      <w:r w:rsidRPr="00FE2242">
        <w:t xml:space="preserve"> rozvoje řešeného území</w:t>
      </w:r>
      <w:r w:rsidR="008E5914" w:rsidRPr="00FE2242">
        <w:t xml:space="preserve">. </w:t>
      </w:r>
      <w:r w:rsidRPr="00FE2242">
        <w:t>Z</w:t>
      </w:r>
      <w:r w:rsidR="00185B68">
        <w:t>hotovitel</w:t>
      </w:r>
      <w:r w:rsidRPr="00FE2242">
        <w:t xml:space="preserve"> bude konzultovat také pracovní verzi závěrů a interpretace výsledků prognózy před jejím odevzdáním. </w:t>
      </w:r>
    </w:p>
    <w:p w14:paraId="537B9CA8" w14:textId="462CC030" w:rsidR="00D0040D" w:rsidRPr="00FE2242" w:rsidRDefault="00185B68" w:rsidP="004D1380">
      <w:pPr>
        <w:jc w:val="both"/>
      </w:pPr>
      <w:r>
        <w:lastRenderedPageBreak/>
        <w:t>Objednatel</w:t>
      </w:r>
      <w:r w:rsidR="001D6015" w:rsidRPr="00FE2242">
        <w:t xml:space="preserve"> </w:t>
      </w:r>
      <w:r w:rsidR="008E5914" w:rsidRPr="00FE2242">
        <w:t>poskytne</w:t>
      </w:r>
      <w:r w:rsidR="001D6015" w:rsidRPr="00FE2242">
        <w:t xml:space="preserve"> </w:t>
      </w:r>
      <w:r>
        <w:t>zhotoviteli</w:t>
      </w:r>
      <w:r w:rsidR="001D6015" w:rsidRPr="00FE2242">
        <w:t xml:space="preserve"> součinnost při vyhodnocení rozvojových </w:t>
      </w:r>
      <w:r w:rsidR="00B12854" w:rsidRPr="00FE2242">
        <w:t>záměrů a faktorů</w:t>
      </w:r>
      <w:r w:rsidR="001D6015" w:rsidRPr="00FE2242">
        <w:t>, které by mohly ovlivnit atraktivitu a budoucí vývoj území</w:t>
      </w:r>
      <w:r w:rsidR="008E5914" w:rsidRPr="00FE2242">
        <w:t xml:space="preserve"> a poskytne závěry vlastních analýz této problematiky</w:t>
      </w:r>
      <w:r w:rsidR="001D6015" w:rsidRPr="00FE2242">
        <w:t>.</w:t>
      </w:r>
    </w:p>
    <w:p w14:paraId="683FEF1A" w14:textId="19493FC5" w:rsidR="00611EF9" w:rsidRDefault="00185B68" w:rsidP="004D1380">
      <w:pPr>
        <w:jc w:val="both"/>
      </w:pPr>
      <w:r>
        <w:t>Objednatel</w:t>
      </w:r>
      <w:r w:rsidR="00611EF9" w:rsidRPr="00FE2242">
        <w:t xml:space="preserve"> může poskytnout součinnost při získání </w:t>
      </w:r>
      <w:r w:rsidR="00EE0D95" w:rsidRPr="00FE2242">
        <w:t xml:space="preserve">potřebných </w:t>
      </w:r>
      <w:r w:rsidR="00611EF9" w:rsidRPr="00FE2242">
        <w:t xml:space="preserve">dat ČSÚ a pokud by se jednalo o data, která jsou </w:t>
      </w:r>
      <w:r w:rsidR="00634C42" w:rsidRPr="00FE2242">
        <w:t xml:space="preserve">v </w:t>
      </w:r>
      <w:r w:rsidR="00611EF9" w:rsidRPr="00FE2242">
        <w:t xml:space="preserve">potřebné podrobnosti a územním členění dostupná pouze pro účely výzkumu, tak o tato data může zažádat. </w:t>
      </w:r>
      <w:r>
        <w:t>Zhotovitel</w:t>
      </w:r>
      <w:r w:rsidR="00611EF9" w:rsidRPr="00FE2242">
        <w:t xml:space="preserve"> v takovém případě poskytne součinnost při specifikaci a objednávce takových dat.</w:t>
      </w:r>
    </w:p>
    <w:p w14:paraId="7E2B9EA1" w14:textId="77777777" w:rsidR="00594119" w:rsidRPr="00EE4EA3" w:rsidRDefault="00594119" w:rsidP="004D1380">
      <w:pPr>
        <w:jc w:val="both"/>
      </w:pPr>
    </w:p>
    <w:sectPr w:rsidR="00594119" w:rsidRPr="00EE4EA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D7A0B" w14:textId="77777777" w:rsidR="00053DD5" w:rsidRDefault="00053DD5" w:rsidP="00490347">
      <w:pPr>
        <w:spacing w:after="0" w:line="240" w:lineRule="auto"/>
      </w:pPr>
      <w:r>
        <w:separator/>
      </w:r>
    </w:p>
  </w:endnote>
  <w:endnote w:type="continuationSeparator" w:id="0">
    <w:p w14:paraId="13776ACD" w14:textId="77777777" w:rsidR="00053DD5" w:rsidRDefault="00053DD5" w:rsidP="00490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1F38D" w14:textId="77777777" w:rsidR="00053DD5" w:rsidRDefault="00053DD5" w:rsidP="00490347">
      <w:pPr>
        <w:spacing w:after="0" w:line="240" w:lineRule="auto"/>
      </w:pPr>
      <w:r>
        <w:separator/>
      </w:r>
    </w:p>
  </w:footnote>
  <w:footnote w:type="continuationSeparator" w:id="0">
    <w:p w14:paraId="19E48EC5" w14:textId="77777777" w:rsidR="00053DD5" w:rsidRDefault="00053DD5" w:rsidP="00490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CBD1" w14:textId="1C00808C" w:rsidR="00490347" w:rsidRDefault="00490347">
    <w:pPr>
      <w:pStyle w:val="Zhlav"/>
    </w:pPr>
    <w:r>
      <w:rPr>
        <w:noProof/>
      </w:rPr>
      <w:drawing>
        <wp:inline distT="0" distB="0" distL="0" distR="0" wp14:anchorId="5A50293D" wp14:editId="504AF3B5">
          <wp:extent cx="5759450" cy="548640"/>
          <wp:effectExtent l="0" t="0" r="0" b="3810"/>
          <wp:docPr id="159673224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732245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56605"/>
    <w:multiLevelType w:val="hybridMultilevel"/>
    <w:tmpl w:val="25907D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1655B"/>
    <w:multiLevelType w:val="hybridMultilevel"/>
    <w:tmpl w:val="5A969F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676BC"/>
    <w:multiLevelType w:val="hybridMultilevel"/>
    <w:tmpl w:val="C750F56A"/>
    <w:lvl w:ilvl="0" w:tplc="6C6613FC">
      <w:start w:val="1"/>
      <w:numFmt w:val="decimal"/>
      <w:lvlText w:val="%1."/>
      <w:lvlJc w:val="left"/>
      <w:pPr>
        <w:ind w:left="1020" w:hanging="360"/>
      </w:pPr>
    </w:lvl>
    <w:lvl w:ilvl="1" w:tplc="2338A1E2">
      <w:start w:val="1"/>
      <w:numFmt w:val="decimal"/>
      <w:lvlText w:val="%2."/>
      <w:lvlJc w:val="left"/>
      <w:pPr>
        <w:ind w:left="1020" w:hanging="360"/>
      </w:pPr>
    </w:lvl>
    <w:lvl w:ilvl="2" w:tplc="C89A79BC">
      <w:start w:val="1"/>
      <w:numFmt w:val="decimal"/>
      <w:lvlText w:val="%3."/>
      <w:lvlJc w:val="left"/>
      <w:pPr>
        <w:ind w:left="1020" w:hanging="360"/>
      </w:pPr>
    </w:lvl>
    <w:lvl w:ilvl="3" w:tplc="C30061EA">
      <w:start w:val="1"/>
      <w:numFmt w:val="decimal"/>
      <w:lvlText w:val="%4."/>
      <w:lvlJc w:val="left"/>
      <w:pPr>
        <w:ind w:left="1020" w:hanging="360"/>
      </w:pPr>
    </w:lvl>
    <w:lvl w:ilvl="4" w:tplc="DFE4A86E">
      <w:start w:val="1"/>
      <w:numFmt w:val="decimal"/>
      <w:lvlText w:val="%5."/>
      <w:lvlJc w:val="left"/>
      <w:pPr>
        <w:ind w:left="1020" w:hanging="360"/>
      </w:pPr>
    </w:lvl>
    <w:lvl w:ilvl="5" w:tplc="299834F6">
      <w:start w:val="1"/>
      <w:numFmt w:val="decimal"/>
      <w:lvlText w:val="%6."/>
      <w:lvlJc w:val="left"/>
      <w:pPr>
        <w:ind w:left="1020" w:hanging="360"/>
      </w:pPr>
    </w:lvl>
    <w:lvl w:ilvl="6" w:tplc="1994BD4C">
      <w:start w:val="1"/>
      <w:numFmt w:val="decimal"/>
      <w:lvlText w:val="%7."/>
      <w:lvlJc w:val="left"/>
      <w:pPr>
        <w:ind w:left="1020" w:hanging="360"/>
      </w:pPr>
    </w:lvl>
    <w:lvl w:ilvl="7" w:tplc="993C1954">
      <w:start w:val="1"/>
      <w:numFmt w:val="decimal"/>
      <w:lvlText w:val="%8."/>
      <w:lvlJc w:val="left"/>
      <w:pPr>
        <w:ind w:left="1020" w:hanging="360"/>
      </w:pPr>
    </w:lvl>
    <w:lvl w:ilvl="8" w:tplc="27126478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6DD85872"/>
    <w:multiLevelType w:val="hybridMultilevel"/>
    <w:tmpl w:val="A0D8F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605087">
    <w:abstractNumId w:val="0"/>
  </w:num>
  <w:num w:numId="2" w16cid:durableId="150802125">
    <w:abstractNumId w:val="1"/>
  </w:num>
  <w:num w:numId="3" w16cid:durableId="1158113279">
    <w:abstractNumId w:val="3"/>
  </w:num>
  <w:num w:numId="4" w16cid:durableId="1730348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EA3"/>
    <w:rsid w:val="00026B18"/>
    <w:rsid w:val="00044DC7"/>
    <w:rsid w:val="00053DD5"/>
    <w:rsid w:val="000829B1"/>
    <w:rsid w:val="000C3010"/>
    <w:rsid w:val="00113EA7"/>
    <w:rsid w:val="00122ADA"/>
    <w:rsid w:val="001435E2"/>
    <w:rsid w:val="00151DC1"/>
    <w:rsid w:val="00185B68"/>
    <w:rsid w:val="001864E2"/>
    <w:rsid w:val="0018692E"/>
    <w:rsid w:val="001A1730"/>
    <w:rsid w:val="001B6169"/>
    <w:rsid w:val="001D6015"/>
    <w:rsid w:val="001D688E"/>
    <w:rsid w:val="00210EE1"/>
    <w:rsid w:val="00224C9C"/>
    <w:rsid w:val="002572CF"/>
    <w:rsid w:val="00284038"/>
    <w:rsid w:val="00294332"/>
    <w:rsid w:val="002D6031"/>
    <w:rsid w:val="002E0EBA"/>
    <w:rsid w:val="00305415"/>
    <w:rsid w:val="003728A8"/>
    <w:rsid w:val="00391351"/>
    <w:rsid w:val="003B161B"/>
    <w:rsid w:val="003C7896"/>
    <w:rsid w:val="004552F1"/>
    <w:rsid w:val="00490347"/>
    <w:rsid w:val="004D1380"/>
    <w:rsid w:val="004D2240"/>
    <w:rsid w:val="005147CC"/>
    <w:rsid w:val="00535A7D"/>
    <w:rsid w:val="00575112"/>
    <w:rsid w:val="00594119"/>
    <w:rsid w:val="005A49A5"/>
    <w:rsid w:val="005C2BD3"/>
    <w:rsid w:val="005D20FD"/>
    <w:rsid w:val="005F06C5"/>
    <w:rsid w:val="00611EF9"/>
    <w:rsid w:val="006238A9"/>
    <w:rsid w:val="00634C42"/>
    <w:rsid w:val="00655F2B"/>
    <w:rsid w:val="00684112"/>
    <w:rsid w:val="0069137A"/>
    <w:rsid w:val="006B24D9"/>
    <w:rsid w:val="007265DA"/>
    <w:rsid w:val="00765667"/>
    <w:rsid w:val="00783591"/>
    <w:rsid w:val="007F2E62"/>
    <w:rsid w:val="00804D50"/>
    <w:rsid w:val="0083092B"/>
    <w:rsid w:val="00852A05"/>
    <w:rsid w:val="00860043"/>
    <w:rsid w:val="008C70DA"/>
    <w:rsid w:val="008E5914"/>
    <w:rsid w:val="00975202"/>
    <w:rsid w:val="00975E35"/>
    <w:rsid w:val="0098090E"/>
    <w:rsid w:val="009B4F0C"/>
    <w:rsid w:val="009B6E18"/>
    <w:rsid w:val="009D1606"/>
    <w:rsid w:val="00A036CB"/>
    <w:rsid w:val="00A0756F"/>
    <w:rsid w:val="00A5126A"/>
    <w:rsid w:val="00AE30F3"/>
    <w:rsid w:val="00AF08E0"/>
    <w:rsid w:val="00B04EF2"/>
    <w:rsid w:val="00B12854"/>
    <w:rsid w:val="00B73EA9"/>
    <w:rsid w:val="00B873AB"/>
    <w:rsid w:val="00B93661"/>
    <w:rsid w:val="00BB33FB"/>
    <w:rsid w:val="00BE23C6"/>
    <w:rsid w:val="00C14571"/>
    <w:rsid w:val="00C4353D"/>
    <w:rsid w:val="00CB6BC2"/>
    <w:rsid w:val="00CE67AA"/>
    <w:rsid w:val="00CF0B5A"/>
    <w:rsid w:val="00D0040D"/>
    <w:rsid w:val="00D15B8E"/>
    <w:rsid w:val="00D5384F"/>
    <w:rsid w:val="00D62CFB"/>
    <w:rsid w:val="00D72F25"/>
    <w:rsid w:val="00DC4D08"/>
    <w:rsid w:val="00DC7D1E"/>
    <w:rsid w:val="00DD427D"/>
    <w:rsid w:val="00DE5F14"/>
    <w:rsid w:val="00E032BF"/>
    <w:rsid w:val="00E23BCE"/>
    <w:rsid w:val="00E638E4"/>
    <w:rsid w:val="00E7046F"/>
    <w:rsid w:val="00E75E11"/>
    <w:rsid w:val="00ED0FE5"/>
    <w:rsid w:val="00ED3857"/>
    <w:rsid w:val="00EE0D95"/>
    <w:rsid w:val="00EE4EA3"/>
    <w:rsid w:val="00F62AC2"/>
    <w:rsid w:val="00F64A4B"/>
    <w:rsid w:val="00F65F76"/>
    <w:rsid w:val="00FE1244"/>
    <w:rsid w:val="00FE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AEA57"/>
  <w15:chartTrackingRefBased/>
  <w15:docId w15:val="{12C7BA20-B441-4C6B-B0E3-EF31FF3A4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E4E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E4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E4E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E4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E4E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E4E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4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4E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4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E4E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EE4E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E4E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E4EA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E4EA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E4E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4E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4E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4EA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E4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E4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E4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E4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E4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E4EA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E4EA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E4EA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E4E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E4EA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E4EA3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nhideWhenUsed/>
    <w:rsid w:val="00FE12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E12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E124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12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124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13EA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490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0347"/>
  </w:style>
  <w:style w:type="paragraph" w:styleId="Zpat">
    <w:name w:val="footer"/>
    <w:basedOn w:val="Normln"/>
    <w:link w:val="ZpatChar"/>
    <w:uiPriority w:val="99"/>
    <w:unhideWhenUsed/>
    <w:rsid w:val="00490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0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412e3428a9c925ddb6b85f40ab82584f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626adbf2f9222a36c0fe32a4fdfab238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632A4-A58A-498D-8A50-3061ADE53932}"/>
</file>

<file path=customXml/itemProps2.xml><?xml version="1.0" encoding="utf-8"?>
<ds:datastoreItem xmlns:ds="http://schemas.openxmlformats.org/officeDocument/2006/customXml" ds:itemID="{B9D55CFE-25B3-4306-BC73-D57E43E1C6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79E863-78E8-40E1-B177-7CFDD6FF7751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F3531A85-AF0A-4BF0-8C5B-BCD1A18784C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 University of Life Sciences Prague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Sojková Eliška</cp:lastModifiedBy>
  <cp:revision>4</cp:revision>
  <dcterms:created xsi:type="dcterms:W3CDTF">2025-08-14T16:16:00Z</dcterms:created>
  <dcterms:modified xsi:type="dcterms:W3CDTF">2025-11-16T19:21:00Z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</Properties>
</file>