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8F24" w14:textId="77777777" w:rsidR="00D757DA" w:rsidRDefault="00D757DA">
      <w:pPr>
        <w:pStyle w:val="Zkladntext"/>
        <w:rPr>
          <w:rFonts w:ascii="Times New Roman"/>
          <w:sz w:val="9"/>
        </w:rPr>
      </w:pPr>
    </w:p>
    <w:p w14:paraId="0C8D32F8" w14:textId="77777777" w:rsidR="00D757DA" w:rsidRDefault="0033254E">
      <w:pPr>
        <w:spacing w:before="85"/>
        <w:ind w:left="965" w:right="2282"/>
        <w:jc w:val="center"/>
        <w:rPr>
          <w:b/>
          <w:sz w:val="48"/>
        </w:rPr>
      </w:pPr>
      <w:r>
        <w:rPr>
          <w:b/>
          <w:sz w:val="48"/>
        </w:rPr>
        <w:t>2026</w:t>
      </w:r>
    </w:p>
    <w:p w14:paraId="1FE9143C" w14:textId="77777777" w:rsidR="00D757DA" w:rsidRDefault="00D757DA">
      <w:pPr>
        <w:pStyle w:val="Zkladntext"/>
        <w:rPr>
          <w:b/>
          <w:sz w:val="48"/>
        </w:rPr>
      </w:pPr>
    </w:p>
    <w:p w14:paraId="4BBA07DB" w14:textId="77777777" w:rsidR="00D757DA" w:rsidRDefault="0033254E">
      <w:pPr>
        <w:spacing w:line="480" w:lineRule="auto"/>
        <w:ind w:left="965" w:right="2284"/>
        <w:jc w:val="center"/>
        <w:rPr>
          <w:b/>
          <w:sz w:val="48"/>
        </w:rPr>
      </w:pPr>
      <w:r>
        <w:rPr>
          <w:b/>
          <w:sz w:val="48"/>
        </w:rPr>
        <w:t>COOPERATION AGREEMENT NUMBER 4020260006</w:t>
      </w:r>
    </w:p>
    <w:p w14:paraId="3ACC3008" w14:textId="77777777" w:rsidR="00D757DA" w:rsidRDefault="00D757DA">
      <w:pPr>
        <w:pStyle w:val="Zkladntext"/>
        <w:rPr>
          <w:b/>
          <w:sz w:val="54"/>
        </w:rPr>
      </w:pPr>
    </w:p>
    <w:p w14:paraId="465B63B8" w14:textId="77777777" w:rsidR="00D757DA" w:rsidRDefault="00D757DA">
      <w:pPr>
        <w:pStyle w:val="Zkladntext"/>
        <w:rPr>
          <w:b/>
          <w:sz w:val="54"/>
        </w:rPr>
      </w:pPr>
    </w:p>
    <w:p w14:paraId="3B0D6841" w14:textId="77777777" w:rsidR="00D757DA" w:rsidRDefault="00D757DA">
      <w:pPr>
        <w:pStyle w:val="Zkladntext"/>
        <w:rPr>
          <w:b/>
          <w:sz w:val="54"/>
        </w:rPr>
      </w:pPr>
    </w:p>
    <w:p w14:paraId="0C655A5C" w14:textId="77777777" w:rsidR="00D757DA" w:rsidRDefault="0033254E">
      <w:pPr>
        <w:spacing w:before="346"/>
        <w:ind w:left="965" w:right="2282"/>
        <w:jc w:val="center"/>
        <w:rPr>
          <w:b/>
          <w:sz w:val="48"/>
        </w:rPr>
      </w:pPr>
      <w:r>
        <w:rPr>
          <w:b/>
          <w:sz w:val="48"/>
        </w:rPr>
        <w:t>between</w:t>
      </w:r>
    </w:p>
    <w:p w14:paraId="27483F9C" w14:textId="77777777" w:rsidR="00D757DA" w:rsidRDefault="00D757DA">
      <w:pPr>
        <w:pStyle w:val="Zkladntext"/>
        <w:spacing w:before="9"/>
        <w:rPr>
          <w:b/>
          <w:sz w:val="47"/>
        </w:rPr>
      </w:pPr>
    </w:p>
    <w:p w14:paraId="19BD0264" w14:textId="77777777" w:rsidR="00D757DA" w:rsidRDefault="0033254E">
      <w:pPr>
        <w:ind w:left="965" w:right="2285"/>
        <w:jc w:val="center"/>
        <w:rPr>
          <w:b/>
          <w:sz w:val="48"/>
        </w:rPr>
      </w:pPr>
      <w:r>
        <w:rPr>
          <w:b/>
          <w:sz w:val="48"/>
        </w:rPr>
        <w:t>The European Union Intellectual Property Office</w:t>
      </w:r>
    </w:p>
    <w:p w14:paraId="03116B15" w14:textId="77777777" w:rsidR="00D757DA" w:rsidRDefault="00D757DA">
      <w:pPr>
        <w:pStyle w:val="Zkladntext"/>
        <w:rPr>
          <w:b/>
          <w:sz w:val="48"/>
        </w:rPr>
      </w:pPr>
    </w:p>
    <w:p w14:paraId="4E45B34F" w14:textId="77777777" w:rsidR="00D757DA" w:rsidRDefault="0033254E">
      <w:pPr>
        <w:spacing w:before="1"/>
        <w:ind w:left="965" w:right="2285"/>
        <w:jc w:val="center"/>
        <w:rPr>
          <w:b/>
          <w:sz w:val="48"/>
        </w:rPr>
      </w:pPr>
      <w:r>
        <w:rPr>
          <w:b/>
          <w:sz w:val="48"/>
        </w:rPr>
        <w:t>and</w:t>
      </w:r>
    </w:p>
    <w:p w14:paraId="62FCBDC2" w14:textId="77777777" w:rsidR="00D757DA" w:rsidRDefault="00D757DA">
      <w:pPr>
        <w:pStyle w:val="Zkladntext"/>
        <w:spacing w:before="11"/>
        <w:rPr>
          <w:b/>
          <w:sz w:val="47"/>
        </w:rPr>
      </w:pPr>
    </w:p>
    <w:p w14:paraId="1508A714" w14:textId="77777777" w:rsidR="00D757DA" w:rsidRDefault="0033254E">
      <w:pPr>
        <w:ind w:left="192" w:right="1510"/>
        <w:jc w:val="center"/>
        <w:rPr>
          <w:b/>
          <w:sz w:val="48"/>
        </w:rPr>
      </w:pPr>
      <w:r>
        <w:rPr>
          <w:b/>
          <w:sz w:val="48"/>
        </w:rPr>
        <w:t>The Industrial Property Office of Czech Republic</w:t>
      </w:r>
    </w:p>
    <w:p w14:paraId="07FE5773" w14:textId="77777777" w:rsidR="00D757DA" w:rsidRDefault="00D757DA">
      <w:pPr>
        <w:jc w:val="center"/>
        <w:rPr>
          <w:sz w:val="48"/>
        </w:rPr>
        <w:sectPr w:rsidR="00D757DA">
          <w:type w:val="continuous"/>
          <w:pgSz w:w="11910" w:h="16840"/>
          <w:pgMar w:top="1580" w:right="0" w:bottom="280" w:left="1320" w:header="708" w:footer="708" w:gutter="0"/>
          <w:cols w:space="708"/>
        </w:sectPr>
      </w:pPr>
    </w:p>
    <w:p w14:paraId="436D9E8F" w14:textId="4661CEBF" w:rsidR="00D757DA" w:rsidRDefault="0033254E">
      <w:pPr>
        <w:pStyle w:val="Zkladntext"/>
        <w:spacing w:before="81"/>
        <w:ind w:left="120" w:right="1430"/>
        <w:jc w:val="both"/>
      </w:pPr>
      <w:r>
        <w:lastRenderedPageBreak/>
        <w:t xml:space="preserve">The European Union Intellectual Property Office, located at Avenida Europa, 4, E-03008 Alicante, Spain, hereinafter referred to as "EUIPO", which is represented for the purposes of the signature of this Cooperation Agreement, hereinafter referred to as "the Agreement", by its Executive Director, </w:t>
      </w:r>
      <w:proofErr w:type="spellStart"/>
      <w:r>
        <w:t>Mr</w:t>
      </w:r>
      <w:proofErr w:type="spellEnd"/>
      <w:r>
        <w:t xml:space="preserve"> </w:t>
      </w:r>
      <w:r w:rsidR="0017311E">
        <w:t>XXXXXXXXX</w:t>
      </w:r>
      <w:r>
        <w:t xml:space="preserve"> on the one part,</w:t>
      </w:r>
    </w:p>
    <w:p w14:paraId="5F68AE3C" w14:textId="77777777" w:rsidR="00D757DA" w:rsidRDefault="00D757DA">
      <w:pPr>
        <w:pStyle w:val="Zkladntext"/>
        <w:rPr>
          <w:sz w:val="21"/>
        </w:rPr>
      </w:pPr>
    </w:p>
    <w:p w14:paraId="4DF12F47" w14:textId="77777777" w:rsidR="00D757DA" w:rsidRDefault="0033254E">
      <w:pPr>
        <w:pStyle w:val="Zkladntext"/>
        <w:ind w:left="120"/>
      </w:pPr>
      <w:r>
        <w:t>AND</w:t>
      </w:r>
    </w:p>
    <w:p w14:paraId="38AF9DD2" w14:textId="77777777" w:rsidR="00D757DA" w:rsidRDefault="00D757DA">
      <w:pPr>
        <w:pStyle w:val="Zkladntext"/>
        <w:spacing w:before="9"/>
        <w:rPr>
          <w:sz w:val="20"/>
        </w:rPr>
      </w:pPr>
    </w:p>
    <w:p w14:paraId="444651C3" w14:textId="77777777" w:rsidR="00D757DA" w:rsidRDefault="0033254E">
      <w:pPr>
        <w:pStyle w:val="Zkladntext"/>
        <w:ind w:left="120" w:right="1431"/>
        <w:jc w:val="both"/>
      </w:pPr>
      <w:r>
        <w:t>The</w:t>
      </w:r>
      <w:r>
        <w:rPr>
          <w:spacing w:val="-14"/>
        </w:rPr>
        <w:t xml:space="preserve"> </w:t>
      </w:r>
      <w:r>
        <w:t>Patent</w:t>
      </w:r>
      <w:r>
        <w:rPr>
          <w:spacing w:val="-16"/>
        </w:rPr>
        <w:t xml:space="preserve"> </w:t>
      </w:r>
      <w:r>
        <w:t>Office</w:t>
      </w:r>
      <w:r>
        <w:rPr>
          <w:spacing w:val="-16"/>
        </w:rPr>
        <w:t xml:space="preserve"> </w:t>
      </w:r>
      <w:r>
        <w:t>of</w:t>
      </w:r>
      <w:r>
        <w:rPr>
          <w:spacing w:val="-16"/>
        </w:rPr>
        <w:t xml:space="preserve"> </w:t>
      </w:r>
      <w:r>
        <w:t>the</w:t>
      </w:r>
      <w:r>
        <w:rPr>
          <w:spacing w:val="-18"/>
        </w:rPr>
        <w:t xml:space="preserve"> </w:t>
      </w:r>
      <w:r>
        <w:t>Czech</w:t>
      </w:r>
      <w:r>
        <w:rPr>
          <w:spacing w:val="-15"/>
        </w:rPr>
        <w:t xml:space="preserve"> </w:t>
      </w:r>
      <w:r>
        <w:t>Republic,</w:t>
      </w:r>
      <w:r>
        <w:rPr>
          <w:spacing w:val="-15"/>
        </w:rPr>
        <w:t xml:space="preserve"> </w:t>
      </w:r>
      <w:r>
        <w:t>hereinafter</w:t>
      </w:r>
      <w:r>
        <w:rPr>
          <w:spacing w:val="-16"/>
        </w:rPr>
        <w:t xml:space="preserve"> </w:t>
      </w:r>
      <w:r>
        <w:t>referred</w:t>
      </w:r>
      <w:r>
        <w:rPr>
          <w:spacing w:val="-16"/>
        </w:rPr>
        <w:t xml:space="preserve"> </w:t>
      </w:r>
      <w:r>
        <w:t>to</w:t>
      </w:r>
      <w:r>
        <w:rPr>
          <w:spacing w:val="-17"/>
        </w:rPr>
        <w:t xml:space="preserve"> </w:t>
      </w:r>
      <w:r>
        <w:t>as</w:t>
      </w:r>
      <w:r>
        <w:rPr>
          <w:spacing w:val="-17"/>
        </w:rPr>
        <w:t xml:space="preserve"> </w:t>
      </w:r>
      <w:r>
        <w:t>"IPO",</w:t>
      </w:r>
      <w:r>
        <w:rPr>
          <w:spacing w:val="-15"/>
        </w:rPr>
        <w:t xml:space="preserve"> </w:t>
      </w:r>
      <w:r>
        <w:t>which</w:t>
      </w:r>
      <w:r>
        <w:rPr>
          <w:spacing w:val="-14"/>
        </w:rPr>
        <w:t xml:space="preserve"> </w:t>
      </w:r>
      <w:r>
        <w:t>is</w:t>
      </w:r>
      <w:r>
        <w:rPr>
          <w:spacing w:val="-16"/>
        </w:rPr>
        <w:t xml:space="preserve"> </w:t>
      </w:r>
      <w:r>
        <w:t xml:space="preserve">represented for the purposes of the signature of the Agreement, by its President, </w:t>
      </w:r>
      <w:proofErr w:type="spellStart"/>
      <w:r>
        <w:t>Mr</w:t>
      </w:r>
      <w:proofErr w:type="spellEnd"/>
      <w:r>
        <w:t xml:space="preserve"> Josef Kratochvíl, on the other</w:t>
      </w:r>
      <w:r>
        <w:rPr>
          <w:spacing w:val="-2"/>
        </w:rPr>
        <w:t xml:space="preserve"> </w:t>
      </w:r>
      <w:r>
        <w:t>part,</w:t>
      </w:r>
    </w:p>
    <w:p w14:paraId="58BB82D3" w14:textId="77777777" w:rsidR="00D757DA" w:rsidRDefault="00D757DA">
      <w:pPr>
        <w:pStyle w:val="Zkladntext"/>
        <w:spacing w:before="9"/>
        <w:rPr>
          <w:sz w:val="20"/>
        </w:rPr>
      </w:pPr>
    </w:p>
    <w:p w14:paraId="2C96C274" w14:textId="77777777" w:rsidR="00D757DA" w:rsidRDefault="0033254E">
      <w:pPr>
        <w:pStyle w:val="Zkladntext"/>
        <w:spacing w:before="1"/>
        <w:ind w:left="840"/>
      </w:pPr>
      <w:r>
        <w:t>Hereinafter collectively referred to as “the Parties”</w:t>
      </w:r>
    </w:p>
    <w:p w14:paraId="2EAEA1E6" w14:textId="77777777" w:rsidR="00D757DA" w:rsidRDefault="00D757DA">
      <w:pPr>
        <w:pStyle w:val="Zkladntext"/>
        <w:spacing w:before="11"/>
        <w:rPr>
          <w:sz w:val="20"/>
        </w:rPr>
      </w:pPr>
    </w:p>
    <w:p w14:paraId="7C85D283" w14:textId="77777777" w:rsidR="00D757DA" w:rsidRDefault="0033254E">
      <w:pPr>
        <w:pStyle w:val="Zkladntext"/>
        <w:ind w:left="120" w:right="1433" w:firstLine="719"/>
        <w:jc w:val="both"/>
      </w:pPr>
      <w:r>
        <w:t xml:space="preserve">Considering that the Parties have agreed to gather into a Single Agreement all cooperation projects including European Cooperation, International Cooperation (EU-funded projects in third countries) and </w:t>
      </w:r>
      <w:proofErr w:type="gramStart"/>
      <w:r>
        <w:t>Enforcement;</w:t>
      </w:r>
      <w:proofErr w:type="gramEnd"/>
    </w:p>
    <w:p w14:paraId="34E9E340" w14:textId="77777777" w:rsidR="00D757DA" w:rsidRDefault="00D757DA">
      <w:pPr>
        <w:pStyle w:val="Zkladntext"/>
        <w:spacing w:before="10"/>
        <w:rPr>
          <w:sz w:val="20"/>
        </w:rPr>
      </w:pPr>
    </w:p>
    <w:p w14:paraId="0BBFEB3D" w14:textId="77777777" w:rsidR="00D757DA" w:rsidRDefault="0033254E">
      <w:pPr>
        <w:pStyle w:val="Zkladntext"/>
        <w:ind w:left="120" w:right="1436" w:firstLine="719"/>
        <w:jc w:val="both"/>
      </w:pPr>
      <w:r>
        <w:t>Whereas</w:t>
      </w:r>
      <w:r>
        <w:rPr>
          <w:spacing w:val="-10"/>
        </w:rPr>
        <w:t xml:space="preserve"> </w:t>
      </w:r>
      <w:r>
        <w:t>Article</w:t>
      </w:r>
      <w:r>
        <w:rPr>
          <w:spacing w:val="-7"/>
        </w:rPr>
        <w:t xml:space="preserve"> </w:t>
      </w:r>
      <w:r>
        <w:t>152</w:t>
      </w:r>
      <w:r>
        <w:rPr>
          <w:spacing w:val="-6"/>
        </w:rPr>
        <w:t xml:space="preserve"> </w:t>
      </w:r>
      <w:r>
        <w:t>of</w:t>
      </w:r>
      <w:r>
        <w:rPr>
          <w:spacing w:val="-6"/>
        </w:rPr>
        <w:t xml:space="preserve"> </w:t>
      </w:r>
      <w:r>
        <w:t>Regulation</w:t>
      </w:r>
      <w:r>
        <w:rPr>
          <w:spacing w:val="-7"/>
        </w:rPr>
        <w:t xml:space="preserve"> </w:t>
      </w:r>
      <w:r>
        <w:t>(EU)</w:t>
      </w:r>
      <w:r>
        <w:rPr>
          <w:spacing w:val="-9"/>
        </w:rPr>
        <w:t xml:space="preserve"> </w:t>
      </w:r>
      <w:r>
        <w:t>2017/1001</w:t>
      </w:r>
      <w:r>
        <w:rPr>
          <w:spacing w:val="-6"/>
        </w:rPr>
        <w:t xml:space="preserve"> </w:t>
      </w:r>
      <w:r>
        <w:t>of</w:t>
      </w:r>
      <w:r>
        <w:rPr>
          <w:spacing w:val="-9"/>
        </w:rPr>
        <w:t xml:space="preserve"> </w:t>
      </w:r>
      <w:r>
        <w:t>the</w:t>
      </w:r>
      <w:r>
        <w:rPr>
          <w:spacing w:val="-9"/>
        </w:rPr>
        <w:t xml:space="preserve"> </w:t>
      </w:r>
      <w:r>
        <w:t>European</w:t>
      </w:r>
      <w:r>
        <w:rPr>
          <w:spacing w:val="-10"/>
        </w:rPr>
        <w:t xml:space="preserve"> </w:t>
      </w:r>
      <w:r>
        <w:t>Parliament</w:t>
      </w:r>
      <w:r>
        <w:rPr>
          <w:spacing w:val="-8"/>
        </w:rPr>
        <w:t xml:space="preserve"> </w:t>
      </w:r>
      <w:r>
        <w:t>and</w:t>
      </w:r>
      <w:r>
        <w:rPr>
          <w:spacing w:val="-6"/>
        </w:rPr>
        <w:t xml:space="preserve"> </w:t>
      </w:r>
      <w:r>
        <w:rPr>
          <w:spacing w:val="-3"/>
        </w:rPr>
        <w:t xml:space="preserve">of </w:t>
      </w:r>
      <w:r>
        <w:t xml:space="preserve">the Council of 14 June 2017 on the European Union </w:t>
      </w:r>
      <w:proofErr w:type="gramStart"/>
      <w:r>
        <w:t>trade mark</w:t>
      </w:r>
      <w:proofErr w:type="gramEnd"/>
      <w:r>
        <w:t xml:space="preserve"> (hereinafter “EUTMR”) foresees</w:t>
      </w:r>
      <w:r>
        <w:rPr>
          <w:spacing w:val="-20"/>
        </w:rPr>
        <w:t xml:space="preserve"> </w:t>
      </w:r>
      <w:r>
        <w:t>the</w:t>
      </w:r>
      <w:r>
        <w:rPr>
          <w:spacing w:val="-20"/>
        </w:rPr>
        <w:t xml:space="preserve"> </w:t>
      </w:r>
      <w:r>
        <w:t>cooperation</w:t>
      </w:r>
      <w:r>
        <w:rPr>
          <w:spacing w:val="-18"/>
        </w:rPr>
        <w:t xml:space="preserve"> </w:t>
      </w:r>
      <w:r>
        <w:t>between</w:t>
      </w:r>
      <w:r>
        <w:rPr>
          <w:spacing w:val="-17"/>
        </w:rPr>
        <w:t xml:space="preserve"> </w:t>
      </w:r>
      <w:r>
        <w:t>EUIPO</w:t>
      </w:r>
      <w:r>
        <w:rPr>
          <w:spacing w:val="-16"/>
        </w:rPr>
        <w:t xml:space="preserve"> </w:t>
      </w:r>
      <w:r>
        <w:t>and</w:t>
      </w:r>
      <w:r>
        <w:rPr>
          <w:spacing w:val="-19"/>
        </w:rPr>
        <w:t xml:space="preserve"> </w:t>
      </w:r>
      <w:r>
        <w:t>central</w:t>
      </w:r>
      <w:r>
        <w:rPr>
          <w:spacing w:val="-18"/>
        </w:rPr>
        <w:t xml:space="preserve"> </w:t>
      </w:r>
      <w:r>
        <w:t>industrial</w:t>
      </w:r>
      <w:r>
        <w:rPr>
          <w:spacing w:val="-17"/>
        </w:rPr>
        <w:t xml:space="preserve"> </w:t>
      </w:r>
      <w:r>
        <w:t>property</w:t>
      </w:r>
      <w:r>
        <w:rPr>
          <w:spacing w:val="-17"/>
        </w:rPr>
        <w:t xml:space="preserve"> </w:t>
      </w:r>
      <w:r>
        <w:t>offices</w:t>
      </w:r>
      <w:r>
        <w:rPr>
          <w:spacing w:val="-17"/>
        </w:rPr>
        <w:t xml:space="preserve"> </w:t>
      </w:r>
      <w:r>
        <w:t>of</w:t>
      </w:r>
      <w:r>
        <w:rPr>
          <w:spacing w:val="-18"/>
        </w:rPr>
        <w:t xml:space="preserve"> </w:t>
      </w:r>
      <w:r>
        <w:t>the</w:t>
      </w:r>
      <w:r>
        <w:rPr>
          <w:spacing w:val="-20"/>
        </w:rPr>
        <w:t xml:space="preserve"> </w:t>
      </w:r>
      <w:r>
        <w:t xml:space="preserve">Member States and the Benelux Office for Intellectual Property (hereinafter “IPOs”) to promote convergence of practices and tools in the fields of </w:t>
      </w:r>
      <w:proofErr w:type="spellStart"/>
      <w:r>
        <w:t>trade marks</w:t>
      </w:r>
      <w:proofErr w:type="spellEnd"/>
      <w:r>
        <w:t xml:space="preserve"> and</w:t>
      </w:r>
      <w:r>
        <w:rPr>
          <w:spacing w:val="-21"/>
        </w:rPr>
        <w:t xml:space="preserve"> </w:t>
      </w:r>
      <w:r>
        <w:t>designs;</w:t>
      </w:r>
    </w:p>
    <w:p w14:paraId="5CB04698" w14:textId="77777777" w:rsidR="00D757DA" w:rsidRDefault="00D757DA">
      <w:pPr>
        <w:pStyle w:val="Zkladntext"/>
        <w:spacing w:before="10"/>
        <w:rPr>
          <w:sz w:val="20"/>
        </w:rPr>
      </w:pPr>
    </w:p>
    <w:p w14:paraId="71912156" w14:textId="77777777" w:rsidR="00D757DA" w:rsidRDefault="0033254E">
      <w:pPr>
        <w:pStyle w:val="Zkladntext"/>
        <w:ind w:left="120" w:right="1433" w:firstLine="719"/>
        <w:jc w:val="both"/>
      </w:pPr>
      <w:r>
        <w:t xml:space="preserve">Whereas on 19-20 November 2024, the Management Board adopted Decision No. MBBC-24-13 to </w:t>
      </w:r>
      <w:proofErr w:type="spellStart"/>
      <w:r>
        <w:t>authorise</w:t>
      </w:r>
      <w:proofErr w:type="spellEnd"/>
      <w:r>
        <w:t xml:space="preserve"> the definition of five new European Cooperation Projects under the EUIPN in the framework of the adoption of the EUIPO’s Strategic Plan 2030 , and invited the central</w:t>
      </w:r>
      <w:r>
        <w:rPr>
          <w:spacing w:val="-6"/>
        </w:rPr>
        <w:t xml:space="preserve"> </w:t>
      </w:r>
      <w:r>
        <w:t>industrial</w:t>
      </w:r>
      <w:r>
        <w:rPr>
          <w:spacing w:val="-5"/>
        </w:rPr>
        <w:t xml:space="preserve"> </w:t>
      </w:r>
      <w:r>
        <w:t>property</w:t>
      </w:r>
      <w:r>
        <w:rPr>
          <w:spacing w:val="-5"/>
        </w:rPr>
        <w:t xml:space="preserve"> </w:t>
      </w:r>
      <w:r>
        <w:t>offices</w:t>
      </w:r>
      <w:r>
        <w:rPr>
          <w:spacing w:val="-5"/>
        </w:rPr>
        <w:t xml:space="preserve"> </w:t>
      </w:r>
      <w:r>
        <w:t>of</w:t>
      </w:r>
      <w:r>
        <w:rPr>
          <w:spacing w:val="-5"/>
        </w:rPr>
        <w:t xml:space="preserve"> </w:t>
      </w:r>
      <w:r>
        <w:t>the</w:t>
      </w:r>
      <w:r>
        <w:rPr>
          <w:spacing w:val="-7"/>
        </w:rPr>
        <w:t xml:space="preserve"> </w:t>
      </w:r>
      <w:r>
        <w:t>Member</w:t>
      </w:r>
      <w:r>
        <w:rPr>
          <w:spacing w:val="-6"/>
        </w:rPr>
        <w:t xml:space="preserve"> </w:t>
      </w:r>
      <w:r>
        <w:t>States</w:t>
      </w:r>
      <w:r>
        <w:rPr>
          <w:spacing w:val="-3"/>
        </w:rPr>
        <w:t xml:space="preserve"> </w:t>
      </w:r>
      <w:r>
        <w:t>and</w:t>
      </w:r>
      <w:r>
        <w:rPr>
          <w:spacing w:val="-7"/>
        </w:rPr>
        <w:t xml:space="preserve"> </w:t>
      </w:r>
      <w:r>
        <w:t>the</w:t>
      </w:r>
      <w:r>
        <w:rPr>
          <w:spacing w:val="-7"/>
        </w:rPr>
        <w:t xml:space="preserve"> </w:t>
      </w:r>
      <w:r>
        <w:t>Benelux</w:t>
      </w:r>
      <w:r>
        <w:rPr>
          <w:spacing w:val="-7"/>
        </w:rPr>
        <w:t xml:space="preserve"> </w:t>
      </w:r>
      <w:r>
        <w:t>Office</w:t>
      </w:r>
      <w:r>
        <w:rPr>
          <w:spacing w:val="-4"/>
        </w:rPr>
        <w:t xml:space="preserve"> </w:t>
      </w:r>
      <w:r>
        <w:t>for</w:t>
      </w:r>
      <w:r>
        <w:rPr>
          <w:spacing w:val="-6"/>
        </w:rPr>
        <w:t xml:space="preserve"> </w:t>
      </w:r>
      <w:r>
        <w:t xml:space="preserve">Intellectual Property to participate in the projects; the said decision envisages the continuation of a cooperation framework which includes three forms of contribution: The use of simplified cost option as form of funding (lump sum) based on historical data </w:t>
      </w:r>
      <w:r>
        <w:t xml:space="preserve">;financing not linked to costs (FNLC) in the case of </w:t>
      </w:r>
      <w:proofErr w:type="spellStart"/>
      <w:r>
        <w:t>TMview</w:t>
      </w:r>
      <w:proofErr w:type="spellEnd"/>
      <w:r>
        <w:t xml:space="preserve"> and </w:t>
      </w:r>
      <w:proofErr w:type="spellStart"/>
      <w:r>
        <w:t>DesignView</w:t>
      </w:r>
      <w:proofErr w:type="spellEnd"/>
      <w:r>
        <w:t>; and reimbursement of eligible costs actually incurred</w:t>
      </w:r>
      <w:r>
        <w:rPr>
          <w:spacing w:val="-3"/>
        </w:rPr>
        <w:t xml:space="preserve"> </w:t>
      </w:r>
      <w:r>
        <w:t>.</w:t>
      </w:r>
    </w:p>
    <w:p w14:paraId="67B8E490" w14:textId="77777777" w:rsidR="00D757DA" w:rsidRDefault="00D757DA">
      <w:pPr>
        <w:pStyle w:val="Zkladntext"/>
        <w:rPr>
          <w:sz w:val="21"/>
        </w:rPr>
      </w:pPr>
    </w:p>
    <w:p w14:paraId="3B256020" w14:textId="77777777" w:rsidR="00D757DA" w:rsidRDefault="0033254E">
      <w:pPr>
        <w:pStyle w:val="Zkladntext"/>
        <w:ind w:left="120" w:right="1438" w:firstLine="719"/>
        <w:jc w:val="both"/>
      </w:pPr>
      <w:r>
        <w:t>Whereas Regulation (EU) No 386/2012 entrusts to the EUIPO with the task of improving</w:t>
      </w:r>
      <w:r>
        <w:rPr>
          <w:spacing w:val="-12"/>
        </w:rPr>
        <w:t xml:space="preserve"> </w:t>
      </w:r>
      <w:r>
        <w:t>knowledge</w:t>
      </w:r>
      <w:r>
        <w:rPr>
          <w:spacing w:val="-12"/>
        </w:rPr>
        <w:t xml:space="preserve"> </w:t>
      </w:r>
      <w:r>
        <w:t>on</w:t>
      </w:r>
      <w:r>
        <w:rPr>
          <w:spacing w:val="-16"/>
        </w:rPr>
        <w:t xml:space="preserve"> </w:t>
      </w:r>
      <w:r>
        <w:t>intellectual</w:t>
      </w:r>
      <w:r>
        <w:rPr>
          <w:spacing w:val="-13"/>
        </w:rPr>
        <w:t xml:space="preserve"> </w:t>
      </w:r>
      <w:r>
        <w:t>property</w:t>
      </w:r>
      <w:r>
        <w:rPr>
          <w:spacing w:val="-13"/>
        </w:rPr>
        <w:t xml:space="preserve"> </w:t>
      </w:r>
      <w:r>
        <w:t>(hereinafter</w:t>
      </w:r>
      <w:r>
        <w:rPr>
          <w:spacing w:val="-13"/>
        </w:rPr>
        <w:t xml:space="preserve"> </w:t>
      </w:r>
      <w:r>
        <w:t>“IP”)</w:t>
      </w:r>
      <w:r>
        <w:rPr>
          <w:spacing w:val="-12"/>
        </w:rPr>
        <w:t xml:space="preserve"> </w:t>
      </w:r>
      <w:r>
        <w:t>rights</w:t>
      </w:r>
      <w:r>
        <w:rPr>
          <w:spacing w:val="-11"/>
        </w:rPr>
        <w:t xml:space="preserve"> </w:t>
      </w:r>
      <w:r>
        <w:t>infringements</w:t>
      </w:r>
      <w:r>
        <w:rPr>
          <w:spacing w:val="-13"/>
        </w:rPr>
        <w:t xml:space="preserve"> </w:t>
      </w:r>
      <w:r>
        <w:t>in</w:t>
      </w:r>
      <w:r>
        <w:rPr>
          <w:spacing w:val="-14"/>
        </w:rPr>
        <w:t xml:space="preserve"> </w:t>
      </w:r>
      <w:r>
        <w:t>Member States and Article 5(1) of the above-mentioned Regulation foresees certain information obligations,</w:t>
      </w:r>
      <w:r>
        <w:rPr>
          <w:spacing w:val="-9"/>
        </w:rPr>
        <w:t xml:space="preserve"> </w:t>
      </w:r>
      <w:r>
        <w:t>specifically</w:t>
      </w:r>
      <w:r>
        <w:rPr>
          <w:spacing w:val="-8"/>
        </w:rPr>
        <w:t xml:space="preserve"> </w:t>
      </w:r>
      <w:r>
        <w:t>“[…]</w:t>
      </w:r>
      <w:r>
        <w:rPr>
          <w:spacing w:val="-11"/>
        </w:rPr>
        <w:t xml:space="preserve"> </w:t>
      </w:r>
      <w:r>
        <w:t>Member</w:t>
      </w:r>
      <w:r>
        <w:rPr>
          <w:spacing w:val="-8"/>
        </w:rPr>
        <w:t xml:space="preserve"> </w:t>
      </w:r>
      <w:r>
        <w:t>States</w:t>
      </w:r>
      <w:r>
        <w:rPr>
          <w:spacing w:val="-11"/>
        </w:rPr>
        <w:t xml:space="preserve"> </w:t>
      </w:r>
      <w:r>
        <w:t>shall,</w:t>
      </w:r>
      <w:r>
        <w:rPr>
          <w:spacing w:val="-10"/>
        </w:rPr>
        <w:t xml:space="preserve"> </w:t>
      </w:r>
      <w:r>
        <w:t>at</w:t>
      </w:r>
      <w:r>
        <w:rPr>
          <w:spacing w:val="-9"/>
        </w:rPr>
        <w:t xml:space="preserve"> </w:t>
      </w:r>
      <w:r>
        <w:t>the</w:t>
      </w:r>
      <w:r>
        <w:rPr>
          <w:spacing w:val="-12"/>
        </w:rPr>
        <w:t xml:space="preserve"> </w:t>
      </w:r>
      <w:r>
        <w:t>request</w:t>
      </w:r>
      <w:r>
        <w:rPr>
          <w:spacing w:val="-7"/>
        </w:rPr>
        <w:t xml:space="preserve"> </w:t>
      </w:r>
      <w:r>
        <w:t>of</w:t>
      </w:r>
      <w:r>
        <w:rPr>
          <w:spacing w:val="-11"/>
        </w:rPr>
        <w:t xml:space="preserve"> </w:t>
      </w:r>
      <w:r>
        <w:t>the</w:t>
      </w:r>
      <w:r>
        <w:rPr>
          <w:spacing w:val="-9"/>
        </w:rPr>
        <w:t xml:space="preserve"> </w:t>
      </w:r>
      <w:r>
        <w:t>EUIPO</w:t>
      </w:r>
      <w:r>
        <w:rPr>
          <w:spacing w:val="-7"/>
        </w:rPr>
        <w:t xml:space="preserve"> </w:t>
      </w:r>
      <w:r>
        <w:t>or</w:t>
      </w:r>
      <w:r>
        <w:rPr>
          <w:spacing w:val="-9"/>
        </w:rPr>
        <w:t xml:space="preserve"> </w:t>
      </w:r>
      <w:r>
        <w:t>on</w:t>
      </w:r>
      <w:r>
        <w:rPr>
          <w:spacing w:val="-12"/>
        </w:rPr>
        <w:t xml:space="preserve"> </w:t>
      </w:r>
      <w:r>
        <w:t>their</w:t>
      </w:r>
      <w:r>
        <w:rPr>
          <w:spacing w:val="-10"/>
        </w:rPr>
        <w:t xml:space="preserve"> </w:t>
      </w:r>
      <w:r>
        <w:t>own initiative: […] (c) “inform the EUIPO of important</w:t>
      </w:r>
      <w:r>
        <w:rPr>
          <w:spacing w:val="-6"/>
        </w:rPr>
        <w:t xml:space="preserve"> </w:t>
      </w:r>
      <w:r>
        <w:t>case-law</w:t>
      </w:r>
      <w:proofErr w:type="gramStart"/>
      <w:r>
        <w:t>”;</w:t>
      </w:r>
      <w:proofErr w:type="gramEnd"/>
    </w:p>
    <w:p w14:paraId="23E5701D" w14:textId="77777777" w:rsidR="00D757DA" w:rsidRDefault="00D757DA">
      <w:pPr>
        <w:pStyle w:val="Zkladntext"/>
        <w:spacing w:before="10"/>
        <w:rPr>
          <w:sz w:val="20"/>
        </w:rPr>
      </w:pPr>
    </w:p>
    <w:p w14:paraId="340ABCC3" w14:textId="77777777" w:rsidR="00D757DA" w:rsidRDefault="0033254E">
      <w:pPr>
        <w:pStyle w:val="Zkladntext"/>
        <w:ind w:left="120" w:right="1339" w:firstLine="357"/>
      </w:pPr>
      <w:r>
        <w:t>Whereas the EUIPO will continue to make use of the experts of IPOs to participate in EU- funded projects in third countries and has informed the Management Board accordingly.</w:t>
      </w:r>
    </w:p>
    <w:p w14:paraId="1AF84F79" w14:textId="77777777" w:rsidR="00D757DA" w:rsidRDefault="00D757DA">
      <w:pPr>
        <w:pStyle w:val="Zkladntext"/>
        <w:spacing w:before="8"/>
        <w:rPr>
          <w:sz w:val="20"/>
        </w:rPr>
      </w:pPr>
    </w:p>
    <w:p w14:paraId="430D8523" w14:textId="77777777" w:rsidR="00D757DA" w:rsidRDefault="0033254E">
      <w:pPr>
        <w:pStyle w:val="Zkladntext"/>
        <w:ind w:left="478"/>
      </w:pPr>
      <w:r>
        <w:t>The Parties have hereby agreed the following:</w:t>
      </w:r>
    </w:p>
    <w:p w14:paraId="78B961AF" w14:textId="77777777" w:rsidR="00D757DA" w:rsidRDefault="00D757DA">
      <w:pPr>
        <w:pStyle w:val="Zkladntext"/>
        <w:spacing w:before="1"/>
      </w:pPr>
    </w:p>
    <w:p w14:paraId="7AE56BD5" w14:textId="77777777" w:rsidR="00D757DA" w:rsidRDefault="0033254E">
      <w:pPr>
        <w:pStyle w:val="Nadpis3"/>
        <w:spacing w:line="480" w:lineRule="auto"/>
        <w:ind w:left="3771" w:right="4916" w:hanging="51"/>
        <w:jc w:val="both"/>
      </w:pPr>
      <w:r>
        <w:t>Special conditions</w:t>
      </w:r>
      <w:bookmarkStart w:id="0" w:name="Article_1_-_Scope"/>
      <w:bookmarkEnd w:id="0"/>
      <w:r>
        <w:t xml:space="preserve"> Article 1 - Scope</w:t>
      </w:r>
    </w:p>
    <w:p w14:paraId="4E66D4EC" w14:textId="77777777" w:rsidR="00D757DA" w:rsidRDefault="00D757DA">
      <w:pPr>
        <w:pStyle w:val="Zkladntext"/>
        <w:spacing w:before="11"/>
        <w:rPr>
          <w:b/>
          <w:sz w:val="20"/>
        </w:rPr>
      </w:pPr>
    </w:p>
    <w:p w14:paraId="5A033607" w14:textId="77777777" w:rsidR="00D757DA" w:rsidRDefault="0033254E">
      <w:pPr>
        <w:pStyle w:val="Odstavecseseznamem"/>
        <w:numPr>
          <w:ilvl w:val="0"/>
          <w:numId w:val="69"/>
        </w:numPr>
        <w:tabs>
          <w:tab w:val="left" w:pos="481"/>
        </w:tabs>
        <w:ind w:right="1435"/>
        <w:jc w:val="both"/>
      </w:pPr>
      <w:r>
        <w:t>The present Agreement sets out the terms and conditions for cooperation activities between the parties in the areas of European Cooperation in the field of Intellectual Property (hereafter “ECPs”), and Enforcement and International Cooperation in the field of Intellectual Property (EU-funded projects in third</w:t>
      </w:r>
      <w:r>
        <w:rPr>
          <w:spacing w:val="-10"/>
        </w:rPr>
        <w:t xml:space="preserve"> </w:t>
      </w:r>
      <w:r>
        <w:t>countries).</w:t>
      </w:r>
    </w:p>
    <w:p w14:paraId="483C91A5" w14:textId="77777777" w:rsidR="00D757DA" w:rsidRDefault="00D757DA">
      <w:pPr>
        <w:pStyle w:val="Zkladntext"/>
      </w:pPr>
    </w:p>
    <w:p w14:paraId="56AC3E62" w14:textId="77777777" w:rsidR="00D757DA" w:rsidRDefault="0033254E">
      <w:pPr>
        <w:pStyle w:val="Odstavecseseznamem"/>
        <w:numPr>
          <w:ilvl w:val="0"/>
          <w:numId w:val="69"/>
        </w:numPr>
        <w:tabs>
          <w:tab w:val="left" w:pos="481"/>
        </w:tabs>
        <w:ind w:hanging="361"/>
      </w:pPr>
      <w:r>
        <w:t>By signing this Agreement, the IPO accepts to cooperate in the following</w:t>
      </w:r>
      <w:r>
        <w:rPr>
          <w:spacing w:val="-11"/>
        </w:rPr>
        <w:t xml:space="preserve"> </w:t>
      </w:r>
      <w:r>
        <w:t>areas:</w:t>
      </w:r>
    </w:p>
    <w:p w14:paraId="28E20E78" w14:textId="77777777" w:rsidR="00D757DA" w:rsidRDefault="00D757DA">
      <w:pPr>
        <w:sectPr w:rsidR="00D757DA">
          <w:footerReference w:type="default" r:id="rId7"/>
          <w:pgSz w:w="11910" w:h="16840"/>
          <w:pgMar w:top="1340" w:right="0" w:bottom="1080" w:left="1320" w:header="0" w:footer="881" w:gutter="0"/>
          <w:pgNumType w:start="2"/>
          <w:cols w:space="708"/>
        </w:sectPr>
      </w:pPr>
    </w:p>
    <w:p w14:paraId="0351D568" w14:textId="77777777" w:rsidR="00D757DA" w:rsidRDefault="0033254E">
      <w:pPr>
        <w:pStyle w:val="Odstavecseseznamem"/>
        <w:numPr>
          <w:ilvl w:val="1"/>
          <w:numId w:val="69"/>
        </w:numPr>
        <w:tabs>
          <w:tab w:val="left" w:pos="1254"/>
        </w:tabs>
        <w:spacing w:before="81" w:line="253" w:lineRule="exact"/>
        <w:ind w:hanging="414"/>
      </w:pPr>
      <w:r>
        <w:lastRenderedPageBreak/>
        <w:t>(a) European Cooperation Projects</w:t>
      </w:r>
      <w:r>
        <w:rPr>
          <w:spacing w:val="-1"/>
        </w:rPr>
        <w:t xml:space="preserve"> </w:t>
      </w:r>
      <w:r>
        <w:t>Implementation</w:t>
      </w:r>
    </w:p>
    <w:p w14:paraId="7574B904" w14:textId="77777777" w:rsidR="00D757DA" w:rsidRDefault="0033254E">
      <w:pPr>
        <w:ind w:left="1246" w:right="1817"/>
        <w:rPr>
          <w:b/>
        </w:rPr>
      </w:pPr>
      <w:r>
        <w:t xml:space="preserve">(b) European Cooperation activities: </w:t>
      </w:r>
      <w:r>
        <w:rPr>
          <w:b/>
        </w:rPr>
        <w:t>virtual communities for collaboration, language check activity, sustainability of EU practices, and case law project</w:t>
      </w:r>
    </w:p>
    <w:p w14:paraId="19EABE2D" w14:textId="77777777" w:rsidR="00D757DA" w:rsidRDefault="0033254E">
      <w:pPr>
        <w:pStyle w:val="Odstavecseseznamem"/>
        <w:numPr>
          <w:ilvl w:val="1"/>
          <w:numId w:val="69"/>
        </w:numPr>
        <w:tabs>
          <w:tab w:val="left" w:pos="1254"/>
        </w:tabs>
        <w:spacing w:before="43"/>
        <w:ind w:hanging="414"/>
      </w:pPr>
      <w:r>
        <w:t>Promotional</w:t>
      </w:r>
      <w:r>
        <w:rPr>
          <w:spacing w:val="-2"/>
        </w:rPr>
        <w:t xml:space="preserve"> </w:t>
      </w:r>
      <w:r>
        <w:t>Activities</w:t>
      </w:r>
    </w:p>
    <w:p w14:paraId="5D8E8828" w14:textId="77777777" w:rsidR="00D757DA" w:rsidRDefault="0033254E">
      <w:pPr>
        <w:pStyle w:val="Odstavecseseznamem"/>
        <w:numPr>
          <w:ilvl w:val="1"/>
          <w:numId w:val="69"/>
        </w:numPr>
        <w:tabs>
          <w:tab w:val="left" w:pos="1254"/>
        </w:tabs>
        <w:spacing w:before="40"/>
        <w:ind w:hanging="414"/>
      </w:pPr>
      <w:r>
        <w:t xml:space="preserve">Financial support to </w:t>
      </w:r>
      <w:proofErr w:type="spellStart"/>
      <w:r>
        <w:t>TMview</w:t>
      </w:r>
      <w:proofErr w:type="spellEnd"/>
      <w:r>
        <w:t xml:space="preserve"> and</w:t>
      </w:r>
      <w:r>
        <w:rPr>
          <w:spacing w:val="-3"/>
        </w:rPr>
        <w:t xml:space="preserve"> </w:t>
      </w:r>
      <w:proofErr w:type="spellStart"/>
      <w:r>
        <w:t>DSview</w:t>
      </w:r>
      <w:proofErr w:type="spellEnd"/>
    </w:p>
    <w:p w14:paraId="400A4F22" w14:textId="77777777" w:rsidR="00D757DA" w:rsidRDefault="0033254E">
      <w:pPr>
        <w:pStyle w:val="Odstavecseseznamem"/>
        <w:numPr>
          <w:ilvl w:val="1"/>
          <w:numId w:val="69"/>
        </w:numPr>
        <w:tabs>
          <w:tab w:val="left" w:pos="1254"/>
        </w:tabs>
        <w:spacing w:before="39"/>
        <w:ind w:hanging="414"/>
      </w:pPr>
      <w:r>
        <w:t>Participation in EU-funded projects in third countries, if</w:t>
      </w:r>
      <w:r>
        <w:rPr>
          <w:spacing w:val="-6"/>
        </w:rPr>
        <w:t xml:space="preserve"> </w:t>
      </w:r>
      <w:r>
        <w:t>applicable.</w:t>
      </w:r>
    </w:p>
    <w:p w14:paraId="668A94B4" w14:textId="77777777" w:rsidR="00D757DA" w:rsidRDefault="00D757DA">
      <w:pPr>
        <w:pStyle w:val="Zkladntext"/>
        <w:spacing w:before="10"/>
        <w:rPr>
          <w:sz w:val="21"/>
        </w:rPr>
      </w:pPr>
    </w:p>
    <w:p w14:paraId="6D77B6EC" w14:textId="77777777" w:rsidR="00D757DA" w:rsidRDefault="0033254E">
      <w:pPr>
        <w:pStyle w:val="Odstavecseseznamem"/>
        <w:numPr>
          <w:ilvl w:val="0"/>
          <w:numId w:val="69"/>
        </w:numPr>
        <w:tabs>
          <w:tab w:val="left" w:pos="481"/>
        </w:tabs>
        <w:ind w:right="1434"/>
        <w:jc w:val="both"/>
      </w:pPr>
      <w:r>
        <w:t>The</w:t>
      </w:r>
      <w:r>
        <w:rPr>
          <w:spacing w:val="-4"/>
        </w:rPr>
        <w:t xml:space="preserve"> </w:t>
      </w:r>
      <w:r>
        <w:t>IPO</w:t>
      </w:r>
      <w:r>
        <w:rPr>
          <w:spacing w:val="-5"/>
        </w:rPr>
        <w:t xml:space="preserve"> </w:t>
      </w:r>
      <w:r>
        <w:t>shall</w:t>
      </w:r>
      <w:r>
        <w:rPr>
          <w:spacing w:val="-5"/>
        </w:rPr>
        <w:t xml:space="preserve"> </w:t>
      </w:r>
      <w:r>
        <w:t>participate</w:t>
      </w:r>
      <w:r>
        <w:rPr>
          <w:spacing w:val="-6"/>
        </w:rPr>
        <w:t xml:space="preserve"> </w:t>
      </w:r>
      <w:r>
        <w:t>effectively</w:t>
      </w:r>
      <w:r>
        <w:rPr>
          <w:spacing w:val="-4"/>
        </w:rPr>
        <w:t xml:space="preserve"> </w:t>
      </w:r>
      <w:r>
        <w:t>in</w:t>
      </w:r>
      <w:r>
        <w:rPr>
          <w:spacing w:val="-6"/>
        </w:rPr>
        <w:t xml:space="preserve"> </w:t>
      </w:r>
      <w:r>
        <w:t>the</w:t>
      </w:r>
      <w:r>
        <w:rPr>
          <w:spacing w:val="-3"/>
        </w:rPr>
        <w:t xml:space="preserve"> </w:t>
      </w:r>
      <w:r>
        <w:t>areas</w:t>
      </w:r>
      <w:r>
        <w:rPr>
          <w:spacing w:val="-2"/>
        </w:rPr>
        <w:t xml:space="preserve"> </w:t>
      </w:r>
      <w:r>
        <w:t>referred</w:t>
      </w:r>
      <w:r>
        <w:rPr>
          <w:spacing w:val="-4"/>
        </w:rPr>
        <w:t xml:space="preserve"> </w:t>
      </w:r>
      <w:r>
        <w:t>to</w:t>
      </w:r>
      <w:r>
        <w:rPr>
          <w:spacing w:val="-6"/>
        </w:rPr>
        <w:t xml:space="preserve"> </w:t>
      </w:r>
      <w:r>
        <w:t>in</w:t>
      </w:r>
      <w:r>
        <w:rPr>
          <w:spacing w:val="-4"/>
        </w:rPr>
        <w:t xml:space="preserve"> </w:t>
      </w:r>
      <w:r>
        <w:t>paragraph</w:t>
      </w:r>
      <w:r>
        <w:rPr>
          <w:spacing w:val="-4"/>
        </w:rPr>
        <w:t xml:space="preserve"> </w:t>
      </w:r>
      <w:r>
        <w:t>2</w:t>
      </w:r>
      <w:r>
        <w:rPr>
          <w:spacing w:val="-6"/>
        </w:rPr>
        <w:t xml:space="preserve"> </w:t>
      </w:r>
      <w:r>
        <w:t>above</w:t>
      </w:r>
      <w:r>
        <w:rPr>
          <w:spacing w:val="-4"/>
        </w:rPr>
        <w:t xml:space="preserve"> </w:t>
      </w:r>
      <w:r>
        <w:t>with</w:t>
      </w:r>
      <w:r>
        <w:rPr>
          <w:spacing w:val="-6"/>
        </w:rPr>
        <w:t xml:space="preserve"> </w:t>
      </w:r>
      <w:r>
        <w:t>the view to ensuring that the projects are developed, function, are interoperable and kept up to</w:t>
      </w:r>
      <w:r>
        <w:rPr>
          <w:spacing w:val="-1"/>
        </w:rPr>
        <w:t xml:space="preserve"> </w:t>
      </w:r>
      <w:r>
        <w:t>date.</w:t>
      </w:r>
    </w:p>
    <w:p w14:paraId="24B16D67" w14:textId="77777777" w:rsidR="00D757DA" w:rsidRDefault="00D757DA">
      <w:pPr>
        <w:pStyle w:val="Zkladntext"/>
        <w:spacing w:before="1"/>
      </w:pPr>
    </w:p>
    <w:p w14:paraId="45BED106" w14:textId="77777777" w:rsidR="00D757DA" w:rsidRDefault="0033254E">
      <w:pPr>
        <w:pStyle w:val="Nadpis3"/>
        <w:ind w:left="965" w:right="2278"/>
        <w:jc w:val="center"/>
      </w:pPr>
      <w:bookmarkStart w:id="1" w:name="Article_2_-_Structure"/>
      <w:bookmarkEnd w:id="1"/>
      <w:r>
        <w:t>Article 2 - Structure</w:t>
      </w:r>
    </w:p>
    <w:p w14:paraId="4465AD65" w14:textId="77777777" w:rsidR="00D757DA" w:rsidRDefault="00D757DA">
      <w:pPr>
        <w:pStyle w:val="Zkladntext"/>
        <w:rPr>
          <w:b/>
          <w:sz w:val="24"/>
        </w:rPr>
      </w:pPr>
    </w:p>
    <w:p w14:paraId="0BB9C9D8" w14:textId="77777777" w:rsidR="00D757DA" w:rsidRDefault="00D757DA">
      <w:pPr>
        <w:pStyle w:val="Zkladntext"/>
        <w:spacing w:before="11"/>
        <w:rPr>
          <w:b/>
          <w:sz w:val="18"/>
        </w:rPr>
      </w:pPr>
    </w:p>
    <w:p w14:paraId="71812840" w14:textId="77777777" w:rsidR="00D757DA" w:rsidRDefault="0033254E">
      <w:pPr>
        <w:pStyle w:val="Odstavecseseznamem"/>
        <w:numPr>
          <w:ilvl w:val="0"/>
          <w:numId w:val="68"/>
        </w:numPr>
        <w:tabs>
          <w:tab w:val="left" w:pos="547"/>
          <w:tab w:val="left" w:pos="548"/>
        </w:tabs>
      </w:pPr>
      <w:r>
        <w:t>The present Agreement is composed of the</w:t>
      </w:r>
      <w:r>
        <w:rPr>
          <w:spacing w:val="2"/>
        </w:rPr>
        <w:t xml:space="preserve"> </w:t>
      </w:r>
      <w:r>
        <w:t>following:</w:t>
      </w:r>
    </w:p>
    <w:p w14:paraId="02F215B7" w14:textId="77777777" w:rsidR="00D757DA" w:rsidRDefault="00D757DA">
      <w:pPr>
        <w:pStyle w:val="Zkladntext"/>
      </w:pPr>
    </w:p>
    <w:p w14:paraId="1C37C7B4" w14:textId="77777777" w:rsidR="00D757DA" w:rsidRDefault="0033254E">
      <w:pPr>
        <w:pStyle w:val="Odstavecseseznamem"/>
        <w:numPr>
          <w:ilvl w:val="1"/>
          <w:numId w:val="68"/>
        </w:numPr>
        <w:tabs>
          <w:tab w:val="left" w:pos="1254"/>
        </w:tabs>
        <w:spacing w:line="252" w:lineRule="exact"/>
        <w:ind w:hanging="414"/>
      </w:pPr>
      <w:r>
        <w:t>Special</w:t>
      </w:r>
      <w:r>
        <w:rPr>
          <w:spacing w:val="-2"/>
        </w:rPr>
        <w:t xml:space="preserve"> </w:t>
      </w:r>
      <w:r>
        <w:t>Conditions</w:t>
      </w:r>
    </w:p>
    <w:p w14:paraId="22F4FD0A" w14:textId="77777777" w:rsidR="00D757DA" w:rsidRDefault="0033254E">
      <w:pPr>
        <w:pStyle w:val="Odstavecseseznamem"/>
        <w:numPr>
          <w:ilvl w:val="1"/>
          <w:numId w:val="68"/>
        </w:numPr>
        <w:tabs>
          <w:tab w:val="left" w:pos="1254"/>
        </w:tabs>
        <w:spacing w:line="252" w:lineRule="exact"/>
        <w:ind w:hanging="414"/>
      </w:pPr>
      <w:r>
        <w:t>Annex I General</w:t>
      </w:r>
      <w:r>
        <w:rPr>
          <w:spacing w:val="-14"/>
        </w:rPr>
        <w:t xml:space="preserve"> </w:t>
      </w:r>
      <w:r>
        <w:t>Conditions</w:t>
      </w:r>
    </w:p>
    <w:p w14:paraId="2B9C3F67" w14:textId="77777777" w:rsidR="00D757DA" w:rsidRDefault="0033254E">
      <w:pPr>
        <w:pStyle w:val="Odstavecseseznamem"/>
        <w:numPr>
          <w:ilvl w:val="1"/>
          <w:numId w:val="68"/>
        </w:numPr>
        <w:tabs>
          <w:tab w:val="left" w:pos="1254"/>
        </w:tabs>
        <w:spacing w:line="252" w:lineRule="exact"/>
        <w:ind w:hanging="414"/>
      </w:pPr>
      <w:r>
        <w:t>Annex II Specific</w:t>
      </w:r>
      <w:r>
        <w:rPr>
          <w:spacing w:val="-15"/>
        </w:rPr>
        <w:t xml:space="preserve"> </w:t>
      </w:r>
      <w:r>
        <w:t>provisions</w:t>
      </w:r>
    </w:p>
    <w:p w14:paraId="243912EF" w14:textId="77777777" w:rsidR="00D757DA" w:rsidRDefault="0033254E">
      <w:pPr>
        <w:pStyle w:val="Odstavecseseznamem"/>
        <w:numPr>
          <w:ilvl w:val="1"/>
          <w:numId w:val="68"/>
        </w:numPr>
        <w:tabs>
          <w:tab w:val="left" w:pos="1254"/>
        </w:tabs>
        <w:spacing w:before="2"/>
        <w:ind w:right="1598"/>
      </w:pPr>
      <w:r>
        <w:t>Annex III Activity specifications, including milestones and/or KPIs, as generated through the online Cooperation</w:t>
      </w:r>
      <w:r>
        <w:rPr>
          <w:spacing w:val="-6"/>
        </w:rPr>
        <w:t xml:space="preserve"> </w:t>
      </w:r>
      <w:r>
        <w:t>Platform</w:t>
      </w:r>
    </w:p>
    <w:p w14:paraId="3C981D5C" w14:textId="77777777" w:rsidR="00D757DA" w:rsidRDefault="0033254E">
      <w:pPr>
        <w:pStyle w:val="Odstavecseseznamem"/>
        <w:numPr>
          <w:ilvl w:val="1"/>
          <w:numId w:val="68"/>
        </w:numPr>
        <w:tabs>
          <w:tab w:val="left" w:pos="1254"/>
        </w:tabs>
        <w:ind w:hanging="414"/>
      </w:pPr>
      <w:r>
        <w:t>Annex IV Ideas powered for business SME</w:t>
      </w:r>
      <w:r>
        <w:rPr>
          <w:spacing w:val="-11"/>
        </w:rPr>
        <w:t xml:space="preserve"> </w:t>
      </w:r>
      <w:r>
        <w:t>fund.</w:t>
      </w:r>
    </w:p>
    <w:p w14:paraId="32AB37A7" w14:textId="77777777" w:rsidR="00D757DA" w:rsidRDefault="00D757DA">
      <w:pPr>
        <w:pStyle w:val="Zkladntext"/>
        <w:spacing w:before="10"/>
        <w:rPr>
          <w:sz w:val="21"/>
        </w:rPr>
      </w:pPr>
    </w:p>
    <w:p w14:paraId="6D82C45A" w14:textId="77777777" w:rsidR="00D757DA" w:rsidRDefault="0033254E">
      <w:pPr>
        <w:pStyle w:val="Zkladntext"/>
        <w:ind w:left="547"/>
      </w:pPr>
      <w:r>
        <w:t>These annexes form an integral part of the Agreement.</w:t>
      </w:r>
    </w:p>
    <w:p w14:paraId="4CB3A3DC" w14:textId="77777777" w:rsidR="00D757DA" w:rsidRDefault="00D757DA">
      <w:pPr>
        <w:pStyle w:val="Zkladntext"/>
      </w:pPr>
    </w:p>
    <w:p w14:paraId="22A20FCE" w14:textId="77777777" w:rsidR="00D757DA" w:rsidRDefault="0033254E">
      <w:pPr>
        <w:pStyle w:val="Odstavecseseznamem"/>
        <w:numPr>
          <w:ilvl w:val="0"/>
          <w:numId w:val="68"/>
        </w:numPr>
        <w:tabs>
          <w:tab w:val="left" w:pos="547"/>
          <w:tab w:val="left" w:pos="548"/>
        </w:tabs>
      </w:pPr>
      <w:r>
        <w:t>Annex II shall take precedence over Annex I, Annex III and Annex</w:t>
      </w:r>
      <w:r>
        <w:rPr>
          <w:spacing w:val="-9"/>
        </w:rPr>
        <w:t xml:space="preserve"> </w:t>
      </w:r>
      <w:r>
        <w:t>IV.</w:t>
      </w:r>
    </w:p>
    <w:p w14:paraId="3E45265B" w14:textId="77777777" w:rsidR="00D757DA" w:rsidRDefault="00D757DA">
      <w:pPr>
        <w:pStyle w:val="Zkladntext"/>
        <w:spacing w:before="1"/>
      </w:pPr>
    </w:p>
    <w:p w14:paraId="7DDD46B3" w14:textId="77777777" w:rsidR="00D757DA" w:rsidRDefault="0033254E">
      <w:pPr>
        <w:pStyle w:val="Odstavecseseznamem"/>
        <w:numPr>
          <w:ilvl w:val="0"/>
          <w:numId w:val="68"/>
        </w:numPr>
        <w:tabs>
          <w:tab w:val="left" w:pos="547"/>
          <w:tab w:val="left" w:pos="548"/>
        </w:tabs>
      </w:pPr>
      <w:r>
        <w:t>Annex III shall take precedence over Annex I and Annex</w:t>
      </w:r>
      <w:r>
        <w:rPr>
          <w:spacing w:val="-13"/>
        </w:rPr>
        <w:t xml:space="preserve"> </w:t>
      </w:r>
      <w:r>
        <w:t>IV.</w:t>
      </w:r>
    </w:p>
    <w:p w14:paraId="2CEE3278" w14:textId="77777777" w:rsidR="00D757DA" w:rsidRDefault="00D757DA">
      <w:pPr>
        <w:pStyle w:val="Zkladntext"/>
      </w:pPr>
    </w:p>
    <w:p w14:paraId="4912FFBB" w14:textId="77777777" w:rsidR="00D757DA" w:rsidRDefault="0033254E">
      <w:pPr>
        <w:pStyle w:val="Odstavecseseznamem"/>
        <w:numPr>
          <w:ilvl w:val="0"/>
          <w:numId w:val="68"/>
        </w:numPr>
        <w:tabs>
          <w:tab w:val="left" w:pos="547"/>
          <w:tab w:val="left" w:pos="548"/>
        </w:tabs>
      </w:pPr>
      <w:r>
        <w:t>Special Conditions shall take precedence from any other</w:t>
      </w:r>
      <w:r>
        <w:rPr>
          <w:spacing w:val="-5"/>
        </w:rPr>
        <w:t xml:space="preserve"> </w:t>
      </w:r>
      <w:r>
        <w:t>Annex.</w:t>
      </w:r>
    </w:p>
    <w:p w14:paraId="78E9967A" w14:textId="77777777" w:rsidR="00D757DA" w:rsidRDefault="00D757DA">
      <w:pPr>
        <w:pStyle w:val="Zkladntext"/>
        <w:rPr>
          <w:sz w:val="24"/>
        </w:rPr>
      </w:pPr>
    </w:p>
    <w:p w14:paraId="343EB597" w14:textId="77777777" w:rsidR="00D757DA" w:rsidRDefault="00D757DA">
      <w:pPr>
        <w:pStyle w:val="Zkladntext"/>
        <w:rPr>
          <w:sz w:val="20"/>
        </w:rPr>
      </w:pPr>
    </w:p>
    <w:p w14:paraId="64C931A7" w14:textId="77777777" w:rsidR="00D757DA" w:rsidRDefault="0033254E">
      <w:pPr>
        <w:pStyle w:val="Nadpis3"/>
        <w:ind w:left="965" w:right="2281"/>
        <w:jc w:val="center"/>
      </w:pPr>
      <w:bookmarkStart w:id="2" w:name="Article_3_-_Maximum_amount_and_form_of_t"/>
      <w:bookmarkEnd w:id="2"/>
      <w:r>
        <w:t>Article 3 - Maximum amount and form of the contribution</w:t>
      </w:r>
    </w:p>
    <w:p w14:paraId="1582BEAB" w14:textId="77777777" w:rsidR="00D757DA" w:rsidRDefault="00D757DA">
      <w:pPr>
        <w:pStyle w:val="Zkladntext"/>
        <w:rPr>
          <w:b/>
          <w:sz w:val="24"/>
        </w:rPr>
      </w:pPr>
    </w:p>
    <w:p w14:paraId="53D96848" w14:textId="77777777" w:rsidR="00D757DA" w:rsidRDefault="00D757DA">
      <w:pPr>
        <w:pStyle w:val="Zkladntext"/>
        <w:spacing w:before="9"/>
        <w:rPr>
          <w:b/>
          <w:sz w:val="20"/>
        </w:rPr>
      </w:pPr>
    </w:p>
    <w:p w14:paraId="56827AE8" w14:textId="77777777" w:rsidR="00D757DA" w:rsidRDefault="0033254E">
      <w:pPr>
        <w:pStyle w:val="Odstavecseseznamem"/>
        <w:numPr>
          <w:ilvl w:val="0"/>
          <w:numId w:val="67"/>
        </w:numPr>
        <w:tabs>
          <w:tab w:val="left" w:pos="404"/>
        </w:tabs>
      </w:pPr>
      <w:r>
        <w:t>The total cost of this action is estimated at 428.985,56</w:t>
      </w:r>
      <w:r>
        <w:rPr>
          <w:spacing w:val="1"/>
        </w:rPr>
        <w:t xml:space="preserve"> </w:t>
      </w:r>
      <w:r>
        <w:t>EUR.</w:t>
      </w:r>
    </w:p>
    <w:p w14:paraId="66B1ED92" w14:textId="77777777" w:rsidR="00D757DA" w:rsidRDefault="00D757DA">
      <w:pPr>
        <w:pStyle w:val="Zkladntext"/>
        <w:rPr>
          <w:sz w:val="21"/>
        </w:rPr>
      </w:pPr>
    </w:p>
    <w:p w14:paraId="52F3EB54" w14:textId="77777777" w:rsidR="00D757DA" w:rsidRDefault="0033254E">
      <w:pPr>
        <w:pStyle w:val="Odstavecseseznamem"/>
        <w:numPr>
          <w:ilvl w:val="0"/>
          <w:numId w:val="67"/>
        </w:numPr>
        <w:tabs>
          <w:tab w:val="left" w:pos="404"/>
        </w:tabs>
        <w:ind w:right="1433"/>
        <w:jc w:val="both"/>
      </w:pPr>
      <w:r>
        <w:t>The</w:t>
      </w:r>
      <w:r>
        <w:rPr>
          <w:spacing w:val="-5"/>
        </w:rPr>
        <w:t xml:space="preserve"> </w:t>
      </w:r>
      <w:r>
        <w:t>maximum</w:t>
      </w:r>
      <w:r>
        <w:rPr>
          <w:spacing w:val="-3"/>
        </w:rPr>
        <w:t xml:space="preserve"> </w:t>
      </w:r>
      <w:r>
        <w:t>EUIPO</w:t>
      </w:r>
      <w:r>
        <w:rPr>
          <w:spacing w:val="-4"/>
        </w:rPr>
        <w:t xml:space="preserve"> </w:t>
      </w:r>
      <w:r>
        <w:t>contribution</w:t>
      </w:r>
      <w:r>
        <w:rPr>
          <w:spacing w:val="-5"/>
        </w:rPr>
        <w:t xml:space="preserve"> </w:t>
      </w:r>
      <w:r>
        <w:t>for</w:t>
      </w:r>
      <w:r>
        <w:rPr>
          <w:spacing w:val="-2"/>
        </w:rPr>
        <w:t xml:space="preserve"> </w:t>
      </w:r>
      <w:r>
        <w:t>this</w:t>
      </w:r>
      <w:r>
        <w:rPr>
          <w:spacing w:val="-4"/>
        </w:rPr>
        <w:t xml:space="preserve"> </w:t>
      </w:r>
      <w:r>
        <w:t>action</w:t>
      </w:r>
      <w:r>
        <w:rPr>
          <w:spacing w:val="-3"/>
        </w:rPr>
        <w:t xml:space="preserve"> </w:t>
      </w:r>
      <w:r>
        <w:t>is</w:t>
      </w:r>
      <w:r>
        <w:rPr>
          <w:spacing w:val="-1"/>
        </w:rPr>
        <w:t xml:space="preserve"> </w:t>
      </w:r>
      <w:r>
        <w:rPr>
          <w:b/>
        </w:rPr>
        <w:t>386.087,00</w:t>
      </w:r>
      <w:r>
        <w:rPr>
          <w:b/>
          <w:spacing w:val="-5"/>
        </w:rPr>
        <w:t xml:space="preserve"> </w:t>
      </w:r>
      <w:r>
        <w:rPr>
          <w:b/>
        </w:rPr>
        <w:t>EUR.</w:t>
      </w:r>
      <w:r>
        <w:rPr>
          <w:b/>
          <w:spacing w:val="-6"/>
        </w:rPr>
        <w:t xml:space="preserve"> </w:t>
      </w:r>
      <w:r>
        <w:t>In</w:t>
      </w:r>
      <w:r>
        <w:rPr>
          <w:spacing w:val="-5"/>
        </w:rPr>
        <w:t xml:space="preserve"> </w:t>
      </w:r>
      <w:r>
        <w:t>line</w:t>
      </w:r>
      <w:r>
        <w:rPr>
          <w:spacing w:val="-3"/>
        </w:rPr>
        <w:t xml:space="preserve"> </w:t>
      </w:r>
      <w:r>
        <w:t>with</w:t>
      </w:r>
      <w:r>
        <w:rPr>
          <w:spacing w:val="-4"/>
        </w:rPr>
        <w:t xml:space="preserve"> </w:t>
      </w:r>
      <w:r>
        <w:t>Art.</w:t>
      </w:r>
      <w:r>
        <w:rPr>
          <w:spacing w:val="-4"/>
        </w:rPr>
        <w:t xml:space="preserve"> </w:t>
      </w:r>
      <w:r>
        <w:t>84(1) of Regulation BC-1-2019 of the Budget Committee of the European Union Intellectual Property</w:t>
      </w:r>
      <w:r>
        <w:rPr>
          <w:spacing w:val="-19"/>
        </w:rPr>
        <w:t xml:space="preserve"> </w:t>
      </w:r>
      <w:r>
        <w:t>Office</w:t>
      </w:r>
      <w:r>
        <w:rPr>
          <w:spacing w:val="-16"/>
        </w:rPr>
        <w:t xml:space="preserve"> </w:t>
      </w:r>
      <w:r>
        <w:t>of</w:t>
      </w:r>
      <w:r>
        <w:rPr>
          <w:spacing w:val="-17"/>
        </w:rPr>
        <w:t xml:space="preserve"> </w:t>
      </w:r>
      <w:r>
        <w:t>10</w:t>
      </w:r>
      <w:r>
        <w:rPr>
          <w:spacing w:val="-17"/>
        </w:rPr>
        <w:t xml:space="preserve"> </w:t>
      </w:r>
      <w:r>
        <w:t>July</w:t>
      </w:r>
      <w:r>
        <w:rPr>
          <w:spacing w:val="-18"/>
        </w:rPr>
        <w:t xml:space="preserve"> </w:t>
      </w:r>
      <w:r>
        <w:t>2019</w:t>
      </w:r>
      <w:r>
        <w:rPr>
          <w:spacing w:val="-16"/>
        </w:rPr>
        <w:t xml:space="preserve"> </w:t>
      </w:r>
      <w:r>
        <w:t>laying</w:t>
      </w:r>
      <w:r>
        <w:rPr>
          <w:spacing w:val="-17"/>
        </w:rPr>
        <w:t xml:space="preserve"> </w:t>
      </w:r>
      <w:r>
        <w:t>down</w:t>
      </w:r>
      <w:r>
        <w:rPr>
          <w:spacing w:val="-18"/>
        </w:rPr>
        <w:t xml:space="preserve"> </w:t>
      </w:r>
      <w:r>
        <w:t>the</w:t>
      </w:r>
      <w:r>
        <w:rPr>
          <w:spacing w:val="-19"/>
        </w:rPr>
        <w:t xml:space="preserve"> </w:t>
      </w:r>
      <w:r>
        <w:t>financial</w:t>
      </w:r>
      <w:r>
        <w:rPr>
          <w:spacing w:val="-18"/>
        </w:rPr>
        <w:t xml:space="preserve"> </w:t>
      </w:r>
      <w:r>
        <w:t>provisions</w:t>
      </w:r>
      <w:r>
        <w:rPr>
          <w:spacing w:val="-16"/>
        </w:rPr>
        <w:t xml:space="preserve"> </w:t>
      </w:r>
      <w:r>
        <w:t>applicable</w:t>
      </w:r>
      <w:r>
        <w:rPr>
          <w:spacing w:val="-16"/>
        </w:rPr>
        <w:t xml:space="preserve"> </w:t>
      </w:r>
      <w:r>
        <w:t>to</w:t>
      </w:r>
      <w:r>
        <w:rPr>
          <w:spacing w:val="-19"/>
        </w:rPr>
        <w:t xml:space="preserve"> </w:t>
      </w:r>
      <w:r>
        <w:t>the</w:t>
      </w:r>
      <w:r>
        <w:rPr>
          <w:spacing w:val="-14"/>
        </w:rPr>
        <w:t xml:space="preserve"> </w:t>
      </w:r>
      <w:r>
        <w:t>EUIPO (“Financial Regulation”), the total EUIPO contribution is subject to the achievement of the results measured by reference to previously set milestones and/or performance indicators (KPIs).</w:t>
      </w:r>
    </w:p>
    <w:p w14:paraId="7297E7EE" w14:textId="77777777" w:rsidR="00D757DA" w:rsidRDefault="00D757DA">
      <w:pPr>
        <w:pStyle w:val="Zkladntext"/>
        <w:spacing w:before="9"/>
        <w:rPr>
          <w:sz w:val="20"/>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
        <w:gridCol w:w="1499"/>
        <w:gridCol w:w="379"/>
        <w:gridCol w:w="512"/>
        <w:gridCol w:w="1057"/>
        <w:gridCol w:w="784"/>
        <w:gridCol w:w="1946"/>
        <w:gridCol w:w="1501"/>
      </w:tblGrid>
      <w:tr w:rsidR="00D757DA" w14:paraId="16C35977" w14:textId="77777777">
        <w:trPr>
          <w:trHeight w:val="880"/>
        </w:trPr>
        <w:tc>
          <w:tcPr>
            <w:tcW w:w="1068" w:type="dxa"/>
          </w:tcPr>
          <w:p w14:paraId="48A97D50" w14:textId="77777777" w:rsidR="00D757DA" w:rsidRDefault="0033254E">
            <w:pPr>
              <w:pStyle w:val="TableParagraph"/>
              <w:spacing w:before="194"/>
              <w:ind w:left="107"/>
              <w:rPr>
                <w:b/>
              </w:rPr>
            </w:pPr>
            <w:r>
              <w:rPr>
                <w:b/>
              </w:rPr>
              <w:t>Project</w:t>
            </w:r>
          </w:p>
        </w:tc>
        <w:tc>
          <w:tcPr>
            <w:tcW w:w="2390" w:type="dxa"/>
            <w:gridSpan w:val="3"/>
          </w:tcPr>
          <w:p w14:paraId="2939369D" w14:textId="77777777" w:rsidR="00D757DA" w:rsidRDefault="0033254E">
            <w:pPr>
              <w:pStyle w:val="TableParagraph"/>
              <w:spacing w:before="194"/>
              <w:ind w:left="105"/>
              <w:rPr>
                <w:b/>
              </w:rPr>
            </w:pPr>
            <w:r>
              <w:rPr>
                <w:b/>
              </w:rPr>
              <w:t>Sub-project name</w:t>
            </w:r>
          </w:p>
        </w:tc>
        <w:tc>
          <w:tcPr>
            <w:tcW w:w="1841" w:type="dxa"/>
            <w:gridSpan w:val="2"/>
          </w:tcPr>
          <w:p w14:paraId="12F0E2A1" w14:textId="77777777" w:rsidR="00D757DA" w:rsidRDefault="0033254E">
            <w:pPr>
              <w:pStyle w:val="TableParagraph"/>
              <w:spacing w:before="194"/>
              <w:ind w:left="106"/>
              <w:rPr>
                <w:b/>
              </w:rPr>
            </w:pPr>
            <w:r>
              <w:rPr>
                <w:b/>
              </w:rPr>
              <w:t>Project Type</w:t>
            </w:r>
          </w:p>
        </w:tc>
        <w:tc>
          <w:tcPr>
            <w:tcW w:w="1946" w:type="dxa"/>
          </w:tcPr>
          <w:p w14:paraId="3E32F9CE" w14:textId="77777777" w:rsidR="00D757DA" w:rsidRDefault="0033254E">
            <w:pPr>
              <w:pStyle w:val="TableParagraph"/>
              <w:ind w:left="104" w:right="492"/>
              <w:rPr>
                <w:b/>
              </w:rPr>
            </w:pPr>
            <w:r>
              <w:rPr>
                <w:b/>
              </w:rPr>
              <w:t>Form of Contribution Art. 84(1) FR</w:t>
            </w:r>
          </w:p>
        </w:tc>
        <w:tc>
          <w:tcPr>
            <w:tcW w:w="1501" w:type="dxa"/>
          </w:tcPr>
          <w:p w14:paraId="44A619F8" w14:textId="77777777" w:rsidR="00D757DA" w:rsidRDefault="0033254E">
            <w:pPr>
              <w:pStyle w:val="TableParagraph"/>
              <w:ind w:left="102"/>
              <w:rPr>
                <w:b/>
              </w:rPr>
            </w:pPr>
            <w:r>
              <w:rPr>
                <w:b/>
              </w:rPr>
              <w:t>EUIPO</w:t>
            </w:r>
          </w:p>
          <w:p w14:paraId="333F1989" w14:textId="77777777" w:rsidR="00D757DA" w:rsidRDefault="0033254E">
            <w:pPr>
              <w:pStyle w:val="TableParagraph"/>
              <w:spacing w:before="1"/>
              <w:ind w:left="102" w:right="85"/>
              <w:rPr>
                <w:b/>
              </w:rPr>
            </w:pPr>
            <w:r>
              <w:rPr>
                <w:b/>
              </w:rPr>
              <w:t>contribution EUR</w:t>
            </w:r>
          </w:p>
        </w:tc>
      </w:tr>
      <w:tr w:rsidR="00D757DA" w14:paraId="480D9951" w14:textId="77777777">
        <w:trPr>
          <w:trHeight w:val="745"/>
        </w:trPr>
        <w:tc>
          <w:tcPr>
            <w:tcW w:w="1068" w:type="dxa"/>
          </w:tcPr>
          <w:p w14:paraId="5F4BE2A6" w14:textId="77777777" w:rsidR="00D757DA" w:rsidRDefault="0033254E">
            <w:pPr>
              <w:pStyle w:val="TableParagraph"/>
              <w:spacing w:before="120"/>
              <w:ind w:left="107"/>
            </w:pPr>
            <w:r>
              <w:t>ECP 2 B</w:t>
            </w:r>
          </w:p>
        </w:tc>
        <w:tc>
          <w:tcPr>
            <w:tcW w:w="2390" w:type="dxa"/>
            <w:gridSpan w:val="3"/>
          </w:tcPr>
          <w:p w14:paraId="7D42F1E3" w14:textId="77777777" w:rsidR="00D757DA" w:rsidRDefault="0033254E">
            <w:pPr>
              <w:pStyle w:val="TableParagraph"/>
              <w:spacing w:before="120"/>
              <w:ind w:left="105"/>
            </w:pPr>
            <w:r>
              <w:t>Case Law</w:t>
            </w:r>
          </w:p>
        </w:tc>
        <w:tc>
          <w:tcPr>
            <w:tcW w:w="1057" w:type="dxa"/>
            <w:tcBorders>
              <w:right w:val="nil"/>
            </w:tcBorders>
          </w:tcPr>
          <w:p w14:paraId="0C468DC6" w14:textId="77777777" w:rsidR="00D757DA" w:rsidRDefault="0033254E">
            <w:pPr>
              <w:pStyle w:val="TableParagraph"/>
              <w:spacing w:before="120"/>
              <w:ind w:left="106" w:right="253"/>
            </w:pPr>
            <w:r>
              <w:t>Case activity</w:t>
            </w:r>
          </w:p>
        </w:tc>
        <w:tc>
          <w:tcPr>
            <w:tcW w:w="784" w:type="dxa"/>
            <w:tcBorders>
              <w:left w:val="nil"/>
            </w:tcBorders>
          </w:tcPr>
          <w:p w14:paraId="09B9A599" w14:textId="77777777" w:rsidR="00D757DA" w:rsidRDefault="0033254E">
            <w:pPr>
              <w:pStyle w:val="TableParagraph"/>
              <w:spacing w:before="120"/>
              <w:ind w:left="275"/>
            </w:pPr>
            <w:r>
              <w:t>Law</w:t>
            </w:r>
          </w:p>
        </w:tc>
        <w:tc>
          <w:tcPr>
            <w:tcW w:w="1946" w:type="dxa"/>
          </w:tcPr>
          <w:p w14:paraId="321288B1" w14:textId="77777777" w:rsidR="00D757DA" w:rsidRDefault="0033254E">
            <w:pPr>
              <w:pStyle w:val="TableParagraph"/>
              <w:spacing w:before="120"/>
              <w:ind w:left="104"/>
            </w:pPr>
            <w:r>
              <w:t>Lump Sum</w:t>
            </w:r>
          </w:p>
        </w:tc>
        <w:tc>
          <w:tcPr>
            <w:tcW w:w="1501" w:type="dxa"/>
          </w:tcPr>
          <w:p w14:paraId="0C12CB4A" w14:textId="77777777" w:rsidR="00D757DA" w:rsidRDefault="0033254E">
            <w:pPr>
              <w:pStyle w:val="TableParagraph"/>
              <w:spacing w:before="144"/>
              <w:ind w:right="99"/>
              <w:jc w:val="right"/>
            </w:pPr>
            <w:r>
              <w:t>3.774,20</w:t>
            </w:r>
          </w:p>
        </w:tc>
      </w:tr>
      <w:tr w:rsidR="00D757DA" w14:paraId="5B5EB176" w14:textId="77777777">
        <w:trPr>
          <w:trHeight w:val="746"/>
        </w:trPr>
        <w:tc>
          <w:tcPr>
            <w:tcW w:w="1068" w:type="dxa"/>
          </w:tcPr>
          <w:p w14:paraId="4CBFA48C" w14:textId="77777777" w:rsidR="00D757DA" w:rsidRDefault="0033254E">
            <w:pPr>
              <w:pStyle w:val="TableParagraph"/>
              <w:spacing w:before="119"/>
              <w:ind w:left="107"/>
            </w:pPr>
            <w:r>
              <w:t>ECP 2 B</w:t>
            </w:r>
          </w:p>
        </w:tc>
        <w:tc>
          <w:tcPr>
            <w:tcW w:w="1499" w:type="dxa"/>
            <w:tcBorders>
              <w:right w:val="nil"/>
            </w:tcBorders>
          </w:tcPr>
          <w:p w14:paraId="6F186CD1" w14:textId="77777777" w:rsidR="00D757DA" w:rsidRDefault="0033254E">
            <w:pPr>
              <w:pStyle w:val="TableParagraph"/>
              <w:spacing w:before="119"/>
              <w:ind w:left="105" w:right="72"/>
            </w:pPr>
            <w:r>
              <w:t>Sustainability Practices</w:t>
            </w:r>
          </w:p>
        </w:tc>
        <w:tc>
          <w:tcPr>
            <w:tcW w:w="379" w:type="dxa"/>
            <w:tcBorders>
              <w:left w:val="nil"/>
              <w:right w:val="nil"/>
            </w:tcBorders>
          </w:tcPr>
          <w:p w14:paraId="17138597" w14:textId="77777777" w:rsidR="00D757DA" w:rsidRDefault="0033254E">
            <w:pPr>
              <w:pStyle w:val="TableParagraph"/>
              <w:spacing w:before="119"/>
              <w:ind w:left="101"/>
            </w:pPr>
            <w:r>
              <w:t>of</w:t>
            </w:r>
          </w:p>
        </w:tc>
        <w:tc>
          <w:tcPr>
            <w:tcW w:w="512" w:type="dxa"/>
            <w:tcBorders>
              <w:left w:val="nil"/>
            </w:tcBorders>
          </w:tcPr>
          <w:p w14:paraId="62F8A87A" w14:textId="77777777" w:rsidR="00D757DA" w:rsidRDefault="0033254E">
            <w:pPr>
              <w:pStyle w:val="TableParagraph"/>
              <w:spacing w:before="119"/>
              <w:ind w:left="101"/>
            </w:pPr>
            <w:r>
              <w:t>EU</w:t>
            </w:r>
          </w:p>
        </w:tc>
        <w:tc>
          <w:tcPr>
            <w:tcW w:w="1841" w:type="dxa"/>
            <w:gridSpan w:val="2"/>
          </w:tcPr>
          <w:p w14:paraId="78643A1E" w14:textId="77777777" w:rsidR="00D757DA" w:rsidRDefault="0033254E">
            <w:pPr>
              <w:pStyle w:val="TableParagraph"/>
              <w:spacing w:before="119"/>
              <w:ind w:left="106"/>
            </w:pPr>
            <w:r>
              <w:t>Sustainability of EU Practices</w:t>
            </w:r>
          </w:p>
        </w:tc>
        <w:tc>
          <w:tcPr>
            <w:tcW w:w="1946" w:type="dxa"/>
          </w:tcPr>
          <w:p w14:paraId="38167D05" w14:textId="77777777" w:rsidR="00D757DA" w:rsidRDefault="0033254E">
            <w:pPr>
              <w:pStyle w:val="TableParagraph"/>
              <w:spacing w:before="119"/>
              <w:ind w:left="104"/>
            </w:pPr>
            <w:r>
              <w:t>Lump Sum</w:t>
            </w:r>
          </w:p>
        </w:tc>
        <w:tc>
          <w:tcPr>
            <w:tcW w:w="1501" w:type="dxa"/>
          </w:tcPr>
          <w:p w14:paraId="51C706DA" w14:textId="77777777" w:rsidR="00D757DA" w:rsidRDefault="0033254E">
            <w:pPr>
              <w:pStyle w:val="TableParagraph"/>
              <w:spacing w:before="143"/>
              <w:ind w:right="99"/>
              <w:jc w:val="right"/>
            </w:pPr>
            <w:r>
              <w:t>1.667,20</w:t>
            </w:r>
          </w:p>
        </w:tc>
      </w:tr>
    </w:tbl>
    <w:p w14:paraId="5ACAD4A8" w14:textId="77777777" w:rsidR="00D757DA" w:rsidRDefault="00D757DA">
      <w:pPr>
        <w:jc w:val="right"/>
        <w:sectPr w:rsidR="00D757DA">
          <w:pgSz w:w="11910" w:h="16840"/>
          <w:pgMar w:top="1340" w:right="0" w:bottom="1160" w:left="1320" w:header="0" w:footer="881" w:gutter="0"/>
          <w:cols w:space="708"/>
        </w:sect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8"/>
        <w:gridCol w:w="2389"/>
        <w:gridCol w:w="1839"/>
        <w:gridCol w:w="1945"/>
        <w:gridCol w:w="1500"/>
      </w:tblGrid>
      <w:tr w:rsidR="00D757DA" w14:paraId="5F2B74C2" w14:textId="77777777">
        <w:trPr>
          <w:trHeight w:val="998"/>
        </w:trPr>
        <w:tc>
          <w:tcPr>
            <w:tcW w:w="1068" w:type="dxa"/>
          </w:tcPr>
          <w:p w14:paraId="324D143D" w14:textId="77777777" w:rsidR="00D757DA" w:rsidRDefault="0033254E">
            <w:pPr>
              <w:pStyle w:val="TableParagraph"/>
              <w:spacing w:before="120"/>
              <w:ind w:left="107"/>
            </w:pPr>
            <w:r>
              <w:lastRenderedPageBreak/>
              <w:t>ECP 1</w:t>
            </w:r>
          </w:p>
        </w:tc>
        <w:tc>
          <w:tcPr>
            <w:tcW w:w="2389" w:type="dxa"/>
          </w:tcPr>
          <w:p w14:paraId="520E2E84" w14:textId="77777777" w:rsidR="00D757DA" w:rsidRDefault="0033254E">
            <w:pPr>
              <w:pStyle w:val="TableParagraph"/>
              <w:spacing w:before="120"/>
              <w:ind w:left="105" w:right="151"/>
            </w:pPr>
            <w:r>
              <w:t xml:space="preserve">Virtual Community on </w:t>
            </w:r>
            <w:proofErr w:type="spellStart"/>
            <w:proofErr w:type="gramStart"/>
            <w:r>
              <w:t>Trade marks</w:t>
            </w:r>
            <w:proofErr w:type="spellEnd"/>
            <w:proofErr w:type="gramEnd"/>
            <w:r>
              <w:t xml:space="preserve"> Classification</w:t>
            </w:r>
          </w:p>
        </w:tc>
        <w:tc>
          <w:tcPr>
            <w:tcW w:w="1839" w:type="dxa"/>
          </w:tcPr>
          <w:p w14:paraId="051B6D4D" w14:textId="77777777" w:rsidR="00D757DA" w:rsidRDefault="0033254E">
            <w:pPr>
              <w:pStyle w:val="TableParagraph"/>
              <w:spacing w:before="120"/>
              <w:ind w:left="107" w:right="589"/>
            </w:pPr>
            <w:r>
              <w:t>Virtual Community</w:t>
            </w:r>
          </w:p>
        </w:tc>
        <w:tc>
          <w:tcPr>
            <w:tcW w:w="1945" w:type="dxa"/>
          </w:tcPr>
          <w:p w14:paraId="083CD34E" w14:textId="77777777" w:rsidR="00D757DA" w:rsidRDefault="0033254E">
            <w:pPr>
              <w:pStyle w:val="TableParagraph"/>
              <w:spacing w:before="120"/>
              <w:ind w:left="107"/>
            </w:pPr>
            <w:r>
              <w:t>Lump Sum</w:t>
            </w:r>
          </w:p>
        </w:tc>
        <w:tc>
          <w:tcPr>
            <w:tcW w:w="1500" w:type="dxa"/>
          </w:tcPr>
          <w:p w14:paraId="208310E2" w14:textId="77777777" w:rsidR="00D757DA" w:rsidRDefault="0033254E">
            <w:pPr>
              <w:pStyle w:val="TableParagraph"/>
              <w:spacing w:before="144"/>
              <w:ind w:right="94"/>
              <w:jc w:val="right"/>
            </w:pPr>
            <w:r>
              <w:t>1.698,39</w:t>
            </w:r>
          </w:p>
        </w:tc>
      </w:tr>
      <w:tr w:rsidR="00D757DA" w14:paraId="6CFBF73D" w14:textId="77777777">
        <w:trPr>
          <w:trHeight w:val="745"/>
        </w:trPr>
        <w:tc>
          <w:tcPr>
            <w:tcW w:w="1068" w:type="dxa"/>
          </w:tcPr>
          <w:p w14:paraId="212B1B55" w14:textId="77777777" w:rsidR="00D757DA" w:rsidRDefault="0033254E">
            <w:pPr>
              <w:pStyle w:val="TableParagraph"/>
              <w:spacing w:before="122"/>
              <w:ind w:left="107"/>
            </w:pPr>
            <w:r>
              <w:t>ECP 1</w:t>
            </w:r>
          </w:p>
        </w:tc>
        <w:tc>
          <w:tcPr>
            <w:tcW w:w="2389" w:type="dxa"/>
          </w:tcPr>
          <w:p w14:paraId="0DC45217" w14:textId="77777777" w:rsidR="00D757DA" w:rsidRDefault="0033254E">
            <w:pPr>
              <w:pStyle w:val="TableParagraph"/>
              <w:spacing w:before="122"/>
              <w:ind w:left="105" w:right="102"/>
            </w:pPr>
            <w:r>
              <w:t>Virtual Community on Designs Classification</w:t>
            </w:r>
          </w:p>
        </w:tc>
        <w:tc>
          <w:tcPr>
            <w:tcW w:w="1839" w:type="dxa"/>
          </w:tcPr>
          <w:p w14:paraId="3F8DF766" w14:textId="77777777" w:rsidR="00D757DA" w:rsidRDefault="0033254E">
            <w:pPr>
              <w:pStyle w:val="TableParagraph"/>
              <w:spacing w:before="122"/>
              <w:ind w:left="107" w:right="589"/>
            </w:pPr>
            <w:r>
              <w:t>Virtual Community</w:t>
            </w:r>
          </w:p>
        </w:tc>
        <w:tc>
          <w:tcPr>
            <w:tcW w:w="1945" w:type="dxa"/>
          </w:tcPr>
          <w:p w14:paraId="4458E2FD" w14:textId="77777777" w:rsidR="00D757DA" w:rsidRDefault="0033254E">
            <w:pPr>
              <w:pStyle w:val="TableParagraph"/>
              <w:spacing w:before="122"/>
              <w:ind w:left="107"/>
            </w:pPr>
            <w:r>
              <w:t>Lump Sum</w:t>
            </w:r>
          </w:p>
        </w:tc>
        <w:tc>
          <w:tcPr>
            <w:tcW w:w="1500" w:type="dxa"/>
          </w:tcPr>
          <w:p w14:paraId="2108E312" w14:textId="77777777" w:rsidR="00D757DA" w:rsidRDefault="0033254E">
            <w:pPr>
              <w:pStyle w:val="TableParagraph"/>
              <w:spacing w:before="146"/>
              <w:ind w:right="94"/>
              <w:jc w:val="right"/>
            </w:pPr>
            <w:r>
              <w:t>1.698,39</w:t>
            </w:r>
          </w:p>
        </w:tc>
      </w:tr>
      <w:tr w:rsidR="00D757DA" w14:paraId="3D7193B3" w14:textId="77777777">
        <w:trPr>
          <w:trHeight w:val="1506"/>
        </w:trPr>
        <w:tc>
          <w:tcPr>
            <w:tcW w:w="1068" w:type="dxa"/>
          </w:tcPr>
          <w:p w14:paraId="1948C6DD" w14:textId="77777777" w:rsidR="00D757DA" w:rsidRDefault="0033254E">
            <w:pPr>
              <w:pStyle w:val="TableParagraph"/>
              <w:spacing w:before="122"/>
              <w:ind w:left="107"/>
            </w:pPr>
            <w:r>
              <w:t>ECP 2 A</w:t>
            </w:r>
          </w:p>
        </w:tc>
        <w:tc>
          <w:tcPr>
            <w:tcW w:w="2389" w:type="dxa"/>
          </w:tcPr>
          <w:p w14:paraId="1801CEC0" w14:textId="77777777" w:rsidR="00D757DA" w:rsidRDefault="0033254E">
            <w:pPr>
              <w:pStyle w:val="TableParagraph"/>
              <w:spacing w:before="122"/>
              <w:ind w:left="105" w:right="236"/>
            </w:pPr>
            <w:r>
              <w:t xml:space="preserve">Virtual Community – EUIPN Tools (Common tools such as </w:t>
            </w:r>
            <w:proofErr w:type="spellStart"/>
            <w:r>
              <w:t>TMDSview</w:t>
            </w:r>
            <w:proofErr w:type="spellEnd"/>
            <w:r>
              <w:t xml:space="preserve">, Similarity, </w:t>
            </w:r>
            <w:proofErr w:type="spellStart"/>
            <w:r>
              <w:t>TMclass</w:t>
            </w:r>
            <w:proofErr w:type="spellEnd"/>
            <w:r>
              <w:t>)</w:t>
            </w:r>
          </w:p>
        </w:tc>
        <w:tc>
          <w:tcPr>
            <w:tcW w:w="1839" w:type="dxa"/>
          </w:tcPr>
          <w:p w14:paraId="186553A6" w14:textId="77777777" w:rsidR="00D757DA" w:rsidRDefault="0033254E">
            <w:pPr>
              <w:pStyle w:val="TableParagraph"/>
              <w:spacing w:before="122"/>
              <w:ind w:left="107" w:right="589"/>
            </w:pPr>
            <w:r>
              <w:t>Virtual Community</w:t>
            </w:r>
          </w:p>
        </w:tc>
        <w:tc>
          <w:tcPr>
            <w:tcW w:w="1945" w:type="dxa"/>
          </w:tcPr>
          <w:p w14:paraId="0246CE1E" w14:textId="77777777" w:rsidR="00D757DA" w:rsidRDefault="0033254E">
            <w:pPr>
              <w:pStyle w:val="TableParagraph"/>
              <w:spacing w:before="122"/>
              <w:ind w:left="107"/>
            </w:pPr>
            <w:r>
              <w:t>Lump Sum</w:t>
            </w:r>
          </w:p>
        </w:tc>
        <w:tc>
          <w:tcPr>
            <w:tcW w:w="1500" w:type="dxa"/>
          </w:tcPr>
          <w:p w14:paraId="715DFAF6" w14:textId="77777777" w:rsidR="00D757DA" w:rsidRDefault="0033254E">
            <w:pPr>
              <w:pStyle w:val="TableParagraph"/>
              <w:spacing w:before="146"/>
              <w:ind w:right="94"/>
              <w:jc w:val="right"/>
            </w:pPr>
            <w:r>
              <w:t>2.236,32</w:t>
            </w:r>
          </w:p>
        </w:tc>
      </w:tr>
      <w:tr w:rsidR="00D757DA" w14:paraId="11E8D053" w14:textId="77777777">
        <w:trPr>
          <w:trHeight w:val="998"/>
        </w:trPr>
        <w:tc>
          <w:tcPr>
            <w:tcW w:w="1068" w:type="dxa"/>
          </w:tcPr>
          <w:p w14:paraId="493C0CD3" w14:textId="77777777" w:rsidR="00D757DA" w:rsidRDefault="0033254E">
            <w:pPr>
              <w:pStyle w:val="TableParagraph"/>
              <w:spacing w:before="120"/>
              <w:ind w:left="107"/>
            </w:pPr>
            <w:r>
              <w:t>ECP 3</w:t>
            </w:r>
          </w:p>
        </w:tc>
        <w:tc>
          <w:tcPr>
            <w:tcW w:w="2389" w:type="dxa"/>
          </w:tcPr>
          <w:p w14:paraId="1FC4C97B" w14:textId="77777777" w:rsidR="00D757DA" w:rsidRDefault="0033254E">
            <w:pPr>
              <w:pStyle w:val="TableParagraph"/>
              <w:spacing w:before="120"/>
              <w:ind w:left="105" w:right="151"/>
            </w:pPr>
            <w:r>
              <w:t>Virtual Community on Emerging Technologies</w:t>
            </w:r>
          </w:p>
        </w:tc>
        <w:tc>
          <w:tcPr>
            <w:tcW w:w="1839" w:type="dxa"/>
          </w:tcPr>
          <w:p w14:paraId="5B722A74" w14:textId="77777777" w:rsidR="00D757DA" w:rsidRDefault="0033254E">
            <w:pPr>
              <w:pStyle w:val="TableParagraph"/>
              <w:spacing w:before="120"/>
              <w:ind w:left="107" w:right="589"/>
            </w:pPr>
            <w:r>
              <w:t>Virtual Community</w:t>
            </w:r>
          </w:p>
        </w:tc>
        <w:tc>
          <w:tcPr>
            <w:tcW w:w="1945" w:type="dxa"/>
          </w:tcPr>
          <w:p w14:paraId="45D39BE0" w14:textId="77777777" w:rsidR="00D757DA" w:rsidRDefault="0033254E">
            <w:pPr>
              <w:pStyle w:val="TableParagraph"/>
              <w:spacing w:before="120"/>
              <w:ind w:left="107"/>
            </w:pPr>
            <w:r>
              <w:t>Lump Sum</w:t>
            </w:r>
          </w:p>
        </w:tc>
        <w:tc>
          <w:tcPr>
            <w:tcW w:w="1500" w:type="dxa"/>
          </w:tcPr>
          <w:p w14:paraId="620FC441" w14:textId="77777777" w:rsidR="00D757DA" w:rsidRDefault="0033254E">
            <w:pPr>
              <w:pStyle w:val="TableParagraph"/>
              <w:spacing w:before="144"/>
              <w:ind w:right="94"/>
              <w:jc w:val="right"/>
            </w:pPr>
            <w:r>
              <w:t>4.472,64</w:t>
            </w:r>
          </w:p>
        </w:tc>
      </w:tr>
      <w:tr w:rsidR="00D757DA" w14:paraId="7465F09C" w14:textId="77777777">
        <w:trPr>
          <w:trHeight w:val="746"/>
        </w:trPr>
        <w:tc>
          <w:tcPr>
            <w:tcW w:w="1068" w:type="dxa"/>
          </w:tcPr>
          <w:p w14:paraId="2B8CCA68" w14:textId="77777777" w:rsidR="00D757DA" w:rsidRDefault="0033254E">
            <w:pPr>
              <w:pStyle w:val="TableParagraph"/>
              <w:spacing w:before="120"/>
              <w:ind w:left="107"/>
            </w:pPr>
            <w:r>
              <w:t>ECP 4</w:t>
            </w:r>
          </w:p>
        </w:tc>
        <w:tc>
          <w:tcPr>
            <w:tcW w:w="2389" w:type="dxa"/>
          </w:tcPr>
          <w:p w14:paraId="533DD1D8" w14:textId="77777777" w:rsidR="00D757DA" w:rsidRDefault="0033254E">
            <w:pPr>
              <w:pStyle w:val="TableParagraph"/>
              <w:spacing w:before="120"/>
              <w:ind w:left="105" w:right="151"/>
            </w:pPr>
            <w:r>
              <w:t>Virtual Community on EIPIC</w:t>
            </w:r>
          </w:p>
        </w:tc>
        <w:tc>
          <w:tcPr>
            <w:tcW w:w="1839" w:type="dxa"/>
          </w:tcPr>
          <w:p w14:paraId="05A8320D" w14:textId="77777777" w:rsidR="00D757DA" w:rsidRDefault="0033254E">
            <w:pPr>
              <w:pStyle w:val="TableParagraph"/>
              <w:spacing w:before="120"/>
              <w:ind w:left="107" w:right="589"/>
            </w:pPr>
            <w:r>
              <w:t>Virtual Community</w:t>
            </w:r>
          </w:p>
        </w:tc>
        <w:tc>
          <w:tcPr>
            <w:tcW w:w="1945" w:type="dxa"/>
          </w:tcPr>
          <w:p w14:paraId="2094C363" w14:textId="77777777" w:rsidR="00D757DA" w:rsidRDefault="0033254E">
            <w:pPr>
              <w:pStyle w:val="TableParagraph"/>
              <w:spacing w:before="120"/>
              <w:ind w:left="107"/>
            </w:pPr>
            <w:r>
              <w:t>Lump Sum</w:t>
            </w:r>
          </w:p>
        </w:tc>
        <w:tc>
          <w:tcPr>
            <w:tcW w:w="1500" w:type="dxa"/>
          </w:tcPr>
          <w:p w14:paraId="06187C51" w14:textId="77777777" w:rsidR="00D757DA" w:rsidRDefault="0033254E">
            <w:pPr>
              <w:pStyle w:val="TableParagraph"/>
              <w:spacing w:before="144"/>
              <w:ind w:right="94"/>
              <w:jc w:val="right"/>
            </w:pPr>
            <w:r>
              <w:t>3.000,96</w:t>
            </w:r>
          </w:p>
        </w:tc>
      </w:tr>
      <w:tr w:rsidR="00D757DA" w14:paraId="4A9B1470" w14:textId="77777777">
        <w:trPr>
          <w:trHeight w:val="997"/>
        </w:trPr>
        <w:tc>
          <w:tcPr>
            <w:tcW w:w="1068" w:type="dxa"/>
          </w:tcPr>
          <w:p w14:paraId="05CC91ED" w14:textId="77777777" w:rsidR="00D757DA" w:rsidRDefault="0033254E">
            <w:pPr>
              <w:pStyle w:val="TableParagraph"/>
              <w:spacing w:before="120"/>
              <w:ind w:left="107"/>
            </w:pPr>
            <w:r>
              <w:t>ECP 5</w:t>
            </w:r>
          </w:p>
        </w:tc>
        <w:tc>
          <w:tcPr>
            <w:tcW w:w="2389" w:type="dxa"/>
          </w:tcPr>
          <w:p w14:paraId="1406F150" w14:textId="77777777" w:rsidR="00D757DA" w:rsidRDefault="0033254E">
            <w:pPr>
              <w:pStyle w:val="TableParagraph"/>
              <w:spacing w:before="120"/>
              <w:ind w:left="105" w:right="151"/>
            </w:pPr>
            <w:r>
              <w:t>Virtual Community on Inclusive IP Landscape</w:t>
            </w:r>
          </w:p>
        </w:tc>
        <w:tc>
          <w:tcPr>
            <w:tcW w:w="1839" w:type="dxa"/>
          </w:tcPr>
          <w:p w14:paraId="69645716" w14:textId="77777777" w:rsidR="00D757DA" w:rsidRDefault="0033254E">
            <w:pPr>
              <w:pStyle w:val="TableParagraph"/>
              <w:spacing w:before="120"/>
              <w:ind w:left="107" w:right="589"/>
            </w:pPr>
            <w:r>
              <w:t>Virtual Community</w:t>
            </w:r>
          </w:p>
        </w:tc>
        <w:tc>
          <w:tcPr>
            <w:tcW w:w="1945" w:type="dxa"/>
          </w:tcPr>
          <w:p w14:paraId="496DDCB4" w14:textId="77777777" w:rsidR="00D757DA" w:rsidRDefault="0033254E">
            <w:pPr>
              <w:pStyle w:val="TableParagraph"/>
              <w:spacing w:before="120"/>
              <w:ind w:left="107"/>
            </w:pPr>
            <w:r>
              <w:t>Lump Sum</w:t>
            </w:r>
          </w:p>
        </w:tc>
        <w:tc>
          <w:tcPr>
            <w:tcW w:w="1500" w:type="dxa"/>
          </w:tcPr>
          <w:p w14:paraId="16B8CCF2" w14:textId="77777777" w:rsidR="00D757DA" w:rsidRDefault="0033254E">
            <w:pPr>
              <w:pStyle w:val="TableParagraph"/>
              <w:spacing w:before="144"/>
              <w:ind w:right="94"/>
              <w:jc w:val="right"/>
            </w:pPr>
            <w:r>
              <w:t>3.000,96</w:t>
            </w:r>
          </w:p>
        </w:tc>
      </w:tr>
      <w:tr w:rsidR="00D757DA" w14:paraId="72CFAF2C" w14:textId="77777777">
        <w:trPr>
          <w:trHeight w:val="746"/>
        </w:trPr>
        <w:tc>
          <w:tcPr>
            <w:tcW w:w="1068" w:type="dxa"/>
          </w:tcPr>
          <w:p w14:paraId="3A6BF331" w14:textId="77777777" w:rsidR="00D757DA" w:rsidRDefault="0033254E">
            <w:pPr>
              <w:pStyle w:val="TableParagraph"/>
              <w:spacing w:before="122"/>
              <w:ind w:left="107"/>
            </w:pPr>
            <w:r>
              <w:t>ECP 2 A</w:t>
            </w:r>
          </w:p>
        </w:tc>
        <w:tc>
          <w:tcPr>
            <w:tcW w:w="2389" w:type="dxa"/>
          </w:tcPr>
          <w:p w14:paraId="5A5D64DC" w14:textId="77777777" w:rsidR="00D757DA" w:rsidRDefault="0033254E">
            <w:pPr>
              <w:pStyle w:val="TableParagraph"/>
              <w:spacing w:before="122"/>
              <w:ind w:left="105" w:right="408"/>
            </w:pPr>
            <w:proofErr w:type="spellStart"/>
            <w:r>
              <w:t>TMView</w:t>
            </w:r>
            <w:proofErr w:type="spellEnd"/>
            <w:r>
              <w:t xml:space="preserve"> &amp; </w:t>
            </w:r>
            <w:proofErr w:type="spellStart"/>
            <w:r>
              <w:t>DSView</w:t>
            </w:r>
            <w:proofErr w:type="spellEnd"/>
            <w:r>
              <w:t xml:space="preserve"> Support</w:t>
            </w:r>
          </w:p>
        </w:tc>
        <w:tc>
          <w:tcPr>
            <w:tcW w:w="1839" w:type="dxa"/>
          </w:tcPr>
          <w:p w14:paraId="4BF31F64" w14:textId="77777777" w:rsidR="00D757DA" w:rsidRDefault="0033254E">
            <w:pPr>
              <w:pStyle w:val="TableParagraph"/>
              <w:spacing w:before="122"/>
              <w:ind w:left="107" w:right="137"/>
            </w:pPr>
            <w:proofErr w:type="spellStart"/>
            <w:r>
              <w:t>TMview</w:t>
            </w:r>
            <w:proofErr w:type="spellEnd"/>
            <w:r>
              <w:t>/</w:t>
            </w:r>
            <w:proofErr w:type="spellStart"/>
            <w:r>
              <w:t>DSview</w:t>
            </w:r>
            <w:proofErr w:type="spellEnd"/>
            <w:r>
              <w:t xml:space="preserve"> support</w:t>
            </w:r>
          </w:p>
        </w:tc>
        <w:tc>
          <w:tcPr>
            <w:tcW w:w="1945" w:type="dxa"/>
          </w:tcPr>
          <w:p w14:paraId="49082681" w14:textId="77777777" w:rsidR="00D757DA" w:rsidRDefault="0033254E">
            <w:pPr>
              <w:pStyle w:val="TableParagraph"/>
              <w:tabs>
                <w:tab w:val="left" w:pos="1527"/>
              </w:tabs>
              <w:spacing w:before="122"/>
              <w:ind w:left="107" w:right="98"/>
            </w:pPr>
            <w:r>
              <w:t>Financing</w:t>
            </w:r>
            <w:r>
              <w:tab/>
            </w:r>
            <w:r>
              <w:rPr>
                <w:spacing w:val="-6"/>
              </w:rPr>
              <w:t xml:space="preserve">not </w:t>
            </w:r>
            <w:r>
              <w:t>linked to</w:t>
            </w:r>
            <w:r>
              <w:rPr>
                <w:spacing w:val="-2"/>
              </w:rPr>
              <w:t xml:space="preserve"> </w:t>
            </w:r>
            <w:r>
              <w:t>costs</w:t>
            </w:r>
          </w:p>
        </w:tc>
        <w:tc>
          <w:tcPr>
            <w:tcW w:w="1500" w:type="dxa"/>
          </w:tcPr>
          <w:p w14:paraId="58BA0146" w14:textId="77777777" w:rsidR="00D757DA" w:rsidRDefault="0033254E">
            <w:pPr>
              <w:pStyle w:val="TableParagraph"/>
              <w:spacing w:before="146"/>
              <w:ind w:right="94"/>
              <w:jc w:val="right"/>
            </w:pPr>
            <w:r>
              <w:t>219.904,84</w:t>
            </w:r>
          </w:p>
        </w:tc>
      </w:tr>
      <w:tr w:rsidR="00D757DA" w14:paraId="242B5739" w14:textId="77777777">
        <w:trPr>
          <w:trHeight w:val="1000"/>
        </w:trPr>
        <w:tc>
          <w:tcPr>
            <w:tcW w:w="1068" w:type="dxa"/>
          </w:tcPr>
          <w:p w14:paraId="24801589" w14:textId="77777777" w:rsidR="00D757DA" w:rsidRDefault="0033254E">
            <w:pPr>
              <w:pStyle w:val="TableParagraph"/>
              <w:spacing w:before="120"/>
              <w:ind w:left="107"/>
            </w:pPr>
            <w:r>
              <w:t>ECP 2 B</w:t>
            </w:r>
          </w:p>
        </w:tc>
        <w:tc>
          <w:tcPr>
            <w:tcW w:w="2389" w:type="dxa"/>
          </w:tcPr>
          <w:p w14:paraId="60C6E7A2" w14:textId="77777777" w:rsidR="00D757DA" w:rsidRDefault="0033254E">
            <w:pPr>
              <w:pStyle w:val="TableParagraph"/>
              <w:spacing w:before="120"/>
              <w:ind w:left="105" w:right="248"/>
            </w:pPr>
            <w:r>
              <w:t>Virtual Community - CP19 New Common EU Practice</w:t>
            </w:r>
          </w:p>
        </w:tc>
        <w:tc>
          <w:tcPr>
            <w:tcW w:w="1839" w:type="dxa"/>
          </w:tcPr>
          <w:p w14:paraId="49B11AE7" w14:textId="77777777" w:rsidR="00D757DA" w:rsidRDefault="0033254E">
            <w:pPr>
              <w:pStyle w:val="TableParagraph"/>
              <w:spacing w:before="120"/>
              <w:ind w:left="107" w:right="589"/>
            </w:pPr>
            <w:r>
              <w:t>Virtual Community</w:t>
            </w:r>
          </w:p>
        </w:tc>
        <w:tc>
          <w:tcPr>
            <w:tcW w:w="1945" w:type="dxa"/>
          </w:tcPr>
          <w:p w14:paraId="2A61DCB9" w14:textId="77777777" w:rsidR="00D757DA" w:rsidRDefault="0033254E">
            <w:pPr>
              <w:pStyle w:val="TableParagraph"/>
              <w:spacing w:before="120"/>
              <w:ind w:left="107"/>
            </w:pPr>
            <w:r>
              <w:t>Lump Sum</w:t>
            </w:r>
          </w:p>
        </w:tc>
        <w:tc>
          <w:tcPr>
            <w:tcW w:w="1500" w:type="dxa"/>
          </w:tcPr>
          <w:p w14:paraId="075D5FA8" w14:textId="77777777" w:rsidR="00D757DA" w:rsidRDefault="0033254E">
            <w:pPr>
              <w:pStyle w:val="TableParagraph"/>
              <w:spacing w:before="144"/>
              <w:ind w:right="94"/>
              <w:jc w:val="right"/>
            </w:pPr>
            <w:r>
              <w:t>3.396,78</w:t>
            </w:r>
          </w:p>
        </w:tc>
      </w:tr>
      <w:tr w:rsidR="00D757DA" w14:paraId="662B267B" w14:textId="77777777">
        <w:trPr>
          <w:trHeight w:val="746"/>
        </w:trPr>
        <w:tc>
          <w:tcPr>
            <w:tcW w:w="1068" w:type="dxa"/>
          </w:tcPr>
          <w:p w14:paraId="2DBDD91C" w14:textId="77777777" w:rsidR="00D757DA" w:rsidRDefault="0033254E">
            <w:pPr>
              <w:pStyle w:val="TableParagraph"/>
              <w:spacing w:before="120"/>
              <w:ind w:left="107"/>
            </w:pPr>
            <w:r>
              <w:t>ECP 1</w:t>
            </w:r>
          </w:p>
        </w:tc>
        <w:tc>
          <w:tcPr>
            <w:tcW w:w="2389" w:type="dxa"/>
          </w:tcPr>
          <w:p w14:paraId="673ED1E0" w14:textId="77777777" w:rsidR="00D757DA" w:rsidRDefault="0033254E">
            <w:pPr>
              <w:pStyle w:val="TableParagraph"/>
              <w:spacing w:before="120"/>
              <w:ind w:left="105" w:right="151"/>
            </w:pPr>
            <w:r>
              <w:t>Virtual Community on IT Security</w:t>
            </w:r>
          </w:p>
        </w:tc>
        <w:tc>
          <w:tcPr>
            <w:tcW w:w="1839" w:type="dxa"/>
          </w:tcPr>
          <w:p w14:paraId="70065BE2" w14:textId="77777777" w:rsidR="00D757DA" w:rsidRDefault="0033254E">
            <w:pPr>
              <w:pStyle w:val="TableParagraph"/>
              <w:spacing w:before="120"/>
              <w:ind w:left="107" w:right="589"/>
            </w:pPr>
            <w:r>
              <w:t>Virtual Community</w:t>
            </w:r>
          </w:p>
        </w:tc>
        <w:tc>
          <w:tcPr>
            <w:tcW w:w="1945" w:type="dxa"/>
          </w:tcPr>
          <w:p w14:paraId="3EFFE151" w14:textId="77777777" w:rsidR="00D757DA" w:rsidRDefault="0033254E">
            <w:pPr>
              <w:pStyle w:val="TableParagraph"/>
              <w:spacing w:before="120"/>
              <w:ind w:left="107"/>
            </w:pPr>
            <w:r>
              <w:t>Lump Sum</w:t>
            </w:r>
          </w:p>
        </w:tc>
        <w:tc>
          <w:tcPr>
            <w:tcW w:w="1500" w:type="dxa"/>
          </w:tcPr>
          <w:p w14:paraId="7973AFC6" w14:textId="77777777" w:rsidR="00D757DA" w:rsidRDefault="0033254E">
            <w:pPr>
              <w:pStyle w:val="TableParagraph"/>
              <w:spacing w:before="144"/>
              <w:ind w:right="94"/>
              <w:jc w:val="right"/>
            </w:pPr>
            <w:r>
              <w:t>2.236,32</w:t>
            </w:r>
          </w:p>
        </w:tc>
      </w:tr>
      <w:tr w:rsidR="00D757DA" w14:paraId="11236591" w14:textId="77777777">
        <w:trPr>
          <w:trHeight w:val="746"/>
        </w:trPr>
        <w:tc>
          <w:tcPr>
            <w:tcW w:w="1068" w:type="dxa"/>
          </w:tcPr>
          <w:p w14:paraId="207017B9" w14:textId="77777777" w:rsidR="00D757DA" w:rsidRDefault="0033254E">
            <w:pPr>
              <w:pStyle w:val="TableParagraph"/>
              <w:spacing w:before="120"/>
              <w:ind w:left="107"/>
            </w:pPr>
            <w:r>
              <w:t>ECP5</w:t>
            </w:r>
          </w:p>
        </w:tc>
        <w:tc>
          <w:tcPr>
            <w:tcW w:w="2389" w:type="dxa"/>
          </w:tcPr>
          <w:p w14:paraId="074AE249" w14:textId="77777777" w:rsidR="00D757DA" w:rsidRDefault="0033254E">
            <w:pPr>
              <w:pStyle w:val="TableParagraph"/>
              <w:spacing w:before="120"/>
              <w:ind w:left="105" w:right="1129"/>
            </w:pPr>
            <w:r>
              <w:t>Inclusive IP Landscape</w:t>
            </w:r>
          </w:p>
        </w:tc>
        <w:tc>
          <w:tcPr>
            <w:tcW w:w="1839" w:type="dxa"/>
          </w:tcPr>
          <w:p w14:paraId="5ED7C855" w14:textId="77777777" w:rsidR="00D757DA" w:rsidRDefault="0033254E">
            <w:pPr>
              <w:pStyle w:val="TableParagraph"/>
              <w:spacing w:before="120"/>
              <w:ind w:left="107" w:right="699"/>
            </w:pPr>
            <w:r>
              <w:t>Promotion activities</w:t>
            </w:r>
          </w:p>
        </w:tc>
        <w:tc>
          <w:tcPr>
            <w:tcW w:w="1945" w:type="dxa"/>
          </w:tcPr>
          <w:p w14:paraId="172D5F77" w14:textId="77777777" w:rsidR="00D757DA" w:rsidRDefault="0033254E">
            <w:pPr>
              <w:pStyle w:val="TableParagraph"/>
              <w:spacing w:before="120"/>
              <w:ind w:left="107"/>
            </w:pPr>
            <w:r>
              <w:t>Lump Sum</w:t>
            </w:r>
          </w:p>
        </w:tc>
        <w:tc>
          <w:tcPr>
            <w:tcW w:w="1500" w:type="dxa"/>
          </w:tcPr>
          <w:p w14:paraId="42B41200" w14:textId="77777777" w:rsidR="00D757DA" w:rsidRDefault="0033254E">
            <w:pPr>
              <w:pStyle w:val="TableParagraph"/>
              <w:spacing w:before="144"/>
              <w:ind w:right="94"/>
              <w:jc w:val="right"/>
            </w:pPr>
            <w:r>
              <w:t>139.000,00</w:t>
            </w:r>
          </w:p>
        </w:tc>
      </w:tr>
      <w:tr w:rsidR="00D757DA" w14:paraId="7BEE5B76" w14:textId="77777777">
        <w:trPr>
          <w:trHeight w:val="635"/>
        </w:trPr>
        <w:tc>
          <w:tcPr>
            <w:tcW w:w="7241" w:type="dxa"/>
            <w:gridSpan w:val="4"/>
          </w:tcPr>
          <w:p w14:paraId="15FC1DCE" w14:textId="77777777" w:rsidR="00D757DA" w:rsidRDefault="0033254E">
            <w:pPr>
              <w:pStyle w:val="TableParagraph"/>
              <w:spacing w:before="120"/>
              <w:ind w:left="107"/>
              <w:rPr>
                <w:b/>
              </w:rPr>
            </w:pPr>
            <w:r>
              <w:rPr>
                <w:b/>
              </w:rPr>
              <w:t>TOTAL</w:t>
            </w:r>
          </w:p>
        </w:tc>
        <w:tc>
          <w:tcPr>
            <w:tcW w:w="1500" w:type="dxa"/>
          </w:tcPr>
          <w:p w14:paraId="04102F2C" w14:textId="77777777" w:rsidR="00D757DA" w:rsidRDefault="0033254E">
            <w:pPr>
              <w:pStyle w:val="TableParagraph"/>
              <w:spacing w:before="144"/>
              <w:ind w:right="94"/>
              <w:jc w:val="right"/>
              <w:rPr>
                <w:b/>
              </w:rPr>
            </w:pPr>
            <w:r>
              <w:rPr>
                <w:b/>
              </w:rPr>
              <w:t>386.087,00</w:t>
            </w:r>
          </w:p>
        </w:tc>
      </w:tr>
    </w:tbl>
    <w:p w14:paraId="0237ABB7" w14:textId="77777777" w:rsidR="00D757DA" w:rsidRDefault="00D757DA">
      <w:pPr>
        <w:pStyle w:val="Zkladntext"/>
        <w:rPr>
          <w:sz w:val="20"/>
        </w:rPr>
      </w:pPr>
    </w:p>
    <w:p w14:paraId="2CC34A0C" w14:textId="77777777" w:rsidR="00D757DA" w:rsidRDefault="00D757DA">
      <w:pPr>
        <w:pStyle w:val="Zkladntext"/>
        <w:spacing w:before="1"/>
        <w:rPr>
          <w:sz w:val="20"/>
        </w:rPr>
      </w:pPr>
    </w:p>
    <w:p w14:paraId="5AFC7B89" w14:textId="77777777" w:rsidR="00D757DA" w:rsidRDefault="0033254E">
      <w:pPr>
        <w:pStyle w:val="Nadpis3"/>
        <w:ind w:left="965" w:right="2279"/>
        <w:jc w:val="center"/>
      </w:pPr>
      <w:bookmarkStart w:id="3" w:name="Article_4_-_Duration"/>
      <w:bookmarkEnd w:id="3"/>
      <w:r>
        <w:t>Article 4 - Duration</w:t>
      </w:r>
    </w:p>
    <w:p w14:paraId="231C2B0F" w14:textId="77777777" w:rsidR="00D757DA" w:rsidRDefault="00D757DA">
      <w:pPr>
        <w:pStyle w:val="Zkladntext"/>
        <w:rPr>
          <w:b/>
          <w:sz w:val="24"/>
        </w:rPr>
      </w:pPr>
    </w:p>
    <w:p w14:paraId="0AACB4B2" w14:textId="77777777" w:rsidR="00D757DA" w:rsidRDefault="00D757DA">
      <w:pPr>
        <w:pStyle w:val="Zkladntext"/>
        <w:spacing w:before="10"/>
        <w:rPr>
          <w:b/>
          <w:sz w:val="18"/>
        </w:rPr>
      </w:pPr>
    </w:p>
    <w:p w14:paraId="1E9CC6C4" w14:textId="77777777" w:rsidR="00D757DA" w:rsidRDefault="0033254E">
      <w:pPr>
        <w:pStyle w:val="Odstavecseseznamem"/>
        <w:numPr>
          <w:ilvl w:val="0"/>
          <w:numId w:val="66"/>
        </w:numPr>
        <w:tabs>
          <w:tab w:val="left" w:pos="547"/>
          <w:tab w:val="left" w:pos="548"/>
        </w:tabs>
        <w:spacing w:before="1"/>
      </w:pPr>
      <w:r>
        <w:t>The Agreement enters into force on the date on which the last Party signs</w:t>
      </w:r>
      <w:r>
        <w:rPr>
          <w:spacing w:val="-12"/>
        </w:rPr>
        <w:t xml:space="preserve"> </w:t>
      </w:r>
      <w:r>
        <w:t>it.</w:t>
      </w:r>
    </w:p>
    <w:p w14:paraId="7F820638" w14:textId="77777777" w:rsidR="00D757DA" w:rsidRDefault="00D757DA">
      <w:pPr>
        <w:pStyle w:val="Zkladntext"/>
        <w:spacing w:before="4"/>
      </w:pPr>
    </w:p>
    <w:p w14:paraId="3A359B50" w14:textId="77777777" w:rsidR="00D757DA" w:rsidRDefault="0033254E">
      <w:pPr>
        <w:pStyle w:val="Odstavecseseznamem"/>
        <w:numPr>
          <w:ilvl w:val="0"/>
          <w:numId w:val="66"/>
        </w:numPr>
        <w:tabs>
          <w:tab w:val="left" w:pos="547"/>
          <w:tab w:val="left" w:pos="548"/>
        </w:tabs>
        <w:spacing w:line="235" w:lineRule="auto"/>
        <w:ind w:right="1431"/>
      </w:pPr>
      <w:r>
        <w:t>For</w:t>
      </w:r>
      <w:r>
        <w:rPr>
          <w:spacing w:val="-9"/>
        </w:rPr>
        <w:t xml:space="preserve"> </w:t>
      </w:r>
      <w:r>
        <w:t>the</w:t>
      </w:r>
      <w:r>
        <w:rPr>
          <w:spacing w:val="-9"/>
        </w:rPr>
        <w:t xml:space="preserve"> </w:t>
      </w:r>
      <w:r>
        <w:t>purposes</w:t>
      </w:r>
      <w:r>
        <w:rPr>
          <w:spacing w:val="-9"/>
        </w:rPr>
        <w:t xml:space="preserve"> </w:t>
      </w:r>
      <w:r>
        <w:t>of</w:t>
      </w:r>
      <w:r>
        <w:rPr>
          <w:spacing w:val="-10"/>
        </w:rPr>
        <w:t xml:space="preserve"> </w:t>
      </w:r>
      <w:r>
        <w:t>this</w:t>
      </w:r>
      <w:r>
        <w:rPr>
          <w:spacing w:val="-11"/>
        </w:rPr>
        <w:t xml:space="preserve"> </w:t>
      </w:r>
      <w:r>
        <w:t>Agreement</w:t>
      </w:r>
      <w:r>
        <w:rPr>
          <w:spacing w:val="-7"/>
        </w:rPr>
        <w:t xml:space="preserve"> </w:t>
      </w:r>
      <w:r>
        <w:t>the</w:t>
      </w:r>
      <w:r>
        <w:rPr>
          <w:spacing w:val="-9"/>
        </w:rPr>
        <w:t xml:space="preserve"> </w:t>
      </w:r>
      <w:r>
        <w:t>implementation</w:t>
      </w:r>
      <w:r>
        <w:rPr>
          <w:spacing w:val="-9"/>
        </w:rPr>
        <w:t xml:space="preserve"> </w:t>
      </w:r>
      <w:r>
        <w:t>period</w:t>
      </w:r>
      <w:r>
        <w:rPr>
          <w:spacing w:val="-9"/>
        </w:rPr>
        <w:t xml:space="preserve"> </w:t>
      </w:r>
      <w:r>
        <w:t>shall</w:t>
      </w:r>
      <w:r>
        <w:rPr>
          <w:spacing w:val="-10"/>
        </w:rPr>
        <w:t xml:space="preserve"> </w:t>
      </w:r>
      <w:r>
        <w:t>be</w:t>
      </w:r>
      <w:r>
        <w:rPr>
          <w:spacing w:val="-9"/>
        </w:rPr>
        <w:t xml:space="preserve"> </w:t>
      </w:r>
      <w:r>
        <w:t>one</w:t>
      </w:r>
      <w:r>
        <w:rPr>
          <w:spacing w:val="-11"/>
        </w:rPr>
        <w:t xml:space="preserve"> </w:t>
      </w:r>
      <w:r>
        <w:t>calendar</w:t>
      </w:r>
      <w:r>
        <w:rPr>
          <w:spacing w:val="-9"/>
        </w:rPr>
        <w:t xml:space="preserve"> </w:t>
      </w:r>
      <w:r>
        <w:t>year starting on 1</w:t>
      </w:r>
      <w:proofErr w:type="spellStart"/>
      <w:r>
        <w:rPr>
          <w:position w:val="8"/>
          <w:sz w:val="14"/>
        </w:rPr>
        <w:t>st</w:t>
      </w:r>
      <w:proofErr w:type="spellEnd"/>
      <w:r>
        <w:rPr>
          <w:position w:val="8"/>
          <w:sz w:val="14"/>
        </w:rPr>
        <w:t xml:space="preserve"> </w:t>
      </w:r>
      <w:r>
        <w:t>January</w:t>
      </w:r>
      <w:r>
        <w:rPr>
          <w:spacing w:val="-21"/>
        </w:rPr>
        <w:t xml:space="preserve"> </w:t>
      </w:r>
      <w:r>
        <w:t>2026.</w:t>
      </w:r>
    </w:p>
    <w:p w14:paraId="35942767" w14:textId="77777777" w:rsidR="00D757DA" w:rsidRDefault="00D757DA">
      <w:pPr>
        <w:pStyle w:val="Zkladntext"/>
        <w:spacing w:before="7"/>
        <w:rPr>
          <w:sz w:val="21"/>
        </w:rPr>
      </w:pPr>
    </w:p>
    <w:p w14:paraId="0FB85E02" w14:textId="77777777" w:rsidR="00D757DA" w:rsidRDefault="0033254E">
      <w:pPr>
        <w:pStyle w:val="Odstavecseseznamem"/>
        <w:numPr>
          <w:ilvl w:val="0"/>
          <w:numId w:val="66"/>
        </w:numPr>
        <w:tabs>
          <w:tab w:val="left" w:pos="547"/>
          <w:tab w:val="left" w:pos="548"/>
        </w:tabs>
      </w:pPr>
      <w:r>
        <w:t>The Agreement shall remain valid until the 31</w:t>
      </w:r>
      <w:proofErr w:type="spellStart"/>
      <w:r>
        <w:rPr>
          <w:position w:val="8"/>
          <w:sz w:val="14"/>
        </w:rPr>
        <w:t>st</w:t>
      </w:r>
      <w:proofErr w:type="spellEnd"/>
      <w:r>
        <w:rPr>
          <w:position w:val="8"/>
          <w:sz w:val="14"/>
        </w:rPr>
        <w:t xml:space="preserve"> </w:t>
      </w:r>
      <w:r>
        <w:t>of December</w:t>
      </w:r>
      <w:r>
        <w:rPr>
          <w:spacing w:val="-23"/>
        </w:rPr>
        <w:t xml:space="preserve"> </w:t>
      </w:r>
      <w:r>
        <w:t>2026.</w:t>
      </w:r>
    </w:p>
    <w:p w14:paraId="2EFB200F" w14:textId="77777777" w:rsidR="00D757DA" w:rsidRDefault="00D757DA">
      <w:pPr>
        <w:sectPr w:rsidR="00D757DA">
          <w:pgSz w:w="11910" w:h="16840"/>
          <w:pgMar w:top="1420" w:right="0" w:bottom="1160" w:left="1320" w:header="0" w:footer="881" w:gutter="0"/>
          <w:cols w:space="708"/>
        </w:sectPr>
      </w:pPr>
    </w:p>
    <w:p w14:paraId="7309B52A" w14:textId="77777777" w:rsidR="00D757DA" w:rsidRDefault="0033254E">
      <w:pPr>
        <w:pStyle w:val="Nadpis3"/>
        <w:spacing w:before="81"/>
        <w:ind w:left="3272"/>
      </w:pPr>
      <w:bookmarkStart w:id="4" w:name="Article_5_-_Communication"/>
      <w:bookmarkEnd w:id="4"/>
      <w:r>
        <w:lastRenderedPageBreak/>
        <w:t>Article 5 - Communication</w:t>
      </w:r>
    </w:p>
    <w:p w14:paraId="567804AB" w14:textId="77777777" w:rsidR="00D757DA" w:rsidRDefault="00D757DA">
      <w:pPr>
        <w:pStyle w:val="Zkladntext"/>
        <w:spacing w:before="10"/>
        <w:rPr>
          <w:b/>
          <w:sz w:val="20"/>
        </w:rPr>
      </w:pPr>
    </w:p>
    <w:p w14:paraId="5557EA10" w14:textId="77777777" w:rsidR="00D757DA" w:rsidRDefault="0033254E">
      <w:pPr>
        <w:pStyle w:val="Odstavecseseznamem"/>
        <w:numPr>
          <w:ilvl w:val="0"/>
          <w:numId w:val="65"/>
        </w:numPr>
        <w:tabs>
          <w:tab w:val="left" w:pos="547"/>
          <w:tab w:val="left" w:pos="548"/>
        </w:tabs>
        <w:ind w:right="1890"/>
      </w:pPr>
      <w:r>
        <w:t>For the purposes of the implementation of the Agreement, the contacts points of the Parties shall</w:t>
      </w:r>
      <w:r>
        <w:rPr>
          <w:spacing w:val="-1"/>
        </w:rPr>
        <w:t xml:space="preserve"> </w:t>
      </w:r>
      <w:r>
        <w:t>be:</w:t>
      </w:r>
    </w:p>
    <w:p w14:paraId="28BB4EC4" w14:textId="77777777" w:rsidR="00D757DA" w:rsidRDefault="00D757DA">
      <w:pPr>
        <w:pStyle w:val="Zkladntext"/>
        <w:spacing w:before="1"/>
      </w:pPr>
    </w:p>
    <w:p w14:paraId="34C97EB5" w14:textId="77777777" w:rsidR="00D757DA" w:rsidRDefault="0033254E">
      <w:pPr>
        <w:pStyle w:val="Zkladntext"/>
        <w:spacing w:before="1"/>
        <w:ind w:left="1200"/>
      </w:pPr>
      <w:r>
        <w:t>For the</w:t>
      </w:r>
      <w:r>
        <w:rPr>
          <w:spacing w:val="-5"/>
        </w:rPr>
        <w:t xml:space="preserve"> </w:t>
      </w:r>
      <w:r>
        <w:t>EUIPO:</w:t>
      </w:r>
    </w:p>
    <w:p w14:paraId="310EC6DD" w14:textId="77777777" w:rsidR="00D757DA" w:rsidRDefault="00D757DA">
      <w:pPr>
        <w:pStyle w:val="Zkladntext"/>
        <w:spacing w:before="9"/>
        <w:rPr>
          <w:sz w:val="21"/>
        </w:rPr>
      </w:pPr>
    </w:p>
    <w:p w14:paraId="1EEFCF59" w14:textId="2B6FAC7D" w:rsidR="00D757DA" w:rsidRDefault="0017311E">
      <w:pPr>
        <w:pStyle w:val="Zkladntext"/>
        <w:ind w:left="1200" w:right="4173"/>
      </w:pPr>
      <w:r>
        <w:t>XXXXXXXXX</w:t>
      </w:r>
      <w:r>
        <w:t xml:space="preserve"> </w:t>
      </w:r>
      <w:r w:rsidR="0033254E">
        <w:t xml:space="preserve">/ </w:t>
      </w:r>
      <w:r>
        <w:t>XXXXXXXXX</w:t>
      </w:r>
      <w:r>
        <w:t xml:space="preserve"> </w:t>
      </w:r>
      <w:r w:rsidR="0033254E">
        <w:t xml:space="preserve">/ </w:t>
      </w:r>
      <w:r>
        <w:t>XXXXXXXXX</w:t>
      </w:r>
      <w:r>
        <w:t xml:space="preserve"> </w:t>
      </w:r>
      <w:r w:rsidR="0033254E">
        <w:t>European Cooperation Service</w:t>
      </w:r>
    </w:p>
    <w:p w14:paraId="00375FC7" w14:textId="77777777" w:rsidR="0017311E" w:rsidRDefault="0033254E">
      <w:pPr>
        <w:pStyle w:val="Zkladntext"/>
        <w:spacing w:before="1"/>
        <w:ind w:left="1200"/>
      </w:pPr>
      <w:r>
        <w:t xml:space="preserve">34 965 13 </w:t>
      </w:r>
      <w:r w:rsidR="0017311E">
        <w:t>XXXXXXXXX</w:t>
      </w:r>
      <w:r w:rsidR="0017311E">
        <w:t xml:space="preserve"> </w:t>
      </w:r>
    </w:p>
    <w:p w14:paraId="1B581D3D" w14:textId="6C5E7EE7" w:rsidR="00D757DA" w:rsidRDefault="0033254E">
      <w:pPr>
        <w:pStyle w:val="Zkladntext"/>
        <w:spacing w:before="1"/>
        <w:ind w:left="1200"/>
      </w:pPr>
      <w:hyperlink r:id="rId8">
        <w:r>
          <w:rPr>
            <w:color w:val="0000FF"/>
            <w:u w:val="single" w:color="0000FF"/>
          </w:rPr>
          <w:t>CooperationAgreement@euipo.europa.eu</w:t>
        </w:r>
      </w:hyperlink>
    </w:p>
    <w:p w14:paraId="1E667CA9" w14:textId="77777777" w:rsidR="00D757DA" w:rsidRDefault="00D757DA">
      <w:pPr>
        <w:pStyle w:val="Zkladntext"/>
        <w:spacing w:before="8"/>
        <w:rPr>
          <w:sz w:val="13"/>
        </w:rPr>
      </w:pPr>
    </w:p>
    <w:p w14:paraId="5CC92E84" w14:textId="77777777" w:rsidR="00D757DA" w:rsidRDefault="0033254E">
      <w:pPr>
        <w:pStyle w:val="Zkladntext"/>
        <w:spacing w:before="94"/>
        <w:ind w:left="1200"/>
      </w:pPr>
      <w:r>
        <w:t>For the IPO:</w:t>
      </w:r>
    </w:p>
    <w:p w14:paraId="2D0A76F7" w14:textId="77777777" w:rsidR="00D757DA" w:rsidRDefault="00D757DA">
      <w:pPr>
        <w:pStyle w:val="Zkladntext"/>
      </w:pPr>
    </w:p>
    <w:p w14:paraId="0582A29F" w14:textId="46DBBF7C" w:rsidR="00D757DA" w:rsidRDefault="0017311E">
      <w:pPr>
        <w:pStyle w:val="Zkladntext"/>
        <w:spacing w:before="1"/>
        <w:ind w:left="1200" w:right="7352"/>
      </w:pPr>
      <w:r>
        <w:t>XXXXXXXXX</w:t>
      </w:r>
      <w:r>
        <w:t xml:space="preserve"> </w:t>
      </w:r>
      <w:proofErr w:type="spellStart"/>
      <w:r>
        <w:t>XXXXXXXXX</w:t>
      </w:r>
      <w:proofErr w:type="spellEnd"/>
    </w:p>
    <w:p w14:paraId="7FA56CC6" w14:textId="7533CAAC" w:rsidR="00D757DA" w:rsidRDefault="0033254E">
      <w:pPr>
        <w:pStyle w:val="Zkladntext"/>
        <w:ind w:left="1200" w:right="7412"/>
      </w:pPr>
      <w:r>
        <w:t xml:space="preserve">IT Department </w:t>
      </w:r>
      <w:r w:rsidR="0017311E">
        <w:t>XXXXXXXXX</w:t>
      </w:r>
    </w:p>
    <w:p w14:paraId="084ADEEB" w14:textId="7E61D7DC" w:rsidR="00D757DA" w:rsidRDefault="0017311E">
      <w:pPr>
        <w:pStyle w:val="Zkladntext"/>
        <w:spacing w:before="1"/>
        <w:ind w:left="1200" w:right="6125"/>
      </w:pPr>
      <w:r>
        <w:t>XXXXXXXXX</w:t>
      </w:r>
      <w:r w:rsidR="0033254E">
        <w:rPr>
          <w:color w:val="0000FF"/>
        </w:rPr>
        <w:t xml:space="preserve"> </w:t>
      </w:r>
    </w:p>
    <w:p w14:paraId="3B56A1EE" w14:textId="77777777" w:rsidR="00D757DA" w:rsidRDefault="00D757DA">
      <w:pPr>
        <w:pStyle w:val="Zkladntext"/>
        <w:rPr>
          <w:sz w:val="20"/>
        </w:rPr>
      </w:pPr>
    </w:p>
    <w:p w14:paraId="058F0905" w14:textId="77777777" w:rsidR="00D757DA" w:rsidRDefault="00D757DA">
      <w:pPr>
        <w:pStyle w:val="Zkladntext"/>
        <w:spacing w:before="10"/>
        <w:rPr>
          <w:sz w:val="15"/>
        </w:rPr>
      </w:pPr>
    </w:p>
    <w:p w14:paraId="5B59CB53" w14:textId="77777777" w:rsidR="00D757DA" w:rsidRDefault="0033254E">
      <w:pPr>
        <w:pStyle w:val="Odstavecseseznamem"/>
        <w:numPr>
          <w:ilvl w:val="0"/>
          <w:numId w:val="65"/>
        </w:numPr>
        <w:tabs>
          <w:tab w:val="left" w:pos="548"/>
        </w:tabs>
        <w:spacing w:before="94"/>
        <w:ind w:right="1430"/>
        <w:jc w:val="both"/>
      </w:pPr>
      <w:r>
        <w:t>Unless otherwise specified in this Agreement, communications between the Parties shall be done via the email addresses indicated in point 1 above and by making use of the Cooperation</w:t>
      </w:r>
      <w:r>
        <w:rPr>
          <w:spacing w:val="-1"/>
        </w:rPr>
        <w:t xml:space="preserve"> </w:t>
      </w:r>
      <w:r>
        <w:t>platform.</w:t>
      </w:r>
    </w:p>
    <w:p w14:paraId="1EDA0612" w14:textId="77777777" w:rsidR="00D757DA" w:rsidRDefault="00D757DA">
      <w:pPr>
        <w:pStyle w:val="Zkladntext"/>
        <w:spacing w:before="10"/>
        <w:rPr>
          <w:sz w:val="21"/>
        </w:rPr>
      </w:pPr>
    </w:p>
    <w:p w14:paraId="2D27AEFE" w14:textId="77777777" w:rsidR="00D757DA" w:rsidRDefault="0033254E">
      <w:pPr>
        <w:pStyle w:val="Zkladntext"/>
        <w:ind w:left="120"/>
      </w:pPr>
      <w:r>
        <w:t>SIGNATURES</w:t>
      </w:r>
    </w:p>
    <w:p w14:paraId="66710091" w14:textId="77777777" w:rsidR="00D757DA" w:rsidRDefault="00D757DA">
      <w:pPr>
        <w:pStyle w:val="Zkladntext"/>
        <w:rPr>
          <w:sz w:val="20"/>
        </w:rPr>
      </w:pPr>
    </w:p>
    <w:p w14:paraId="182FA0A8" w14:textId="77777777" w:rsidR="00D757DA" w:rsidRDefault="00D757DA">
      <w:pPr>
        <w:pStyle w:val="Zkladntext"/>
        <w:rPr>
          <w:sz w:val="20"/>
        </w:rPr>
      </w:pPr>
    </w:p>
    <w:p w14:paraId="763308AC" w14:textId="77777777" w:rsidR="00D757DA" w:rsidRDefault="00D757DA">
      <w:pPr>
        <w:pStyle w:val="Zkladntext"/>
        <w:spacing w:before="11"/>
        <w:rPr>
          <w:sz w:val="17"/>
        </w:rPr>
      </w:pPr>
    </w:p>
    <w:p w14:paraId="1EE09ECE" w14:textId="77777777" w:rsidR="00D757DA" w:rsidRDefault="00D757DA">
      <w:pPr>
        <w:rPr>
          <w:sz w:val="17"/>
        </w:rPr>
        <w:sectPr w:rsidR="00D757DA">
          <w:pgSz w:w="11910" w:h="16840"/>
          <w:pgMar w:top="1340" w:right="0" w:bottom="1160" w:left="1320" w:header="0" w:footer="881" w:gutter="0"/>
          <w:cols w:space="708"/>
        </w:sectPr>
      </w:pPr>
    </w:p>
    <w:p w14:paraId="2A39031A" w14:textId="77777777" w:rsidR="00D757DA" w:rsidRDefault="0033254E">
      <w:pPr>
        <w:pStyle w:val="Nadpis3"/>
        <w:spacing w:before="94"/>
        <w:ind w:left="1783" w:right="24" w:hanging="1404"/>
      </w:pPr>
      <w:r>
        <w:t>For the Industrial Property of Czech Republic</w:t>
      </w:r>
    </w:p>
    <w:p w14:paraId="6838D41C" w14:textId="77777777" w:rsidR="00D757DA" w:rsidRDefault="0033254E">
      <w:pPr>
        <w:spacing w:before="94"/>
        <w:ind w:left="1442" w:right="2203" w:hanging="1064"/>
        <w:rPr>
          <w:b/>
        </w:rPr>
      </w:pPr>
      <w:r>
        <w:br w:type="column"/>
      </w:r>
      <w:r>
        <w:rPr>
          <w:b/>
        </w:rPr>
        <w:t>For the European Union Intellectual Property Office</w:t>
      </w:r>
    </w:p>
    <w:p w14:paraId="672E23F1" w14:textId="77777777" w:rsidR="00D757DA" w:rsidRDefault="00D757DA">
      <w:pPr>
        <w:sectPr w:rsidR="00D757DA">
          <w:type w:val="continuous"/>
          <w:pgSz w:w="11910" w:h="16840"/>
          <w:pgMar w:top="1580" w:right="0" w:bottom="280" w:left="1320" w:header="708" w:footer="708" w:gutter="0"/>
          <w:cols w:num="2" w:space="708" w:equalWidth="0">
            <w:col w:w="4164" w:space="109"/>
            <w:col w:w="6317"/>
          </w:cols>
        </w:sectPr>
      </w:pPr>
    </w:p>
    <w:p w14:paraId="7025B25C" w14:textId="77777777" w:rsidR="00D757DA" w:rsidRDefault="00D757DA">
      <w:pPr>
        <w:pStyle w:val="Zkladntext"/>
        <w:spacing w:before="4"/>
        <w:rPr>
          <w:b/>
          <w:sz w:val="16"/>
        </w:rPr>
      </w:pPr>
    </w:p>
    <w:p w14:paraId="71385D25" w14:textId="2FFD2590" w:rsidR="00D757DA" w:rsidRDefault="00D757DA">
      <w:pPr>
        <w:pStyle w:val="Zkladntext"/>
        <w:ind w:left="4760"/>
        <w:rPr>
          <w:sz w:val="20"/>
        </w:rPr>
      </w:pPr>
    </w:p>
    <w:p w14:paraId="1A5A39AC" w14:textId="77777777" w:rsidR="00D757DA" w:rsidRDefault="0033254E">
      <w:pPr>
        <w:pStyle w:val="Zkladntext"/>
        <w:spacing w:before="5"/>
        <w:rPr>
          <w:b/>
          <w:sz w:val="10"/>
        </w:rPr>
      </w:pPr>
      <w:r>
        <w:pict w14:anchorId="19F3C367">
          <v:shape id="_x0000_s2113" style="position:absolute;margin-left:105pt;margin-top:8.45pt;width:146.9pt;height:.1pt;z-index:-251656192;mso-wrap-distance-left:0;mso-wrap-distance-right:0;mso-position-horizontal-relative:page" coordorigin="2100,169" coordsize="2938,0" path="m2100,169r2938,e" filled="f" strokeweight=".34664mm">
            <v:path arrowok="t"/>
            <w10:wrap type="topAndBottom" anchorx="page"/>
          </v:shape>
        </w:pict>
      </w:r>
      <w:r>
        <w:pict w14:anchorId="379BFD7E">
          <v:shape id="_x0000_s2112" style="position:absolute;margin-left:318.05pt;margin-top:8.45pt;width:146.9pt;height:.1pt;z-index:-251655168;mso-wrap-distance-left:0;mso-wrap-distance-right:0;mso-position-horizontal-relative:page" coordorigin="6361,169" coordsize="2938,0" path="m6361,169r2938,e" filled="f" strokeweight=".34664mm">
            <v:path arrowok="t"/>
            <w10:wrap type="topAndBottom" anchorx="page"/>
          </v:shape>
        </w:pict>
      </w:r>
    </w:p>
    <w:p w14:paraId="12633E40" w14:textId="77777777" w:rsidR="00D757DA" w:rsidRDefault="00D757DA">
      <w:pPr>
        <w:pStyle w:val="Zkladntext"/>
        <w:spacing w:before="1"/>
        <w:rPr>
          <w:b/>
          <w:sz w:val="6"/>
        </w:rPr>
      </w:pPr>
    </w:p>
    <w:p w14:paraId="0457CAA9" w14:textId="77777777" w:rsidR="00D757DA" w:rsidRDefault="00D757DA">
      <w:pPr>
        <w:rPr>
          <w:sz w:val="6"/>
        </w:rPr>
        <w:sectPr w:rsidR="00D757DA">
          <w:type w:val="continuous"/>
          <w:pgSz w:w="11910" w:h="16840"/>
          <w:pgMar w:top="1580" w:right="0" w:bottom="280" w:left="1320" w:header="708" w:footer="708" w:gutter="0"/>
          <w:cols w:space="708"/>
        </w:sectPr>
      </w:pPr>
    </w:p>
    <w:p w14:paraId="37066BB8" w14:textId="77777777" w:rsidR="00D757DA" w:rsidRDefault="0033254E">
      <w:pPr>
        <w:spacing w:before="54" w:line="480" w:lineRule="auto"/>
        <w:ind w:left="1394" w:right="21" w:firstLine="321"/>
        <w:rPr>
          <w:b/>
        </w:rPr>
      </w:pPr>
      <w:r>
        <w:rPr>
          <w:b/>
        </w:rPr>
        <w:t>President, Josef Kratochvíl</w:t>
      </w:r>
    </w:p>
    <w:p w14:paraId="0C5F3FC6" w14:textId="3C751573" w:rsidR="00D757DA" w:rsidRDefault="0033254E">
      <w:pPr>
        <w:spacing w:before="54" w:line="480" w:lineRule="auto"/>
        <w:ind w:left="1726" w:right="3063" w:hanging="332"/>
        <w:rPr>
          <w:b/>
        </w:rPr>
      </w:pPr>
      <w:r>
        <w:br w:type="column"/>
      </w:r>
      <w:r>
        <w:rPr>
          <w:b/>
        </w:rPr>
        <w:t xml:space="preserve">Executive Director, </w:t>
      </w:r>
      <w:r w:rsidR="0017311E">
        <w:t>XXXXXXXXX</w:t>
      </w:r>
    </w:p>
    <w:p w14:paraId="3D1E3ECF" w14:textId="77777777" w:rsidR="00D757DA" w:rsidRDefault="00D757DA">
      <w:pPr>
        <w:spacing w:line="480" w:lineRule="auto"/>
        <w:sectPr w:rsidR="00D757DA">
          <w:type w:val="continuous"/>
          <w:pgSz w:w="11910" w:h="16840"/>
          <w:pgMar w:top="1580" w:right="0" w:bottom="280" w:left="1320" w:header="708" w:footer="708" w:gutter="0"/>
          <w:cols w:num="2" w:space="708" w:equalWidth="0">
            <w:col w:w="3147" w:space="972"/>
            <w:col w:w="6471"/>
          </w:cols>
        </w:sectPr>
      </w:pPr>
    </w:p>
    <w:p w14:paraId="4C5C67A9" w14:textId="77777777" w:rsidR="00D757DA" w:rsidRDefault="00D757DA">
      <w:pPr>
        <w:pStyle w:val="Zkladntext"/>
        <w:spacing w:before="10"/>
        <w:rPr>
          <w:b/>
          <w:sz w:val="13"/>
        </w:rPr>
      </w:pPr>
    </w:p>
    <w:p w14:paraId="10019DC8" w14:textId="77777777" w:rsidR="00D757DA" w:rsidRDefault="0033254E">
      <w:pPr>
        <w:pStyle w:val="Zkladntext"/>
        <w:tabs>
          <w:tab w:val="left" w:pos="5161"/>
        </w:tabs>
        <w:spacing w:before="94"/>
        <w:ind w:left="840"/>
      </w:pPr>
      <w:r>
        <w:t>Date:</w:t>
      </w:r>
      <w:r>
        <w:tab/>
        <w:t>Date:</w:t>
      </w:r>
    </w:p>
    <w:p w14:paraId="290EBDE6" w14:textId="77777777" w:rsidR="00D757DA" w:rsidRDefault="00D757DA">
      <w:pPr>
        <w:sectPr w:rsidR="00D757DA">
          <w:type w:val="continuous"/>
          <w:pgSz w:w="11910" w:h="16840"/>
          <w:pgMar w:top="1580" w:right="0" w:bottom="280" w:left="1320" w:header="708" w:footer="708" w:gutter="0"/>
          <w:cols w:space="708"/>
        </w:sectPr>
      </w:pPr>
    </w:p>
    <w:p w14:paraId="3597FBE5" w14:textId="77777777" w:rsidR="00D757DA" w:rsidRDefault="0033254E">
      <w:pPr>
        <w:spacing w:before="62"/>
        <w:ind w:left="120"/>
        <w:rPr>
          <w:b/>
          <w:sz w:val="26"/>
        </w:rPr>
      </w:pPr>
      <w:bookmarkStart w:id="5" w:name="Annex_I_-_General_Conditions"/>
      <w:bookmarkEnd w:id="5"/>
      <w:r>
        <w:rPr>
          <w:b/>
          <w:sz w:val="32"/>
        </w:rPr>
        <w:lastRenderedPageBreak/>
        <w:t>A</w:t>
      </w:r>
      <w:r>
        <w:rPr>
          <w:b/>
          <w:sz w:val="26"/>
        </w:rPr>
        <w:t xml:space="preserve">NNEX </w:t>
      </w:r>
      <w:r>
        <w:rPr>
          <w:b/>
          <w:sz w:val="32"/>
        </w:rPr>
        <w:t>I - G</w:t>
      </w:r>
      <w:r>
        <w:rPr>
          <w:b/>
          <w:sz w:val="26"/>
        </w:rPr>
        <w:t xml:space="preserve">ENERAL </w:t>
      </w:r>
      <w:r>
        <w:rPr>
          <w:b/>
          <w:sz w:val="32"/>
        </w:rPr>
        <w:t>C</w:t>
      </w:r>
      <w:r>
        <w:rPr>
          <w:b/>
          <w:sz w:val="26"/>
        </w:rPr>
        <w:t>ONDITIONS</w:t>
      </w:r>
    </w:p>
    <w:p w14:paraId="22A743C7" w14:textId="77777777" w:rsidR="00D757DA" w:rsidRDefault="0033254E">
      <w:pPr>
        <w:pStyle w:val="Nadpis3"/>
        <w:spacing w:before="239"/>
      </w:pPr>
      <w:bookmarkStart w:id="6" w:name="ARTICLE_1_-_PURPOSE"/>
      <w:bookmarkEnd w:id="6"/>
      <w:r>
        <w:t>ARTICLE 1 - PURPOSE</w:t>
      </w:r>
    </w:p>
    <w:p w14:paraId="05DFFCFE" w14:textId="77777777" w:rsidR="00D757DA" w:rsidRDefault="00D757DA">
      <w:pPr>
        <w:pStyle w:val="Zkladntext"/>
        <w:rPr>
          <w:b/>
          <w:sz w:val="21"/>
        </w:rPr>
      </w:pPr>
    </w:p>
    <w:p w14:paraId="7CF94BA0" w14:textId="77777777" w:rsidR="00D757DA" w:rsidRDefault="0033254E">
      <w:pPr>
        <w:pStyle w:val="Odstavecseseznamem"/>
        <w:numPr>
          <w:ilvl w:val="1"/>
          <w:numId w:val="64"/>
        </w:numPr>
        <w:tabs>
          <w:tab w:val="left" w:pos="841"/>
        </w:tabs>
        <w:ind w:right="1435" w:firstLine="0"/>
        <w:jc w:val="both"/>
      </w:pPr>
      <w:bookmarkStart w:id="7" w:name="1.1_The_General_Conditions_shall_specify"/>
      <w:bookmarkEnd w:id="7"/>
      <w:r>
        <w:t>The</w:t>
      </w:r>
      <w:r>
        <w:rPr>
          <w:spacing w:val="-5"/>
        </w:rPr>
        <w:t xml:space="preserve"> </w:t>
      </w:r>
      <w:r>
        <w:t>General</w:t>
      </w:r>
      <w:r>
        <w:rPr>
          <w:spacing w:val="-6"/>
        </w:rPr>
        <w:t xml:space="preserve"> </w:t>
      </w:r>
      <w:r>
        <w:t>Conditions</w:t>
      </w:r>
      <w:r>
        <w:rPr>
          <w:spacing w:val="-5"/>
        </w:rPr>
        <w:t xml:space="preserve"> </w:t>
      </w:r>
      <w:r>
        <w:t>shall</w:t>
      </w:r>
      <w:r>
        <w:rPr>
          <w:spacing w:val="-3"/>
        </w:rPr>
        <w:t xml:space="preserve"> </w:t>
      </w:r>
      <w:r>
        <w:t>specify</w:t>
      </w:r>
      <w:r>
        <w:rPr>
          <w:spacing w:val="-4"/>
        </w:rPr>
        <w:t xml:space="preserve"> </w:t>
      </w:r>
      <w:r>
        <w:t>the</w:t>
      </w:r>
      <w:r>
        <w:rPr>
          <w:spacing w:val="-5"/>
        </w:rPr>
        <w:t xml:space="preserve"> </w:t>
      </w:r>
      <w:r>
        <w:t>conditions</w:t>
      </w:r>
      <w:r>
        <w:rPr>
          <w:spacing w:val="-2"/>
        </w:rPr>
        <w:t xml:space="preserve"> </w:t>
      </w:r>
      <w:r>
        <w:t>under</w:t>
      </w:r>
      <w:r>
        <w:rPr>
          <w:spacing w:val="-4"/>
        </w:rPr>
        <w:t xml:space="preserve"> </w:t>
      </w:r>
      <w:r>
        <w:t>which</w:t>
      </w:r>
      <w:r>
        <w:rPr>
          <w:spacing w:val="-3"/>
        </w:rPr>
        <w:t xml:space="preserve"> </w:t>
      </w:r>
      <w:r>
        <w:t>areas</w:t>
      </w:r>
      <w:r>
        <w:rPr>
          <w:spacing w:val="-5"/>
        </w:rPr>
        <w:t xml:space="preserve"> </w:t>
      </w:r>
      <w:r>
        <w:t>of</w:t>
      </w:r>
      <w:r>
        <w:rPr>
          <w:spacing w:val="-5"/>
        </w:rPr>
        <w:t xml:space="preserve"> </w:t>
      </w:r>
      <w:r>
        <w:t>cooperation referred in Article 1 of the Special Conditions will be</w:t>
      </w:r>
      <w:r>
        <w:rPr>
          <w:spacing w:val="-7"/>
        </w:rPr>
        <w:t xml:space="preserve"> </w:t>
      </w:r>
      <w:r>
        <w:t>executed.</w:t>
      </w:r>
    </w:p>
    <w:p w14:paraId="02D7318A" w14:textId="77777777" w:rsidR="00D757DA" w:rsidRDefault="00D757DA">
      <w:pPr>
        <w:pStyle w:val="Zkladntext"/>
        <w:spacing w:before="10"/>
        <w:rPr>
          <w:sz w:val="20"/>
        </w:rPr>
      </w:pPr>
    </w:p>
    <w:p w14:paraId="14942AB7" w14:textId="77777777" w:rsidR="00D757DA" w:rsidRDefault="0033254E">
      <w:pPr>
        <w:pStyle w:val="Odstavecseseznamem"/>
        <w:numPr>
          <w:ilvl w:val="1"/>
          <w:numId w:val="64"/>
        </w:numPr>
        <w:tabs>
          <w:tab w:val="left" w:pos="841"/>
        </w:tabs>
        <w:ind w:right="1439" w:firstLine="0"/>
        <w:jc w:val="both"/>
      </w:pPr>
      <w:bookmarkStart w:id="8" w:name="1.2_Unless_the_context_otherwise_require"/>
      <w:bookmarkEnd w:id="8"/>
      <w:r>
        <w:t>Unless the context otherwise requires, words and phrases used in this Agreement in the singular shall be deemed to include the plural and vice</w:t>
      </w:r>
      <w:r>
        <w:rPr>
          <w:spacing w:val="-12"/>
        </w:rPr>
        <w:t xml:space="preserve"> </w:t>
      </w:r>
      <w:r>
        <w:t>versa.</w:t>
      </w:r>
    </w:p>
    <w:p w14:paraId="13376F13" w14:textId="77777777" w:rsidR="00D757DA" w:rsidRDefault="00D757DA">
      <w:pPr>
        <w:pStyle w:val="Zkladntext"/>
        <w:spacing w:before="2"/>
        <w:rPr>
          <w:sz w:val="31"/>
        </w:rPr>
      </w:pPr>
    </w:p>
    <w:p w14:paraId="50ACE60C" w14:textId="77777777" w:rsidR="00D757DA" w:rsidRDefault="0033254E">
      <w:pPr>
        <w:pStyle w:val="Nadpis3"/>
      </w:pPr>
      <w:bookmarkStart w:id="9" w:name="ARTICLE_2_-_OPT_OUT,_RESTRICTION_OR_TEMP"/>
      <w:bookmarkEnd w:id="9"/>
      <w:r>
        <w:t>ARTICLE 2 - OPT OUT, RESTRICTION OR TEMPORARY SUSPENSION</w:t>
      </w:r>
    </w:p>
    <w:p w14:paraId="14023267" w14:textId="77777777" w:rsidR="00D757DA" w:rsidRDefault="00D757DA">
      <w:pPr>
        <w:pStyle w:val="Zkladntext"/>
        <w:rPr>
          <w:b/>
          <w:sz w:val="21"/>
        </w:rPr>
      </w:pPr>
    </w:p>
    <w:p w14:paraId="33545D4E" w14:textId="77777777" w:rsidR="00D757DA" w:rsidRDefault="0033254E">
      <w:pPr>
        <w:pStyle w:val="Odstavecseseznamem"/>
        <w:numPr>
          <w:ilvl w:val="1"/>
          <w:numId w:val="63"/>
        </w:numPr>
        <w:tabs>
          <w:tab w:val="left" w:pos="841"/>
        </w:tabs>
        <w:ind w:right="1434" w:firstLine="0"/>
        <w:jc w:val="both"/>
      </w:pPr>
      <w:proofErr w:type="gramStart"/>
      <w:r>
        <w:t>With regard to</w:t>
      </w:r>
      <w:proofErr w:type="gramEnd"/>
      <w:r>
        <w:t xml:space="preserve"> the Areas of Cooperation described in Article 1 of the Special Conditions,</w:t>
      </w:r>
      <w:r>
        <w:rPr>
          <w:spacing w:val="-10"/>
        </w:rPr>
        <w:t xml:space="preserve"> </w:t>
      </w:r>
      <w:r>
        <w:t>without</w:t>
      </w:r>
      <w:r>
        <w:rPr>
          <w:spacing w:val="-9"/>
        </w:rPr>
        <w:t xml:space="preserve"> </w:t>
      </w:r>
      <w:r>
        <w:t>prejudice</w:t>
      </w:r>
      <w:r>
        <w:rPr>
          <w:spacing w:val="-9"/>
        </w:rPr>
        <w:t xml:space="preserve"> </w:t>
      </w:r>
      <w:r>
        <w:t>to</w:t>
      </w:r>
      <w:r>
        <w:rPr>
          <w:spacing w:val="-10"/>
        </w:rPr>
        <w:t xml:space="preserve"> </w:t>
      </w:r>
      <w:r>
        <w:t>the</w:t>
      </w:r>
      <w:r>
        <w:rPr>
          <w:spacing w:val="-13"/>
        </w:rPr>
        <w:t xml:space="preserve"> </w:t>
      </w:r>
      <w:r>
        <w:t>EUIPO’s</w:t>
      </w:r>
      <w:r>
        <w:rPr>
          <w:spacing w:val="-12"/>
        </w:rPr>
        <w:t xml:space="preserve"> </w:t>
      </w:r>
      <w:r>
        <w:t>right</w:t>
      </w:r>
      <w:r>
        <w:rPr>
          <w:spacing w:val="-11"/>
        </w:rPr>
        <w:t xml:space="preserve"> </w:t>
      </w:r>
      <w:r>
        <w:t>to</w:t>
      </w:r>
      <w:r>
        <w:rPr>
          <w:spacing w:val="-10"/>
        </w:rPr>
        <w:t xml:space="preserve"> </w:t>
      </w:r>
      <w:r>
        <w:t>terminate</w:t>
      </w:r>
      <w:r>
        <w:rPr>
          <w:spacing w:val="-10"/>
        </w:rPr>
        <w:t xml:space="preserve"> </w:t>
      </w:r>
      <w:r>
        <w:t>the</w:t>
      </w:r>
      <w:r>
        <w:rPr>
          <w:spacing w:val="-13"/>
        </w:rPr>
        <w:t xml:space="preserve"> </w:t>
      </w:r>
      <w:r>
        <w:t>Agreement</w:t>
      </w:r>
      <w:r>
        <w:rPr>
          <w:spacing w:val="-8"/>
        </w:rPr>
        <w:t xml:space="preserve"> </w:t>
      </w:r>
      <w:r>
        <w:t>in</w:t>
      </w:r>
      <w:r>
        <w:rPr>
          <w:spacing w:val="-10"/>
        </w:rPr>
        <w:t xml:space="preserve"> </w:t>
      </w:r>
      <w:r>
        <w:t>pursuance</w:t>
      </w:r>
      <w:r>
        <w:rPr>
          <w:spacing w:val="-10"/>
        </w:rPr>
        <w:t xml:space="preserve"> </w:t>
      </w:r>
      <w:r>
        <w:t>of Article 4, the EUIPO may at any time suspend the execution of the Agreement. Suspension shall</w:t>
      </w:r>
      <w:r>
        <w:rPr>
          <w:spacing w:val="-19"/>
        </w:rPr>
        <w:t xml:space="preserve"> </w:t>
      </w:r>
      <w:r>
        <w:t>take</w:t>
      </w:r>
      <w:r>
        <w:rPr>
          <w:spacing w:val="-20"/>
        </w:rPr>
        <w:t xml:space="preserve"> </w:t>
      </w:r>
      <w:r>
        <w:t>effect</w:t>
      </w:r>
      <w:r>
        <w:rPr>
          <w:spacing w:val="-18"/>
        </w:rPr>
        <w:t xml:space="preserve"> </w:t>
      </w:r>
      <w:r>
        <w:t>on</w:t>
      </w:r>
      <w:r>
        <w:rPr>
          <w:spacing w:val="-22"/>
        </w:rPr>
        <w:t xml:space="preserve"> </w:t>
      </w:r>
      <w:r>
        <w:t>the</w:t>
      </w:r>
      <w:r>
        <w:rPr>
          <w:spacing w:val="-17"/>
        </w:rPr>
        <w:t xml:space="preserve"> </w:t>
      </w:r>
      <w:r>
        <w:t>day</w:t>
      </w:r>
      <w:r>
        <w:rPr>
          <w:spacing w:val="-17"/>
        </w:rPr>
        <w:t xml:space="preserve"> </w:t>
      </w:r>
      <w:r>
        <w:t>IPO</w:t>
      </w:r>
      <w:r>
        <w:rPr>
          <w:spacing w:val="-18"/>
        </w:rPr>
        <w:t xml:space="preserve"> </w:t>
      </w:r>
      <w:r>
        <w:t>receives</w:t>
      </w:r>
      <w:r>
        <w:rPr>
          <w:spacing w:val="-20"/>
        </w:rPr>
        <w:t xml:space="preserve"> </w:t>
      </w:r>
      <w:r>
        <w:t>notification</w:t>
      </w:r>
      <w:r>
        <w:rPr>
          <w:spacing w:val="-17"/>
        </w:rPr>
        <w:t xml:space="preserve"> </w:t>
      </w:r>
      <w:r>
        <w:t>by</w:t>
      </w:r>
      <w:r>
        <w:rPr>
          <w:spacing w:val="-20"/>
        </w:rPr>
        <w:t xml:space="preserve"> </w:t>
      </w:r>
      <w:r>
        <w:t>registered</w:t>
      </w:r>
      <w:r>
        <w:rPr>
          <w:spacing w:val="-19"/>
        </w:rPr>
        <w:t xml:space="preserve"> </w:t>
      </w:r>
      <w:r>
        <w:t>letter</w:t>
      </w:r>
      <w:r>
        <w:rPr>
          <w:spacing w:val="-19"/>
        </w:rPr>
        <w:t xml:space="preserve"> </w:t>
      </w:r>
      <w:r>
        <w:t>with</w:t>
      </w:r>
      <w:r>
        <w:rPr>
          <w:spacing w:val="-22"/>
        </w:rPr>
        <w:t xml:space="preserve"> </w:t>
      </w:r>
      <w:r>
        <w:t>acknowledgement of receipt or equivalent. The EUIPO may at any time, following suspension, give notice to the IPO to resume the work suspended. The EUIPO shall justify the grounds for the suspension in the notification</w:t>
      </w:r>
      <w:r>
        <w:rPr>
          <w:spacing w:val="-3"/>
        </w:rPr>
        <w:t xml:space="preserve"> </w:t>
      </w:r>
      <w:r>
        <w:t>letter.</w:t>
      </w:r>
    </w:p>
    <w:p w14:paraId="468C428A" w14:textId="77777777" w:rsidR="00D757DA" w:rsidRDefault="00D757DA">
      <w:pPr>
        <w:pStyle w:val="Zkladntext"/>
      </w:pPr>
    </w:p>
    <w:p w14:paraId="0DE193BC" w14:textId="77777777" w:rsidR="00D757DA" w:rsidRDefault="0033254E">
      <w:pPr>
        <w:pStyle w:val="Odstavecseseznamem"/>
        <w:numPr>
          <w:ilvl w:val="1"/>
          <w:numId w:val="63"/>
        </w:numPr>
        <w:tabs>
          <w:tab w:val="left" w:pos="841"/>
        </w:tabs>
        <w:ind w:right="1434" w:firstLine="0"/>
        <w:jc w:val="both"/>
      </w:pPr>
      <w:r>
        <w:t>The</w:t>
      </w:r>
      <w:r>
        <w:rPr>
          <w:spacing w:val="-5"/>
        </w:rPr>
        <w:t xml:space="preserve"> </w:t>
      </w:r>
      <w:r>
        <w:t>IPO</w:t>
      </w:r>
      <w:r>
        <w:rPr>
          <w:spacing w:val="-7"/>
        </w:rPr>
        <w:t xml:space="preserve"> </w:t>
      </w:r>
      <w:r>
        <w:t>may</w:t>
      </w:r>
      <w:r>
        <w:rPr>
          <w:spacing w:val="-7"/>
        </w:rPr>
        <w:t xml:space="preserve"> </w:t>
      </w:r>
      <w:r>
        <w:t>opt</w:t>
      </w:r>
      <w:r>
        <w:rPr>
          <w:spacing w:val="-5"/>
        </w:rPr>
        <w:t xml:space="preserve"> </w:t>
      </w:r>
      <w:r>
        <w:t>out,</w:t>
      </w:r>
      <w:r>
        <w:rPr>
          <w:spacing w:val="-8"/>
        </w:rPr>
        <w:t xml:space="preserve"> </w:t>
      </w:r>
      <w:r>
        <w:t>restrict</w:t>
      </w:r>
      <w:r>
        <w:rPr>
          <w:spacing w:val="-5"/>
        </w:rPr>
        <w:t xml:space="preserve"> </w:t>
      </w:r>
      <w:r>
        <w:t>or</w:t>
      </w:r>
      <w:r>
        <w:rPr>
          <w:spacing w:val="-6"/>
        </w:rPr>
        <w:t xml:space="preserve"> </w:t>
      </w:r>
      <w:r>
        <w:t>suspend</w:t>
      </w:r>
      <w:r>
        <w:rPr>
          <w:spacing w:val="-6"/>
        </w:rPr>
        <w:t xml:space="preserve"> </w:t>
      </w:r>
      <w:r>
        <w:t>the</w:t>
      </w:r>
      <w:r>
        <w:rPr>
          <w:spacing w:val="-8"/>
        </w:rPr>
        <w:t xml:space="preserve"> </w:t>
      </w:r>
      <w:r>
        <w:t>implementation</w:t>
      </w:r>
      <w:r>
        <w:rPr>
          <w:spacing w:val="-4"/>
        </w:rPr>
        <w:t xml:space="preserve"> </w:t>
      </w:r>
      <w:r>
        <w:t>of</w:t>
      </w:r>
      <w:r>
        <w:rPr>
          <w:spacing w:val="-6"/>
        </w:rPr>
        <w:t xml:space="preserve"> </w:t>
      </w:r>
      <w:r>
        <w:t>its</w:t>
      </w:r>
      <w:r>
        <w:rPr>
          <w:spacing w:val="-6"/>
        </w:rPr>
        <w:t xml:space="preserve"> </w:t>
      </w:r>
      <w:r>
        <w:t>cooperation</w:t>
      </w:r>
      <w:r>
        <w:rPr>
          <w:spacing w:val="-5"/>
        </w:rPr>
        <w:t xml:space="preserve"> </w:t>
      </w:r>
      <w:r>
        <w:t>for</w:t>
      </w:r>
      <w:r>
        <w:rPr>
          <w:spacing w:val="-5"/>
        </w:rPr>
        <w:t xml:space="preserve"> </w:t>
      </w:r>
      <w:r>
        <w:t>any of the projects by providing the EUIPO with a written statement. The written statement shall explain the reasons of its decision and if possible, indicate the date it will take effect and if already</w:t>
      </w:r>
      <w:r>
        <w:rPr>
          <w:spacing w:val="-5"/>
        </w:rPr>
        <w:t xml:space="preserve"> </w:t>
      </w:r>
      <w:r>
        <w:t>known,</w:t>
      </w:r>
      <w:r>
        <w:rPr>
          <w:spacing w:val="-4"/>
        </w:rPr>
        <w:t xml:space="preserve"> </w:t>
      </w:r>
      <w:r>
        <w:t>also</w:t>
      </w:r>
      <w:r>
        <w:rPr>
          <w:spacing w:val="-6"/>
        </w:rPr>
        <w:t xml:space="preserve"> </w:t>
      </w:r>
      <w:r>
        <w:t>the</w:t>
      </w:r>
      <w:r>
        <w:rPr>
          <w:spacing w:val="-7"/>
        </w:rPr>
        <w:t xml:space="preserve"> </w:t>
      </w:r>
      <w:r>
        <w:t>date</w:t>
      </w:r>
      <w:r>
        <w:rPr>
          <w:spacing w:val="-4"/>
        </w:rPr>
        <w:t xml:space="preserve"> </w:t>
      </w:r>
      <w:r>
        <w:t>of</w:t>
      </w:r>
      <w:r>
        <w:rPr>
          <w:spacing w:val="-5"/>
        </w:rPr>
        <w:t xml:space="preserve"> </w:t>
      </w:r>
      <w:r>
        <w:t>resumption.</w:t>
      </w:r>
      <w:r>
        <w:rPr>
          <w:spacing w:val="-5"/>
        </w:rPr>
        <w:t xml:space="preserve"> </w:t>
      </w:r>
      <w:r>
        <w:t>The</w:t>
      </w:r>
      <w:r>
        <w:rPr>
          <w:spacing w:val="-6"/>
        </w:rPr>
        <w:t xml:space="preserve"> </w:t>
      </w:r>
      <w:r>
        <w:t>IPO’s</w:t>
      </w:r>
      <w:r>
        <w:rPr>
          <w:spacing w:val="-4"/>
        </w:rPr>
        <w:t xml:space="preserve"> </w:t>
      </w:r>
      <w:r>
        <w:t>right</w:t>
      </w:r>
      <w:r>
        <w:rPr>
          <w:spacing w:val="-5"/>
        </w:rPr>
        <w:t xml:space="preserve"> </w:t>
      </w:r>
      <w:r>
        <w:t>to</w:t>
      </w:r>
      <w:r>
        <w:rPr>
          <w:spacing w:val="-6"/>
        </w:rPr>
        <w:t xml:space="preserve"> </w:t>
      </w:r>
      <w:r>
        <w:t>opt</w:t>
      </w:r>
      <w:r>
        <w:rPr>
          <w:spacing w:val="-5"/>
        </w:rPr>
        <w:t xml:space="preserve"> </w:t>
      </w:r>
      <w:r>
        <w:t>out,</w:t>
      </w:r>
      <w:r>
        <w:rPr>
          <w:spacing w:val="-5"/>
        </w:rPr>
        <w:t xml:space="preserve"> </w:t>
      </w:r>
      <w:r>
        <w:t>restrict</w:t>
      </w:r>
      <w:r>
        <w:rPr>
          <w:spacing w:val="-3"/>
        </w:rPr>
        <w:t xml:space="preserve"> </w:t>
      </w:r>
      <w:r>
        <w:t>or</w:t>
      </w:r>
      <w:r>
        <w:rPr>
          <w:spacing w:val="-3"/>
        </w:rPr>
        <w:t xml:space="preserve"> </w:t>
      </w:r>
      <w:r>
        <w:t>suspend</w:t>
      </w:r>
      <w:r>
        <w:rPr>
          <w:spacing w:val="-7"/>
        </w:rPr>
        <w:t xml:space="preserve"> </w:t>
      </w:r>
      <w:r>
        <w:t>the implementation of cooperation applies without prejudice to the provisions of Article 5, 20</w:t>
      </w:r>
      <w:r>
        <w:rPr>
          <w:spacing w:val="2"/>
        </w:rPr>
        <w:t xml:space="preserve"> </w:t>
      </w:r>
      <w:r>
        <w:t>and</w:t>
      </w:r>
    </w:p>
    <w:p w14:paraId="21ED407B" w14:textId="77777777" w:rsidR="00D757DA" w:rsidRDefault="0033254E">
      <w:pPr>
        <w:pStyle w:val="Zkladntext"/>
        <w:ind w:left="120" w:right="1435"/>
        <w:jc w:val="both"/>
      </w:pPr>
      <w:r>
        <w:t>24. The suspension shall take effect from the date when the EUIPO receives the formal notification of the IPO by registered letter.</w:t>
      </w:r>
    </w:p>
    <w:p w14:paraId="25CF7678" w14:textId="77777777" w:rsidR="00D757DA" w:rsidRDefault="00D757DA">
      <w:pPr>
        <w:pStyle w:val="Zkladntext"/>
        <w:spacing w:before="11"/>
        <w:rPr>
          <w:sz w:val="21"/>
        </w:rPr>
      </w:pPr>
    </w:p>
    <w:p w14:paraId="23008D85" w14:textId="77777777" w:rsidR="00D757DA" w:rsidRDefault="0033254E">
      <w:pPr>
        <w:pStyle w:val="Odstavecseseznamem"/>
        <w:numPr>
          <w:ilvl w:val="1"/>
          <w:numId w:val="63"/>
        </w:numPr>
        <w:tabs>
          <w:tab w:val="left" w:pos="841"/>
        </w:tabs>
        <w:ind w:right="1435" w:firstLine="0"/>
        <w:jc w:val="both"/>
      </w:pPr>
      <w:r>
        <w:t>Before the entry into force of the suspension period, the Parties must agree on the costs to be reimbursed during that</w:t>
      </w:r>
      <w:r>
        <w:rPr>
          <w:spacing w:val="-4"/>
        </w:rPr>
        <w:t xml:space="preserve"> </w:t>
      </w:r>
      <w:r>
        <w:t>period.</w:t>
      </w:r>
    </w:p>
    <w:p w14:paraId="6741FC6F" w14:textId="77777777" w:rsidR="00D757DA" w:rsidRDefault="00D757DA">
      <w:pPr>
        <w:pStyle w:val="Zkladntext"/>
        <w:spacing w:before="4"/>
        <w:rPr>
          <w:sz w:val="31"/>
        </w:rPr>
      </w:pPr>
    </w:p>
    <w:p w14:paraId="697E1559" w14:textId="77777777" w:rsidR="00D757DA" w:rsidRDefault="0033254E">
      <w:pPr>
        <w:pStyle w:val="Nadpis3"/>
      </w:pPr>
      <w:bookmarkStart w:id="10" w:name="ARTICLE_3_-_FORCE_MAJEURE"/>
      <w:bookmarkEnd w:id="10"/>
      <w:r>
        <w:t>ARTICLE 3 - FORCE MAJEURE</w:t>
      </w:r>
    </w:p>
    <w:p w14:paraId="2505EE2C" w14:textId="77777777" w:rsidR="00D757DA" w:rsidRDefault="00D757DA">
      <w:pPr>
        <w:pStyle w:val="Zkladntext"/>
        <w:rPr>
          <w:b/>
          <w:sz w:val="21"/>
        </w:rPr>
      </w:pPr>
    </w:p>
    <w:p w14:paraId="6F8EC49B" w14:textId="77777777" w:rsidR="00D757DA" w:rsidRDefault="0033254E">
      <w:pPr>
        <w:pStyle w:val="Odstavecseseznamem"/>
        <w:numPr>
          <w:ilvl w:val="1"/>
          <w:numId w:val="62"/>
        </w:numPr>
        <w:tabs>
          <w:tab w:val="left" w:pos="841"/>
        </w:tabs>
        <w:ind w:right="1433" w:firstLine="0"/>
        <w:jc w:val="both"/>
      </w:pPr>
      <w:r>
        <w:t xml:space="preserve">Force majeure shall mean any unforeseeable exceptional situation or event beyond the Parties' control which prevents either of them from fulfilling any of their obligations under the Agreement, was not attributable to error or negligence on their part and proves insurmountable </w:t>
      </w:r>
      <w:proofErr w:type="gramStart"/>
      <w:r>
        <w:t>in spite of</w:t>
      </w:r>
      <w:proofErr w:type="gramEnd"/>
      <w:r>
        <w:t xml:space="preserve"> all due diligence. Defects in equipment or material or delays in making them available (unless due to force majeure), </w:t>
      </w:r>
      <w:proofErr w:type="spellStart"/>
      <w:r>
        <w:t>labour</w:t>
      </w:r>
      <w:proofErr w:type="spellEnd"/>
      <w:r>
        <w:t xml:space="preserve"> disputes, strikes or financial difficulties cannot be invoked as force majeure by the defaulting</w:t>
      </w:r>
      <w:r>
        <w:rPr>
          <w:spacing w:val="-9"/>
        </w:rPr>
        <w:t xml:space="preserve"> </w:t>
      </w:r>
      <w:r>
        <w:t>Party.</w:t>
      </w:r>
    </w:p>
    <w:p w14:paraId="5319581B" w14:textId="77777777" w:rsidR="00D757DA" w:rsidRDefault="00D757DA">
      <w:pPr>
        <w:pStyle w:val="Zkladntext"/>
        <w:spacing w:before="9"/>
        <w:rPr>
          <w:sz w:val="20"/>
        </w:rPr>
      </w:pPr>
    </w:p>
    <w:p w14:paraId="0E55EFEF" w14:textId="77777777" w:rsidR="00D757DA" w:rsidRDefault="0033254E">
      <w:pPr>
        <w:pStyle w:val="Odstavecseseznamem"/>
        <w:numPr>
          <w:ilvl w:val="1"/>
          <w:numId w:val="62"/>
        </w:numPr>
        <w:tabs>
          <w:tab w:val="left" w:pos="841"/>
        </w:tabs>
        <w:spacing w:before="1"/>
        <w:ind w:right="1433" w:firstLine="0"/>
        <w:jc w:val="both"/>
      </w:pPr>
      <w:r>
        <w:t>A Party faced with force majeure shall inform the other Party without delay by registered</w:t>
      </w:r>
      <w:r>
        <w:rPr>
          <w:spacing w:val="-15"/>
        </w:rPr>
        <w:t xml:space="preserve"> </w:t>
      </w:r>
      <w:r>
        <w:t>letter</w:t>
      </w:r>
      <w:r>
        <w:rPr>
          <w:spacing w:val="-11"/>
        </w:rPr>
        <w:t xml:space="preserve"> </w:t>
      </w:r>
      <w:r>
        <w:t>with</w:t>
      </w:r>
      <w:r>
        <w:rPr>
          <w:spacing w:val="-15"/>
        </w:rPr>
        <w:t xml:space="preserve"> </w:t>
      </w:r>
      <w:r>
        <w:t>advice</w:t>
      </w:r>
      <w:r>
        <w:rPr>
          <w:spacing w:val="-12"/>
        </w:rPr>
        <w:t xml:space="preserve"> </w:t>
      </w:r>
      <w:r>
        <w:t>of</w:t>
      </w:r>
      <w:r>
        <w:rPr>
          <w:spacing w:val="-13"/>
        </w:rPr>
        <w:t xml:space="preserve"> </w:t>
      </w:r>
      <w:r>
        <w:t>delivery</w:t>
      </w:r>
      <w:r>
        <w:rPr>
          <w:spacing w:val="-11"/>
        </w:rPr>
        <w:t xml:space="preserve"> </w:t>
      </w:r>
      <w:r>
        <w:t>or</w:t>
      </w:r>
      <w:r>
        <w:rPr>
          <w:spacing w:val="-11"/>
        </w:rPr>
        <w:t xml:space="preserve"> </w:t>
      </w:r>
      <w:r>
        <w:t>equivalent,</w:t>
      </w:r>
      <w:r>
        <w:rPr>
          <w:spacing w:val="-12"/>
        </w:rPr>
        <w:t xml:space="preserve"> </w:t>
      </w:r>
      <w:r>
        <w:t>stating</w:t>
      </w:r>
      <w:r>
        <w:rPr>
          <w:spacing w:val="-12"/>
        </w:rPr>
        <w:t xml:space="preserve"> </w:t>
      </w:r>
      <w:r>
        <w:t>the</w:t>
      </w:r>
      <w:r>
        <w:rPr>
          <w:spacing w:val="-15"/>
        </w:rPr>
        <w:t xml:space="preserve"> </w:t>
      </w:r>
      <w:r>
        <w:t>nature,</w:t>
      </w:r>
      <w:r>
        <w:rPr>
          <w:spacing w:val="-13"/>
        </w:rPr>
        <w:t xml:space="preserve"> </w:t>
      </w:r>
      <w:r>
        <w:t>probable</w:t>
      </w:r>
      <w:r>
        <w:rPr>
          <w:spacing w:val="-12"/>
        </w:rPr>
        <w:t xml:space="preserve"> </w:t>
      </w:r>
      <w:r>
        <w:t>duration</w:t>
      </w:r>
      <w:r>
        <w:rPr>
          <w:spacing w:val="-12"/>
        </w:rPr>
        <w:t xml:space="preserve"> </w:t>
      </w:r>
      <w:r>
        <w:t>and foreseeable</w:t>
      </w:r>
      <w:r>
        <w:rPr>
          <w:spacing w:val="-1"/>
        </w:rPr>
        <w:t xml:space="preserve"> </w:t>
      </w:r>
      <w:r>
        <w:t>effects.</w:t>
      </w:r>
    </w:p>
    <w:p w14:paraId="11E25B6D" w14:textId="77777777" w:rsidR="00D757DA" w:rsidRDefault="00D757DA">
      <w:pPr>
        <w:pStyle w:val="Zkladntext"/>
        <w:spacing w:before="9"/>
        <w:rPr>
          <w:sz w:val="20"/>
        </w:rPr>
      </w:pPr>
    </w:p>
    <w:p w14:paraId="33DA0F88" w14:textId="77777777" w:rsidR="00D757DA" w:rsidRDefault="0033254E">
      <w:pPr>
        <w:pStyle w:val="Odstavecseseznamem"/>
        <w:numPr>
          <w:ilvl w:val="1"/>
          <w:numId w:val="62"/>
        </w:numPr>
        <w:tabs>
          <w:tab w:val="left" w:pos="841"/>
        </w:tabs>
        <w:ind w:right="1436" w:firstLine="0"/>
        <w:jc w:val="both"/>
      </w:pPr>
      <w:r>
        <w:t>Neither of the Parties shall be held in breach of their obligations under the Agreement if</w:t>
      </w:r>
      <w:r>
        <w:rPr>
          <w:spacing w:val="-6"/>
        </w:rPr>
        <w:t xml:space="preserve"> </w:t>
      </w:r>
      <w:r>
        <w:t>they</w:t>
      </w:r>
      <w:r>
        <w:rPr>
          <w:spacing w:val="-7"/>
        </w:rPr>
        <w:t xml:space="preserve"> </w:t>
      </w:r>
      <w:r>
        <w:t>are</w:t>
      </w:r>
      <w:r>
        <w:rPr>
          <w:spacing w:val="-7"/>
        </w:rPr>
        <w:t xml:space="preserve"> </w:t>
      </w:r>
      <w:r>
        <w:t>prevented</w:t>
      </w:r>
      <w:r>
        <w:rPr>
          <w:spacing w:val="-10"/>
        </w:rPr>
        <w:t xml:space="preserve"> </w:t>
      </w:r>
      <w:r>
        <w:t>from</w:t>
      </w:r>
      <w:r>
        <w:rPr>
          <w:spacing w:val="-5"/>
        </w:rPr>
        <w:t xml:space="preserve"> </w:t>
      </w:r>
      <w:r>
        <w:t>fulfilling</w:t>
      </w:r>
      <w:r>
        <w:rPr>
          <w:spacing w:val="-5"/>
        </w:rPr>
        <w:t xml:space="preserve"> </w:t>
      </w:r>
      <w:r>
        <w:t>them</w:t>
      </w:r>
      <w:r>
        <w:rPr>
          <w:spacing w:val="-6"/>
        </w:rPr>
        <w:t xml:space="preserve"> </w:t>
      </w:r>
      <w:r>
        <w:t>by</w:t>
      </w:r>
      <w:r>
        <w:rPr>
          <w:spacing w:val="-7"/>
        </w:rPr>
        <w:t xml:space="preserve"> </w:t>
      </w:r>
      <w:r>
        <w:t>force</w:t>
      </w:r>
      <w:r>
        <w:rPr>
          <w:spacing w:val="-7"/>
        </w:rPr>
        <w:t xml:space="preserve"> </w:t>
      </w:r>
      <w:r>
        <w:t>majeure.</w:t>
      </w:r>
      <w:r>
        <w:rPr>
          <w:spacing w:val="-6"/>
        </w:rPr>
        <w:t xml:space="preserve"> </w:t>
      </w:r>
      <w:r>
        <w:t>The</w:t>
      </w:r>
      <w:r>
        <w:rPr>
          <w:spacing w:val="-6"/>
        </w:rPr>
        <w:t xml:space="preserve"> </w:t>
      </w:r>
      <w:r>
        <w:t>Parties</w:t>
      </w:r>
      <w:r>
        <w:rPr>
          <w:spacing w:val="-7"/>
        </w:rPr>
        <w:t xml:space="preserve"> </w:t>
      </w:r>
      <w:r>
        <w:t>shall</w:t>
      </w:r>
      <w:r>
        <w:rPr>
          <w:spacing w:val="-6"/>
        </w:rPr>
        <w:t xml:space="preserve"> </w:t>
      </w:r>
      <w:r>
        <w:t>make</w:t>
      </w:r>
      <w:r>
        <w:rPr>
          <w:spacing w:val="-8"/>
        </w:rPr>
        <w:t xml:space="preserve"> </w:t>
      </w:r>
      <w:r>
        <w:t>every</w:t>
      </w:r>
      <w:r>
        <w:rPr>
          <w:spacing w:val="-5"/>
        </w:rPr>
        <w:t xml:space="preserve"> </w:t>
      </w:r>
      <w:r>
        <w:t>effort to minimize any damage due to force</w:t>
      </w:r>
      <w:r>
        <w:rPr>
          <w:spacing w:val="-13"/>
        </w:rPr>
        <w:t xml:space="preserve"> </w:t>
      </w:r>
      <w:r>
        <w:t>majeure.</w:t>
      </w:r>
    </w:p>
    <w:p w14:paraId="4F92B151" w14:textId="77777777" w:rsidR="00D757DA" w:rsidRDefault="00D757DA">
      <w:pPr>
        <w:jc w:val="both"/>
        <w:sectPr w:rsidR="00D757DA">
          <w:pgSz w:w="11910" w:h="16840"/>
          <w:pgMar w:top="1360" w:right="0" w:bottom="1160" w:left="1320" w:header="0" w:footer="881" w:gutter="0"/>
          <w:cols w:space="708"/>
        </w:sectPr>
      </w:pPr>
    </w:p>
    <w:p w14:paraId="49A95342" w14:textId="77777777" w:rsidR="00D757DA" w:rsidRDefault="0033254E">
      <w:pPr>
        <w:pStyle w:val="Nadpis3"/>
        <w:spacing w:before="64"/>
        <w:jc w:val="both"/>
      </w:pPr>
      <w:bookmarkStart w:id="11" w:name="ARTICLE_4_-_TERMINATION_OF_THE_AGREEMENT"/>
      <w:bookmarkEnd w:id="11"/>
      <w:r>
        <w:lastRenderedPageBreak/>
        <w:t>ARTICLE 4 - TERMINATION OF THE AGREEMENT</w:t>
      </w:r>
    </w:p>
    <w:p w14:paraId="7FEBD4DA" w14:textId="77777777" w:rsidR="00D757DA" w:rsidRDefault="00D757DA">
      <w:pPr>
        <w:pStyle w:val="Zkladntext"/>
        <w:spacing w:before="7"/>
        <w:rPr>
          <w:b/>
          <w:sz w:val="20"/>
        </w:rPr>
      </w:pPr>
    </w:p>
    <w:p w14:paraId="1551B326" w14:textId="77777777" w:rsidR="00D757DA" w:rsidRDefault="0033254E">
      <w:pPr>
        <w:ind w:left="120"/>
        <w:jc w:val="both"/>
        <w:rPr>
          <w:i/>
        </w:rPr>
      </w:pPr>
      <w:r>
        <w:rPr>
          <w:i/>
        </w:rPr>
        <w:t>Termination by the IPO</w:t>
      </w:r>
    </w:p>
    <w:p w14:paraId="7A526755" w14:textId="77777777" w:rsidR="00D757DA" w:rsidRDefault="00D757DA">
      <w:pPr>
        <w:pStyle w:val="Zkladntext"/>
        <w:rPr>
          <w:i/>
          <w:sz w:val="21"/>
        </w:rPr>
      </w:pPr>
    </w:p>
    <w:p w14:paraId="4653205D" w14:textId="77777777" w:rsidR="00D757DA" w:rsidRDefault="0033254E">
      <w:pPr>
        <w:pStyle w:val="Odstavecseseznamem"/>
        <w:numPr>
          <w:ilvl w:val="1"/>
          <w:numId w:val="61"/>
        </w:numPr>
        <w:tabs>
          <w:tab w:val="left" w:pos="841"/>
        </w:tabs>
        <w:ind w:right="1439" w:firstLine="0"/>
        <w:jc w:val="both"/>
      </w:pPr>
      <w:r>
        <w:t>The IPO may terminate the Agreement without any indemnity on its part at any time by</w:t>
      </w:r>
      <w:r>
        <w:rPr>
          <w:spacing w:val="-18"/>
        </w:rPr>
        <w:t xml:space="preserve"> </w:t>
      </w:r>
      <w:r>
        <w:t>giving</w:t>
      </w:r>
      <w:r>
        <w:rPr>
          <w:spacing w:val="-17"/>
        </w:rPr>
        <w:t xml:space="preserve"> </w:t>
      </w:r>
      <w:r>
        <w:t>60</w:t>
      </w:r>
      <w:r>
        <w:rPr>
          <w:spacing w:val="-17"/>
        </w:rPr>
        <w:t xml:space="preserve"> </w:t>
      </w:r>
      <w:r>
        <w:t>calendar</w:t>
      </w:r>
      <w:r>
        <w:rPr>
          <w:spacing w:val="-17"/>
        </w:rPr>
        <w:t xml:space="preserve"> </w:t>
      </w:r>
      <w:r>
        <w:t>days’</w:t>
      </w:r>
      <w:r>
        <w:rPr>
          <w:spacing w:val="-18"/>
        </w:rPr>
        <w:t xml:space="preserve"> </w:t>
      </w:r>
      <w:r>
        <w:t>notice</w:t>
      </w:r>
      <w:r>
        <w:rPr>
          <w:spacing w:val="-17"/>
        </w:rPr>
        <w:t xml:space="preserve"> </w:t>
      </w:r>
      <w:r>
        <w:t>and</w:t>
      </w:r>
      <w:r>
        <w:rPr>
          <w:spacing w:val="-17"/>
        </w:rPr>
        <w:t xml:space="preserve"> </w:t>
      </w:r>
      <w:r>
        <w:t>providing</w:t>
      </w:r>
      <w:r>
        <w:rPr>
          <w:spacing w:val="-18"/>
        </w:rPr>
        <w:t xml:space="preserve"> </w:t>
      </w:r>
      <w:r>
        <w:t>the</w:t>
      </w:r>
      <w:r>
        <w:rPr>
          <w:spacing w:val="-17"/>
        </w:rPr>
        <w:t xml:space="preserve"> </w:t>
      </w:r>
      <w:r>
        <w:t>EUIPO</w:t>
      </w:r>
      <w:r>
        <w:rPr>
          <w:spacing w:val="-16"/>
        </w:rPr>
        <w:t xml:space="preserve"> </w:t>
      </w:r>
      <w:r>
        <w:t>with</w:t>
      </w:r>
      <w:r>
        <w:rPr>
          <w:spacing w:val="-20"/>
        </w:rPr>
        <w:t xml:space="preserve"> </w:t>
      </w:r>
      <w:r>
        <w:t>a</w:t>
      </w:r>
      <w:r>
        <w:rPr>
          <w:spacing w:val="-18"/>
        </w:rPr>
        <w:t xml:space="preserve"> </w:t>
      </w:r>
      <w:r>
        <w:t>written</w:t>
      </w:r>
      <w:r>
        <w:rPr>
          <w:spacing w:val="-20"/>
        </w:rPr>
        <w:t xml:space="preserve"> </w:t>
      </w:r>
      <w:r>
        <w:t>statement</w:t>
      </w:r>
      <w:r>
        <w:rPr>
          <w:spacing w:val="-16"/>
        </w:rPr>
        <w:t xml:space="preserve"> </w:t>
      </w:r>
      <w:r>
        <w:t>explaining the</w:t>
      </w:r>
      <w:r>
        <w:rPr>
          <w:spacing w:val="-2"/>
        </w:rPr>
        <w:t xml:space="preserve"> </w:t>
      </w:r>
      <w:r>
        <w:t>reasons.</w:t>
      </w:r>
    </w:p>
    <w:p w14:paraId="7E0D6C9E" w14:textId="77777777" w:rsidR="00D757DA" w:rsidRDefault="00D757DA">
      <w:pPr>
        <w:pStyle w:val="Zkladntext"/>
        <w:spacing w:before="9"/>
        <w:rPr>
          <w:sz w:val="20"/>
        </w:rPr>
      </w:pPr>
    </w:p>
    <w:p w14:paraId="640CEB9F" w14:textId="77777777" w:rsidR="00D757DA" w:rsidRDefault="0033254E">
      <w:pPr>
        <w:pStyle w:val="Odstavecseseznamem"/>
        <w:numPr>
          <w:ilvl w:val="1"/>
          <w:numId w:val="61"/>
        </w:numPr>
        <w:tabs>
          <w:tab w:val="left" w:pos="841"/>
        </w:tabs>
        <w:ind w:right="1435" w:firstLine="0"/>
        <w:jc w:val="both"/>
      </w:pPr>
      <w:r>
        <w:t>If</w:t>
      </w:r>
      <w:r>
        <w:rPr>
          <w:spacing w:val="-6"/>
        </w:rPr>
        <w:t xml:space="preserve"> </w:t>
      </w:r>
      <w:r>
        <w:t>no</w:t>
      </w:r>
      <w:r>
        <w:rPr>
          <w:spacing w:val="-4"/>
        </w:rPr>
        <w:t xml:space="preserve"> </w:t>
      </w:r>
      <w:r>
        <w:t>written</w:t>
      </w:r>
      <w:r>
        <w:rPr>
          <w:spacing w:val="-8"/>
        </w:rPr>
        <w:t xml:space="preserve"> </w:t>
      </w:r>
      <w:r>
        <w:t>statement</w:t>
      </w:r>
      <w:r>
        <w:rPr>
          <w:spacing w:val="-5"/>
        </w:rPr>
        <w:t xml:space="preserve"> </w:t>
      </w:r>
      <w:r>
        <w:t>explaining</w:t>
      </w:r>
      <w:r>
        <w:rPr>
          <w:spacing w:val="-4"/>
        </w:rPr>
        <w:t xml:space="preserve"> </w:t>
      </w:r>
      <w:r>
        <w:t>the</w:t>
      </w:r>
      <w:r>
        <w:rPr>
          <w:spacing w:val="-5"/>
        </w:rPr>
        <w:t xml:space="preserve"> </w:t>
      </w:r>
      <w:r>
        <w:t>reasons</w:t>
      </w:r>
      <w:r>
        <w:rPr>
          <w:spacing w:val="-4"/>
        </w:rPr>
        <w:t xml:space="preserve"> </w:t>
      </w:r>
      <w:r>
        <w:t>is</w:t>
      </w:r>
      <w:r>
        <w:rPr>
          <w:spacing w:val="-5"/>
        </w:rPr>
        <w:t xml:space="preserve"> </w:t>
      </w:r>
      <w:r>
        <w:t>provided,</w:t>
      </w:r>
      <w:r>
        <w:rPr>
          <w:spacing w:val="-3"/>
        </w:rPr>
        <w:t xml:space="preserve"> </w:t>
      </w:r>
      <w:r>
        <w:t>the</w:t>
      </w:r>
      <w:r>
        <w:rPr>
          <w:spacing w:val="-7"/>
        </w:rPr>
        <w:t xml:space="preserve"> </w:t>
      </w:r>
      <w:r>
        <w:t>IPO</w:t>
      </w:r>
      <w:r>
        <w:rPr>
          <w:spacing w:val="-5"/>
        </w:rPr>
        <w:t xml:space="preserve"> </w:t>
      </w:r>
      <w:r>
        <w:t>shall</w:t>
      </w:r>
      <w:r>
        <w:rPr>
          <w:spacing w:val="-5"/>
        </w:rPr>
        <w:t xml:space="preserve"> </w:t>
      </w:r>
      <w:r>
        <w:t>be</w:t>
      </w:r>
      <w:r>
        <w:rPr>
          <w:spacing w:val="-8"/>
        </w:rPr>
        <w:t xml:space="preserve"> </w:t>
      </w:r>
      <w:r>
        <w:t>deemed</w:t>
      </w:r>
      <w:r>
        <w:rPr>
          <w:spacing w:val="-6"/>
        </w:rPr>
        <w:t xml:space="preserve"> </w:t>
      </w:r>
      <w:r>
        <w:t>to have terminated this Agreement improperly, and the consequences set out in the third subparagraph of Article 4.4 may</w:t>
      </w:r>
      <w:r>
        <w:rPr>
          <w:spacing w:val="-7"/>
        </w:rPr>
        <w:t xml:space="preserve"> </w:t>
      </w:r>
      <w:r>
        <w:t>apply.</w:t>
      </w:r>
    </w:p>
    <w:p w14:paraId="5EB82746" w14:textId="77777777" w:rsidR="00D757DA" w:rsidRDefault="00D757DA">
      <w:pPr>
        <w:pStyle w:val="Zkladntext"/>
        <w:spacing w:before="10"/>
        <w:rPr>
          <w:sz w:val="20"/>
        </w:rPr>
      </w:pPr>
    </w:p>
    <w:p w14:paraId="59C79393" w14:textId="77777777" w:rsidR="00D757DA" w:rsidRDefault="0033254E">
      <w:pPr>
        <w:pStyle w:val="Odstavecseseznamem"/>
        <w:numPr>
          <w:ilvl w:val="1"/>
          <w:numId w:val="61"/>
        </w:numPr>
        <w:tabs>
          <w:tab w:val="left" w:pos="841"/>
        </w:tabs>
        <w:ind w:right="1440" w:firstLine="0"/>
        <w:jc w:val="both"/>
      </w:pPr>
      <w:r>
        <w:t>The procedure of termination is initiated by registered letter with advice of delivery or via the online tool provided by the</w:t>
      </w:r>
      <w:r>
        <w:rPr>
          <w:spacing w:val="-5"/>
        </w:rPr>
        <w:t xml:space="preserve"> </w:t>
      </w:r>
      <w:r>
        <w:t>EUIPO.</w:t>
      </w:r>
    </w:p>
    <w:p w14:paraId="587564DD" w14:textId="77777777" w:rsidR="00D757DA" w:rsidRDefault="00D757DA">
      <w:pPr>
        <w:pStyle w:val="Zkladntext"/>
        <w:spacing w:before="11"/>
        <w:rPr>
          <w:sz w:val="20"/>
        </w:rPr>
      </w:pPr>
    </w:p>
    <w:p w14:paraId="2AAB52CB" w14:textId="77777777" w:rsidR="00D757DA" w:rsidRDefault="0033254E">
      <w:pPr>
        <w:pStyle w:val="Odstavecseseznamem"/>
        <w:numPr>
          <w:ilvl w:val="1"/>
          <w:numId w:val="61"/>
        </w:numPr>
        <w:tabs>
          <w:tab w:val="left" w:pos="841"/>
        </w:tabs>
        <w:ind w:right="1433" w:firstLine="0"/>
        <w:jc w:val="both"/>
      </w:pPr>
      <w:r>
        <w:t>In</w:t>
      </w:r>
      <w:r>
        <w:rPr>
          <w:spacing w:val="-10"/>
        </w:rPr>
        <w:t xml:space="preserve"> </w:t>
      </w:r>
      <w:r>
        <w:t>the</w:t>
      </w:r>
      <w:r>
        <w:rPr>
          <w:spacing w:val="-9"/>
        </w:rPr>
        <w:t xml:space="preserve"> </w:t>
      </w:r>
      <w:r>
        <w:t>event</w:t>
      </w:r>
      <w:r>
        <w:rPr>
          <w:spacing w:val="-5"/>
        </w:rPr>
        <w:t xml:space="preserve"> </w:t>
      </w:r>
      <w:r>
        <w:t>of</w:t>
      </w:r>
      <w:r>
        <w:rPr>
          <w:spacing w:val="-7"/>
        </w:rPr>
        <w:t xml:space="preserve"> </w:t>
      </w:r>
      <w:r>
        <w:t>termination</w:t>
      </w:r>
      <w:r>
        <w:rPr>
          <w:spacing w:val="-7"/>
        </w:rPr>
        <w:t xml:space="preserve"> </w:t>
      </w:r>
      <w:r>
        <w:t>of</w:t>
      </w:r>
      <w:r>
        <w:rPr>
          <w:spacing w:val="-10"/>
        </w:rPr>
        <w:t xml:space="preserve"> </w:t>
      </w:r>
      <w:r>
        <w:t>the</w:t>
      </w:r>
      <w:r>
        <w:rPr>
          <w:spacing w:val="-9"/>
        </w:rPr>
        <w:t xml:space="preserve"> </w:t>
      </w:r>
      <w:r>
        <w:t>Agreement</w:t>
      </w:r>
      <w:r>
        <w:rPr>
          <w:spacing w:val="-7"/>
        </w:rPr>
        <w:t xml:space="preserve"> </w:t>
      </w:r>
      <w:r>
        <w:t>by</w:t>
      </w:r>
      <w:r>
        <w:rPr>
          <w:spacing w:val="-11"/>
        </w:rPr>
        <w:t xml:space="preserve"> </w:t>
      </w:r>
      <w:r>
        <w:t>the</w:t>
      </w:r>
      <w:r>
        <w:rPr>
          <w:spacing w:val="-7"/>
        </w:rPr>
        <w:t xml:space="preserve"> </w:t>
      </w:r>
      <w:r>
        <w:t>IPO,</w:t>
      </w:r>
      <w:r>
        <w:rPr>
          <w:spacing w:val="-7"/>
        </w:rPr>
        <w:t xml:space="preserve"> </w:t>
      </w:r>
      <w:r>
        <w:t>payments</w:t>
      </w:r>
      <w:r>
        <w:rPr>
          <w:spacing w:val="-8"/>
        </w:rPr>
        <w:t xml:space="preserve"> </w:t>
      </w:r>
      <w:r>
        <w:t>by</w:t>
      </w:r>
      <w:r>
        <w:rPr>
          <w:spacing w:val="-9"/>
        </w:rPr>
        <w:t xml:space="preserve"> </w:t>
      </w:r>
      <w:r>
        <w:t>the</w:t>
      </w:r>
      <w:r>
        <w:rPr>
          <w:spacing w:val="-12"/>
        </w:rPr>
        <w:t xml:space="preserve"> </w:t>
      </w:r>
      <w:r>
        <w:t>EUIPO</w:t>
      </w:r>
      <w:r>
        <w:rPr>
          <w:spacing w:val="-7"/>
        </w:rPr>
        <w:t xml:space="preserve"> </w:t>
      </w:r>
      <w:r>
        <w:t>shall be</w:t>
      </w:r>
      <w:r>
        <w:rPr>
          <w:spacing w:val="-14"/>
        </w:rPr>
        <w:t xml:space="preserve"> </w:t>
      </w:r>
      <w:r>
        <w:t>limited</w:t>
      </w:r>
      <w:r>
        <w:rPr>
          <w:spacing w:val="-13"/>
        </w:rPr>
        <w:t xml:space="preserve"> </w:t>
      </w:r>
      <w:r>
        <w:t>to</w:t>
      </w:r>
      <w:r>
        <w:rPr>
          <w:spacing w:val="-12"/>
        </w:rPr>
        <w:t xml:space="preserve"> </w:t>
      </w:r>
      <w:r>
        <w:t>the</w:t>
      </w:r>
      <w:r>
        <w:rPr>
          <w:spacing w:val="-15"/>
        </w:rPr>
        <w:t xml:space="preserve"> </w:t>
      </w:r>
      <w:r>
        <w:t>proportion</w:t>
      </w:r>
      <w:r>
        <w:rPr>
          <w:spacing w:val="-12"/>
        </w:rPr>
        <w:t xml:space="preserve"> </w:t>
      </w:r>
      <w:r>
        <w:t>of</w:t>
      </w:r>
      <w:r>
        <w:rPr>
          <w:spacing w:val="-13"/>
        </w:rPr>
        <w:t xml:space="preserve"> </w:t>
      </w:r>
      <w:r>
        <w:t>the</w:t>
      </w:r>
      <w:r>
        <w:rPr>
          <w:spacing w:val="-13"/>
        </w:rPr>
        <w:t xml:space="preserve"> </w:t>
      </w:r>
      <w:r>
        <w:t>lump</w:t>
      </w:r>
      <w:r>
        <w:rPr>
          <w:spacing w:val="-12"/>
        </w:rPr>
        <w:t xml:space="preserve"> </w:t>
      </w:r>
      <w:r>
        <w:t>sum</w:t>
      </w:r>
      <w:r>
        <w:rPr>
          <w:spacing w:val="-11"/>
        </w:rPr>
        <w:t xml:space="preserve"> </w:t>
      </w:r>
      <w:r>
        <w:t>(Promotional</w:t>
      </w:r>
      <w:r>
        <w:rPr>
          <w:spacing w:val="-13"/>
        </w:rPr>
        <w:t xml:space="preserve"> </w:t>
      </w:r>
      <w:r>
        <w:t>activities</w:t>
      </w:r>
      <w:r>
        <w:rPr>
          <w:spacing w:val="-12"/>
        </w:rPr>
        <w:t xml:space="preserve"> </w:t>
      </w:r>
      <w:r>
        <w:t>and</w:t>
      </w:r>
      <w:r>
        <w:rPr>
          <w:spacing w:val="-15"/>
        </w:rPr>
        <w:t xml:space="preserve"> </w:t>
      </w:r>
      <w:r>
        <w:t>European</w:t>
      </w:r>
      <w:r>
        <w:rPr>
          <w:spacing w:val="-12"/>
        </w:rPr>
        <w:t xml:space="preserve"> </w:t>
      </w:r>
      <w:r>
        <w:t>Cooperation Activities) or financing not linked to costs (</w:t>
      </w:r>
      <w:proofErr w:type="spellStart"/>
      <w:r>
        <w:t>TMview</w:t>
      </w:r>
      <w:proofErr w:type="spellEnd"/>
      <w:r>
        <w:t xml:space="preserve"> and </w:t>
      </w:r>
      <w:proofErr w:type="spellStart"/>
      <w:r>
        <w:t>DSview</w:t>
      </w:r>
      <w:proofErr w:type="spellEnd"/>
      <w:r>
        <w:t>) corresponding to the results attained (</w:t>
      </w:r>
      <w:proofErr w:type="spellStart"/>
      <w:r>
        <w:t>TMview</w:t>
      </w:r>
      <w:proofErr w:type="spellEnd"/>
      <w:r>
        <w:t xml:space="preserve"> and </w:t>
      </w:r>
      <w:proofErr w:type="spellStart"/>
      <w:r>
        <w:t>DSview</w:t>
      </w:r>
      <w:proofErr w:type="spellEnd"/>
      <w:r>
        <w:t>) or milestones achieved (Promotional activities and European Cooperation</w:t>
      </w:r>
      <w:r>
        <w:rPr>
          <w:spacing w:val="-15"/>
        </w:rPr>
        <w:t xml:space="preserve"> </w:t>
      </w:r>
      <w:r>
        <w:t>Activities)</w:t>
      </w:r>
      <w:r>
        <w:rPr>
          <w:spacing w:val="36"/>
        </w:rPr>
        <w:t xml:space="preserve"> </w:t>
      </w:r>
      <w:r>
        <w:t>before</w:t>
      </w:r>
      <w:r>
        <w:rPr>
          <w:spacing w:val="-16"/>
        </w:rPr>
        <w:t xml:space="preserve"> </w:t>
      </w:r>
      <w:r>
        <w:t>the</w:t>
      </w:r>
      <w:r>
        <w:rPr>
          <w:spacing w:val="-14"/>
        </w:rPr>
        <w:t xml:space="preserve"> </w:t>
      </w:r>
      <w:r>
        <w:t>date</w:t>
      </w:r>
      <w:r>
        <w:rPr>
          <w:spacing w:val="-15"/>
        </w:rPr>
        <w:t xml:space="preserve"> </w:t>
      </w:r>
      <w:r>
        <w:t>when</w:t>
      </w:r>
      <w:r>
        <w:rPr>
          <w:spacing w:val="-16"/>
        </w:rPr>
        <w:t xml:space="preserve"> </w:t>
      </w:r>
      <w:r>
        <w:t>the</w:t>
      </w:r>
      <w:r>
        <w:rPr>
          <w:spacing w:val="-14"/>
        </w:rPr>
        <w:t xml:space="preserve"> </w:t>
      </w:r>
      <w:r>
        <w:t>termination</w:t>
      </w:r>
      <w:r>
        <w:rPr>
          <w:spacing w:val="-16"/>
        </w:rPr>
        <w:t xml:space="preserve"> </w:t>
      </w:r>
      <w:r>
        <w:t>takes</w:t>
      </w:r>
      <w:r>
        <w:rPr>
          <w:spacing w:val="-14"/>
        </w:rPr>
        <w:t xml:space="preserve"> </w:t>
      </w:r>
      <w:r>
        <w:t>effect.</w:t>
      </w:r>
      <w:r>
        <w:rPr>
          <w:spacing w:val="-12"/>
        </w:rPr>
        <w:t xml:space="preserve"> </w:t>
      </w:r>
      <w:r>
        <w:t>In</w:t>
      </w:r>
      <w:r>
        <w:rPr>
          <w:spacing w:val="-15"/>
        </w:rPr>
        <w:t xml:space="preserve"> </w:t>
      </w:r>
      <w:r>
        <w:t>case</w:t>
      </w:r>
      <w:r>
        <w:rPr>
          <w:spacing w:val="-14"/>
        </w:rPr>
        <w:t xml:space="preserve"> </w:t>
      </w:r>
      <w:r>
        <w:t>of</w:t>
      </w:r>
      <w:r>
        <w:rPr>
          <w:spacing w:val="-15"/>
        </w:rPr>
        <w:t xml:space="preserve"> </w:t>
      </w:r>
      <w:r>
        <w:t>European Cooperation Projects implementations referred to by Article 1, item 2.1.a) of the Special Conditions, Article 27 Specific Provisions will</w:t>
      </w:r>
      <w:r>
        <w:rPr>
          <w:spacing w:val="3"/>
        </w:rPr>
        <w:t xml:space="preserve"> </w:t>
      </w:r>
      <w:r>
        <w:t>apply.</w:t>
      </w:r>
    </w:p>
    <w:p w14:paraId="09940DCA" w14:textId="77777777" w:rsidR="00D757DA" w:rsidRDefault="00D757DA">
      <w:pPr>
        <w:pStyle w:val="Zkladntext"/>
        <w:spacing w:before="10"/>
        <w:rPr>
          <w:sz w:val="20"/>
        </w:rPr>
      </w:pPr>
    </w:p>
    <w:p w14:paraId="0FE1C245" w14:textId="77777777" w:rsidR="00D757DA" w:rsidRDefault="0033254E">
      <w:pPr>
        <w:pStyle w:val="Zkladntext"/>
        <w:ind w:left="120" w:right="1433"/>
        <w:jc w:val="both"/>
      </w:pPr>
      <w:r>
        <w:t>The IPO shall have 60 calendar days from the date when termination takes effect, as notified by the EUIPO, to submit to the EUIPO a request for final payment. If no request for final payment is received within this time limit, the EUIPO shall not make any payment, and when applicable,</w:t>
      </w:r>
      <w:r>
        <w:rPr>
          <w:spacing w:val="-6"/>
        </w:rPr>
        <w:t xml:space="preserve"> </w:t>
      </w:r>
      <w:r>
        <w:t>recover</w:t>
      </w:r>
      <w:r>
        <w:rPr>
          <w:spacing w:val="-8"/>
        </w:rPr>
        <w:t xml:space="preserve"> </w:t>
      </w:r>
      <w:r>
        <w:t>undue</w:t>
      </w:r>
      <w:r>
        <w:rPr>
          <w:spacing w:val="-6"/>
        </w:rPr>
        <w:t xml:space="preserve"> </w:t>
      </w:r>
      <w:r>
        <w:t>amounts</w:t>
      </w:r>
      <w:r>
        <w:rPr>
          <w:spacing w:val="-6"/>
        </w:rPr>
        <w:t xml:space="preserve"> </w:t>
      </w:r>
      <w:r>
        <w:t>paid</w:t>
      </w:r>
      <w:r>
        <w:rPr>
          <w:spacing w:val="-6"/>
        </w:rPr>
        <w:t xml:space="preserve"> </w:t>
      </w:r>
      <w:r>
        <w:t>where</w:t>
      </w:r>
      <w:r>
        <w:rPr>
          <w:spacing w:val="-9"/>
        </w:rPr>
        <w:t xml:space="preserve"> </w:t>
      </w:r>
      <w:r>
        <w:t>the</w:t>
      </w:r>
      <w:r>
        <w:rPr>
          <w:spacing w:val="-6"/>
        </w:rPr>
        <w:t xml:space="preserve"> </w:t>
      </w:r>
      <w:r>
        <w:t>relevant</w:t>
      </w:r>
      <w:r>
        <w:rPr>
          <w:spacing w:val="-7"/>
        </w:rPr>
        <w:t xml:space="preserve"> </w:t>
      </w:r>
      <w:r>
        <w:t>results/milestones</w:t>
      </w:r>
      <w:r>
        <w:rPr>
          <w:spacing w:val="-6"/>
        </w:rPr>
        <w:t xml:space="preserve"> </w:t>
      </w:r>
      <w:r>
        <w:t>have</w:t>
      </w:r>
      <w:r>
        <w:rPr>
          <w:spacing w:val="-6"/>
        </w:rPr>
        <w:t xml:space="preserve"> </w:t>
      </w:r>
      <w:r>
        <w:t>not</w:t>
      </w:r>
      <w:r>
        <w:rPr>
          <w:spacing w:val="-6"/>
        </w:rPr>
        <w:t xml:space="preserve"> </w:t>
      </w:r>
      <w:r>
        <w:t>been delivered or achieved or if they have not been substantiated by the Execution Reports approved by the</w:t>
      </w:r>
      <w:r>
        <w:rPr>
          <w:spacing w:val="-3"/>
        </w:rPr>
        <w:t xml:space="preserve"> </w:t>
      </w:r>
      <w:r>
        <w:t>EUIPO.</w:t>
      </w:r>
    </w:p>
    <w:p w14:paraId="62E69A45" w14:textId="77777777" w:rsidR="00D757DA" w:rsidRDefault="00D757DA">
      <w:pPr>
        <w:pStyle w:val="Zkladntext"/>
        <w:spacing w:before="9"/>
        <w:rPr>
          <w:sz w:val="20"/>
        </w:rPr>
      </w:pPr>
    </w:p>
    <w:p w14:paraId="43B934AA" w14:textId="77777777" w:rsidR="00D757DA" w:rsidRDefault="0033254E">
      <w:pPr>
        <w:pStyle w:val="Zkladntext"/>
        <w:ind w:left="120" w:right="1435"/>
        <w:jc w:val="both"/>
      </w:pPr>
      <w:r>
        <w:t xml:space="preserve">In the event of improper implementation by the IPO, the EUIPO has the right to require the partial or total repayment of sums already paid under the Agreement </w:t>
      </w:r>
      <w:proofErr w:type="gramStart"/>
      <w:r>
        <w:t>on the basis of</w:t>
      </w:r>
      <w:proofErr w:type="gramEnd"/>
      <w:r>
        <w:t xml:space="preserve"> the Execution</w:t>
      </w:r>
      <w:r>
        <w:rPr>
          <w:spacing w:val="-15"/>
        </w:rPr>
        <w:t xml:space="preserve"> </w:t>
      </w:r>
      <w:r>
        <w:t>Report</w:t>
      </w:r>
      <w:r>
        <w:rPr>
          <w:spacing w:val="-16"/>
        </w:rPr>
        <w:t xml:space="preserve"> </w:t>
      </w:r>
      <w:r>
        <w:t>approved</w:t>
      </w:r>
      <w:r>
        <w:rPr>
          <w:spacing w:val="-14"/>
        </w:rPr>
        <w:t xml:space="preserve"> </w:t>
      </w:r>
      <w:r>
        <w:t>by</w:t>
      </w:r>
      <w:r>
        <w:rPr>
          <w:spacing w:val="-19"/>
        </w:rPr>
        <w:t xml:space="preserve"> </w:t>
      </w:r>
      <w:r>
        <w:t>the</w:t>
      </w:r>
      <w:r>
        <w:rPr>
          <w:spacing w:val="-17"/>
        </w:rPr>
        <w:t xml:space="preserve"> </w:t>
      </w:r>
      <w:r>
        <w:t>EUIPO,</w:t>
      </w:r>
      <w:r>
        <w:rPr>
          <w:spacing w:val="-15"/>
        </w:rPr>
        <w:t xml:space="preserve"> </w:t>
      </w:r>
      <w:r>
        <w:t>in</w:t>
      </w:r>
      <w:r>
        <w:rPr>
          <w:spacing w:val="-15"/>
        </w:rPr>
        <w:t xml:space="preserve"> </w:t>
      </w:r>
      <w:r>
        <w:t>proportion</w:t>
      </w:r>
      <w:r>
        <w:rPr>
          <w:spacing w:val="-16"/>
        </w:rPr>
        <w:t xml:space="preserve"> </w:t>
      </w:r>
      <w:r>
        <w:t>to</w:t>
      </w:r>
      <w:r>
        <w:rPr>
          <w:spacing w:val="-19"/>
        </w:rPr>
        <w:t xml:space="preserve"> </w:t>
      </w:r>
      <w:r>
        <w:t>the</w:t>
      </w:r>
      <w:r>
        <w:rPr>
          <w:spacing w:val="-17"/>
        </w:rPr>
        <w:t xml:space="preserve"> </w:t>
      </w:r>
      <w:r>
        <w:t>gravity</w:t>
      </w:r>
      <w:r>
        <w:rPr>
          <w:spacing w:val="-16"/>
        </w:rPr>
        <w:t xml:space="preserve"> </w:t>
      </w:r>
      <w:r>
        <w:t>of</w:t>
      </w:r>
      <w:r>
        <w:rPr>
          <w:spacing w:val="-18"/>
        </w:rPr>
        <w:t xml:space="preserve"> </w:t>
      </w:r>
      <w:r>
        <w:t>the</w:t>
      </w:r>
      <w:r>
        <w:rPr>
          <w:spacing w:val="-16"/>
        </w:rPr>
        <w:t xml:space="preserve"> </w:t>
      </w:r>
      <w:r>
        <w:t>failings</w:t>
      </w:r>
      <w:r>
        <w:rPr>
          <w:spacing w:val="-17"/>
        </w:rPr>
        <w:t xml:space="preserve"> </w:t>
      </w:r>
      <w:r>
        <w:t>in</w:t>
      </w:r>
      <w:r>
        <w:rPr>
          <w:spacing w:val="-14"/>
        </w:rPr>
        <w:t xml:space="preserve"> </w:t>
      </w:r>
      <w:r>
        <w:t>question and after allowing the IPO to submit its</w:t>
      </w:r>
      <w:r>
        <w:rPr>
          <w:spacing w:val="-9"/>
        </w:rPr>
        <w:t xml:space="preserve"> </w:t>
      </w:r>
      <w:r>
        <w:t>observations.</w:t>
      </w:r>
    </w:p>
    <w:p w14:paraId="3326314E" w14:textId="77777777" w:rsidR="00D757DA" w:rsidRDefault="00D757DA">
      <w:pPr>
        <w:pStyle w:val="Zkladntext"/>
      </w:pPr>
    </w:p>
    <w:p w14:paraId="5B3E451E" w14:textId="77777777" w:rsidR="00D757DA" w:rsidRDefault="0033254E">
      <w:pPr>
        <w:pStyle w:val="Zkladntext"/>
        <w:ind w:left="120" w:right="1440"/>
        <w:jc w:val="both"/>
      </w:pPr>
      <w:r>
        <w:t>When the termination procedure is over, the EUIPO will no longer accept any payment obligation or any liability for the payment of services rendered by third parties to the IPO for the project.</w:t>
      </w:r>
    </w:p>
    <w:p w14:paraId="7EEE6A2F" w14:textId="77777777" w:rsidR="00D757DA" w:rsidRDefault="00D757DA">
      <w:pPr>
        <w:pStyle w:val="Zkladntext"/>
        <w:spacing w:before="1"/>
      </w:pPr>
    </w:p>
    <w:p w14:paraId="1B6C888F" w14:textId="77777777" w:rsidR="00D757DA" w:rsidRDefault="0033254E">
      <w:pPr>
        <w:ind w:left="120"/>
        <w:jc w:val="both"/>
        <w:rPr>
          <w:i/>
        </w:rPr>
      </w:pPr>
      <w:r>
        <w:rPr>
          <w:i/>
        </w:rPr>
        <w:t>Termination by the EUIPO</w:t>
      </w:r>
    </w:p>
    <w:p w14:paraId="2DBF969D" w14:textId="77777777" w:rsidR="00D757DA" w:rsidRDefault="00D757DA">
      <w:pPr>
        <w:pStyle w:val="Zkladntext"/>
        <w:spacing w:before="10"/>
        <w:rPr>
          <w:i/>
          <w:sz w:val="20"/>
        </w:rPr>
      </w:pPr>
    </w:p>
    <w:p w14:paraId="2A01D583" w14:textId="77777777" w:rsidR="00D757DA" w:rsidRDefault="0033254E">
      <w:pPr>
        <w:pStyle w:val="Odstavecseseznamem"/>
        <w:numPr>
          <w:ilvl w:val="1"/>
          <w:numId w:val="61"/>
        </w:numPr>
        <w:tabs>
          <w:tab w:val="left" w:pos="841"/>
        </w:tabs>
        <w:ind w:right="1439" w:firstLine="0"/>
        <w:jc w:val="both"/>
      </w:pPr>
      <w:r>
        <w:t>The</w:t>
      </w:r>
      <w:r>
        <w:rPr>
          <w:spacing w:val="-12"/>
        </w:rPr>
        <w:t xml:space="preserve"> </w:t>
      </w:r>
      <w:r>
        <w:t>EUIPO</w:t>
      </w:r>
      <w:r>
        <w:rPr>
          <w:spacing w:val="-12"/>
        </w:rPr>
        <w:t xml:space="preserve"> </w:t>
      </w:r>
      <w:r>
        <w:t>may</w:t>
      </w:r>
      <w:r>
        <w:rPr>
          <w:spacing w:val="-11"/>
        </w:rPr>
        <w:t xml:space="preserve"> </w:t>
      </w:r>
      <w:r>
        <w:t>terminate</w:t>
      </w:r>
      <w:r>
        <w:rPr>
          <w:spacing w:val="-11"/>
        </w:rPr>
        <w:t xml:space="preserve"> </w:t>
      </w:r>
      <w:r>
        <w:t>the</w:t>
      </w:r>
      <w:r>
        <w:rPr>
          <w:spacing w:val="-13"/>
        </w:rPr>
        <w:t xml:space="preserve"> </w:t>
      </w:r>
      <w:r>
        <w:t>Agreement</w:t>
      </w:r>
      <w:r>
        <w:rPr>
          <w:spacing w:val="-10"/>
        </w:rPr>
        <w:t xml:space="preserve"> </w:t>
      </w:r>
      <w:r>
        <w:t>without</w:t>
      </w:r>
      <w:r>
        <w:rPr>
          <w:spacing w:val="-12"/>
        </w:rPr>
        <w:t xml:space="preserve"> </w:t>
      </w:r>
      <w:r>
        <w:t>any</w:t>
      </w:r>
      <w:r>
        <w:rPr>
          <w:spacing w:val="-11"/>
        </w:rPr>
        <w:t xml:space="preserve"> </w:t>
      </w:r>
      <w:r>
        <w:t>indemnity</w:t>
      </w:r>
      <w:r>
        <w:rPr>
          <w:spacing w:val="-12"/>
        </w:rPr>
        <w:t xml:space="preserve"> </w:t>
      </w:r>
      <w:r>
        <w:t>on</w:t>
      </w:r>
      <w:r>
        <w:rPr>
          <w:spacing w:val="-12"/>
        </w:rPr>
        <w:t xml:space="preserve"> </w:t>
      </w:r>
      <w:r>
        <w:t>its</w:t>
      </w:r>
      <w:r>
        <w:rPr>
          <w:spacing w:val="-13"/>
        </w:rPr>
        <w:t xml:space="preserve"> </w:t>
      </w:r>
      <w:r>
        <w:t>part</w:t>
      </w:r>
      <w:r>
        <w:rPr>
          <w:spacing w:val="-12"/>
        </w:rPr>
        <w:t xml:space="preserve"> </w:t>
      </w:r>
      <w:r>
        <w:t>at</w:t>
      </w:r>
      <w:r>
        <w:rPr>
          <w:spacing w:val="-11"/>
        </w:rPr>
        <w:t xml:space="preserve"> </w:t>
      </w:r>
      <w:r>
        <w:t>any</w:t>
      </w:r>
      <w:r>
        <w:rPr>
          <w:spacing w:val="-11"/>
        </w:rPr>
        <w:t xml:space="preserve"> </w:t>
      </w:r>
      <w:r>
        <w:t>time by giving 60 calendar days’ notice and providing the IPO with a written statement explaining the</w:t>
      </w:r>
      <w:r>
        <w:rPr>
          <w:spacing w:val="-2"/>
        </w:rPr>
        <w:t xml:space="preserve"> </w:t>
      </w:r>
      <w:r>
        <w:t>reasons.</w:t>
      </w:r>
    </w:p>
    <w:p w14:paraId="2368B937" w14:textId="77777777" w:rsidR="00D757DA" w:rsidRDefault="00D757DA">
      <w:pPr>
        <w:pStyle w:val="Zkladntext"/>
        <w:rPr>
          <w:sz w:val="21"/>
        </w:rPr>
      </w:pPr>
    </w:p>
    <w:p w14:paraId="0396366C" w14:textId="77777777" w:rsidR="00D757DA" w:rsidRDefault="0033254E">
      <w:pPr>
        <w:pStyle w:val="Odstavecseseznamem"/>
        <w:numPr>
          <w:ilvl w:val="1"/>
          <w:numId w:val="61"/>
        </w:numPr>
        <w:tabs>
          <w:tab w:val="left" w:pos="841"/>
        </w:tabs>
        <w:ind w:right="1440" w:firstLine="0"/>
        <w:jc w:val="both"/>
      </w:pPr>
      <w:r>
        <w:t>The</w:t>
      </w:r>
      <w:r>
        <w:rPr>
          <w:spacing w:val="-7"/>
        </w:rPr>
        <w:t xml:space="preserve"> </w:t>
      </w:r>
      <w:r>
        <w:t>EUIPO</w:t>
      </w:r>
      <w:r>
        <w:rPr>
          <w:spacing w:val="-8"/>
        </w:rPr>
        <w:t xml:space="preserve"> </w:t>
      </w:r>
      <w:r>
        <w:t>may</w:t>
      </w:r>
      <w:r>
        <w:rPr>
          <w:spacing w:val="-9"/>
        </w:rPr>
        <w:t xml:space="preserve"> </w:t>
      </w:r>
      <w:r>
        <w:t>decide</w:t>
      </w:r>
      <w:r>
        <w:rPr>
          <w:spacing w:val="-10"/>
        </w:rPr>
        <w:t xml:space="preserve"> </w:t>
      </w:r>
      <w:r>
        <w:t>to</w:t>
      </w:r>
      <w:r>
        <w:rPr>
          <w:spacing w:val="-7"/>
        </w:rPr>
        <w:t xml:space="preserve"> </w:t>
      </w:r>
      <w:r>
        <w:t>terminate</w:t>
      </w:r>
      <w:r>
        <w:rPr>
          <w:spacing w:val="-9"/>
        </w:rPr>
        <w:t xml:space="preserve"> </w:t>
      </w:r>
      <w:r>
        <w:t>the</w:t>
      </w:r>
      <w:r>
        <w:rPr>
          <w:spacing w:val="-10"/>
        </w:rPr>
        <w:t xml:space="preserve"> </w:t>
      </w:r>
      <w:r>
        <w:t>Agreement,</w:t>
      </w:r>
      <w:r>
        <w:rPr>
          <w:spacing w:val="-4"/>
        </w:rPr>
        <w:t xml:space="preserve"> </w:t>
      </w:r>
      <w:r>
        <w:t>without</w:t>
      </w:r>
      <w:r>
        <w:rPr>
          <w:spacing w:val="-6"/>
        </w:rPr>
        <w:t xml:space="preserve"> </w:t>
      </w:r>
      <w:r>
        <w:t>any</w:t>
      </w:r>
      <w:r>
        <w:rPr>
          <w:spacing w:val="-7"/>
        </w:rPr>
        <w:t xml:space="preserve"> </w:t>
      </w:r>
      <w:r>
        <w:t>indemnity</w:t>
      </w:r>
      <w:r>
        <w:rPr>
          <w:spacing w:val="-8"/>
        </w:rPr>
        <w:t xml:space="preserve"> </w:t>
      </w:r>
      <w:r>
        <w:t>on</w:t>
      </w:r>
      <w:r>
        <w:rPr>
          <w:spacing w:val="-8"/>
        </w:rPr>
        <w:t xml:space="preserve"> </w:t>
      </w:r>
      <w:r>
        <w:t>its</w:t>
      </w:r>
      <w:r>
        <w:rPr>
          <w:spacing w:val="-9"/>
        </w:rPr>
        <w:t xml:space="preserve"> </w:t>
      </w:r>
      <w:r>
        <w:t>part, in the following</w:t>
      </w:r>
      <w:r>
        <w:rPr>
          <w:spacing w:val="-3"/>
        </w:rPr>
        <w:t xml:space="preserve"> </w:t>
      </w:r>
      <w:r>
        <w:t>circumstances:</w:t>
      </w:r>
    </w:p>
    <w:p w14:paraId="34B26CA1" w14:textId="77777777" w:rsidR="00D757DA" w:rsidRDefault="00D757DA">
      <w:pPr>
        <w:pStyle w:val="Zkladntext"/>
        <w:spacing w:before="8"/>
        <w:rPr>
          <w:sz w:val="20"/>
        </w:rPr>
      </w:pPr>
    </w:p>
    <w:p w14:paraId="3BFE3A73" w14:textId="77777777" w:rsidR="00D757DA" w:rsidRDefault="0033254E">
      <w:pPr>
        <w:pStyle w:val="Odstavecseseznamem"/>
        <w:numPr>
          <w:ilvl w:val="2"/>
          <w:numId w:val="61"/>
        </w:numPr>
        <w:tabs>
          <w:tab w:val="left" w:pos="1254"/>
        </w:tabs>
        <w:ind w:right="1438"/>
        <w:jc w:val="both"/>
      </w:pPr>
      <w:r>
        <w:t>in</w:t>
      </w:r>
      <w:r>
        <w:rPr>
          <w:spacing w:val="-10"/>
        </w:rPr>
        <w:t xml:space="preserve"> </w:t>
      </w:r>
      <w:r>
        <w:t>the</w:t>
      </w:r>
      <w:r>
        <w:rPr>
          <w:spacing w:val="-10"/>
        </w:rPr>
        <w:t xml:space="preserve"> </w:t>
      </w:r>
      <w:r>
        <w:t>event</w:t>
      </w:r>
      <w:r>
        <w:rPr>
          <w:spacing w:val="-9"/>
        </w:rPr>
        <w:t xml:space="preserve"> </w:t>
      </w:r>
      <w:r>
        <w:t>of</w:t>
      </w:r>
      <w:r>
        <w:rPr>
          <w:spacing w:val="-9"/>
        </w:rPr>
        <w:t xml:space="preserve"> </w:t>
      </w:r>
      <w:r>
        <w:t>a</w:t>
      </w:r>
      <w:r>
        <w:rPr>
          <w:spacing w:val="-10"/>
        </w:rPr>
        <w:t xml:space="preserve"> </w:t>
      </w:r>
      <w:r>
        <w:t>legal,</w:t>
      </w:r>
      <w:r>
        <w:rPr>
          <w:spacing w:val="-10"/>
        </w:rPr>
        <w:t xml:space="preserve"> </w:t>
      </w:r>
      <w:r>
        <w:t>financial,</w:t>
      </w:r>
      <w:r>
        <w:rPr>
          <w:spacing w:val="-9"/>
        </w:rPr>
        <w:t xml:space="preserve"> </w:t>
      </w:r>
      <w:r>
        <w:t>technical,</w:t>
      </w:r>
      <w:r>
        <w:rPr>
          <w:spacing w:val="-8"/>
        </w:rPr>
        <w:t xml:space="preserve"> </w:t>
      </w:r>
      <w:r>
        <w:t>organizational</w:t>
      </w:r>
      <w:r>
        <w:rPr>
          <w:spacing w:val="-11"/>
        </w:rPr>
        <w:t xml:space="preserve"> </w:t>
      </w:r>
      <w:r>
        <w:t>or</w:t>
      </w:r>
      <w:r>
        <w:rPr>
          <w:spacing w:val="-9"/>
        </w:rPr>
        <w:t xml:space="preserve"> </w:t>
      </w:r>
      <w:r>
        <w:t>auditing</w:t>
      </w:r>
      <w:r>
        <w:rPr>
          <w:spacing w:val="-10"/>
        </w:rPr>
        <w:t xml:space="preserve"> </w:t>
      </w:r>
      <w:r>
        <w:t>change</w:t>
      </w:r>
      <w:r>
        <w:rPr>
          <w:spacing w:val="-10"/>
        </w:rPr>
        <w:t xml:space="preserve"> </w:t>
      </w:r>
      <w:r>
        <w:t>in</w:t>
      </w:r>
      <w:r>
        <w:rPr>
          <w:spacing w:val="-10"/>
        </w:rPr>
        <w:t xml:space="preserve"> </w:t>
      </w:r>
      <w:r>
        <w:t>the IPO's situation that is liable to affect the execution of the Agreement substantially or to call into question the decision to award the</w:t>
      </w:r>
      <w:r>
        <w:rPr>
          <w:spacing w:val="-14"/>
        </w:rPr>
        <w:t xml:space="preserve"> </w:t>
      </w:r>
      <w:proofErr w:type="gramStart"/>
      <w:r>
        <w:t>contract;</w:t>
      </w:r>
      <w:proofErr w:type="gramEnd"/>
    </w:p>
    <w:p w14:paraId="23151F14" w14:textId="77777777" w:rsidR="00D757DA" w:rsidRDefault="00D757DA">
      <w:pPr>
        <w:pStyle w:val="Zkladntext"/>
        <w:spacing w:before="1"/>
        <w:rPr>
          <w:sz w:val="21"/>
        </w:rPr>
      </w:pPr>
    </w:p>
    <w:p w14:paraId="7C55F8CF" w14:textId="77777777" w:rsidR="00D757DA" w:rsidRDefault="0033254E">
      <w:pPr>
        <w:pStyle w:val="Odstavecseseznamem"/>
        <w:numPr>
          <w:ilvl w:val="2"/>
          <w:numId w:val="61"/>
        </w:numPr>
        <w:tabs>
          <w:tab w:val="left" w:pos="1254"/>
        </w:tabs>
        <w:ind w:right="1444"/>
        <w:jc w:val="both"/>
      </w:pPr>
      <w:r>
        <w:t>if the IPO fails to fulfill a substantial obligation incumbent on it under the terms of the Agreement, including improper execution by the</w:t>
      </w:r>
      <w:r>
        <w:rPr>
          <w:spacing w:val="-7"/>
        </w:rPr>
        <w:t xml:space="preserve"> </w:t>
      </w:r>
      <w:proofErr w:type="gramStart"/>
      <w:r>
        <w:t>IPO;</w:t>
      </w:r>
      <w:proofErr w:type="gramEnd"/>
    </w:p>
    <w:p w14:paraId="09372666" w14:textId="77777777" w:rsidR="00D757DA" w:rsidRDefault="00D757DA">
      <w:pPr>
        <w:jc w:val="both"/>
        <w:sectPr w:rsidR="00D757DA">
          <w:pgSz w:w="11910" w:h="16840"/>
          <w:pgMar w:top="1360" w:right="0" w:bottom="1160" w:left="1320" w:header="0" w:footer="881" w:gutter="0"/>
          <w:cols w:space="708"/>
        </w:sectPr>
      </w:pPr>
    </w:p>
    <w:p w14:paraId="23C8BAA6" w14:textId="77777777" w:rsidR="00D757DA" w:rsidRDefault="0033254E">
      <w:pPr>
        <w:pStyle w:val="Odstavecseseznamem"/>
        <w:numPr>
          <w:ilvl w:val="2"/>
          <w:numId w:val="61"/>
        </w:numPr>
        <w:tabs>
          <w:tab w:val="left" w:pos="1254"/>
        </w:tabs>
        <w:spacing w:before="81"/>
        <w:ind w:right="1441"/>
        <w:jc w:val="both"/>
      </w:pPr>
      <w:r>
        <w:lastRenderedPageBreak/>
        <w:t>if</w:t>
      </w:r>
      <w:r>
        <w:rPr>
          <w:spacing w:val="-1"/>
        </w:rPr>
        <w:t xml:space="preserve"> </w:t>
      </w:r>
      <w:r>
        <w:t>the</w:t>
      </w:r>
      <w:r>
        <w:rPr>
          <w:spacing w:val="-7"/>
        </w:rPr>
        <w:t xml:space="preserve"> </w:t>
      </w:r>
      <w:r>
        <w:t>IPO</w:t>
      </w:r>
      <w:r>
        <w:rPr>
          <w:spacing w:val="-3"/>
        </w:rPr>
        <w:t xml:space="preserve"> </w:t>
      </w:r>
      <w:r>
        <w:t>submits</w:t>
      </w:r>
      <w:r>
        <w:rPr>
          <w:spacing w:val="-4"/>
        </w:rPr>
        <w:t xml:space="preserve"> </w:t>
      </w:r>
      <w:r>
        <w:t>reports</w:t>
      </w:r>
      <w:r>
        <w:rPr>
          <w:spacing w:val="-2"/>
        </w:rPr>
        <w:t xml:space="preserve"> </w:t>
      </w:r>
      <w:r>
        <w:t>which</w:t>
      </w:r>
      <w:r>
        <w:rPr>
          <w:spacing w:val="-2"/>
        </w:rPr>
        <w:t xml:space="preserve"> </w:t>
      </w:r>
      <w:r>
        <w:t>do</w:t>
      </w:r>
      <w:r>
        <w:rPr>
          <w:spacing w:val="-4"/>
        </w:rPr>
        <w:t xml:space="preserve"> </w:t>
      </w:r>
      <w:r>
        <w:t>not</w:t>
      </w:r>
      <w:r>
        <w:rPr>
          <w:spacing w:val="-4"/>
        </w:rPr>
        <w:t xml:space="preserve"> </w:t>
      </w:r>
      <w:r>
        <w:t>correspond</w:t>
      </w:r>
      <w:r>
        <w:rPr>
          <w:spacing w:val="-2"/>
        </w:rPr>
        <w:t xml:space="preserve"> </w:t>
      </w:r>
      <w:r>
        <w:t>to</w:t>
      </w:r>
      <w:r>
        <w:rPr>
          <w:spacing w:val="-6"/>
        </w:rPr>
        <w:t xml:space="preserve"> </w:t>
      </w:r>
      <w:r>
        <w:t>reality</w:t>
      </w:r>
      <w:r>
        <w:rPr>
          <w:spacing w:val="-4"/>
        </w:rPr>
        <w:t xml:space="preserve"> </w:t>
      </w:r>
      <w:r>
        <w:t>to</w:t>
      </w:r>
      <w:r>
        <w:rPr>
          <w:spacing w:val="-5"/>
        </w:rPr>
        <w:t xml:space="preserve"> </w:t>
      </w:r>
      <w:r>
        <w:t>obtain</w:t>
      </w:r>
      <w:r>
        <w:rPr>
          <w:spacing w:val="-4"/>
        </w:rPr>
        <w:t xml:space="preserve"> </w:t>
      </w:r>
      <w:r>
        <w:t>the</w:t>
      </w:r>
      <w:r>
        <w:rPr>
          <w:spacing w:val="-7"/>
        </w:rPr>
        <w:t xml:space="preserve"> </w:t>
      </w:r>
      <w:r>
        <w:t>amount provided for in the</w:t>
      </w:r>
      <w:r>
        <w:rPr>
          <w:spacing w:val="-4"/>
        </w:rPr>
        <w:t xml:space="preserve"> </w:t>
      </w:r>
      <w:proofErr w:type="gramStart"/>
      <w:r>
        <w:t>Agreement;</w:t>
      </w:r>
      <w:proofErr w:type="gramEnd"/>
    </w:p>
    <w:p w14:paraId="66AD307E" w14:textId="77777777" w:rsidR="00D757DA" w:rsidRDefault="00D757DA">
      <w:pPr>
        <w:pStyle w:val="Zkladntext"/>
        <w:rPr>
          <w:sz w:val="21"/>
        </w:rPr>
      </w:pPr>
    </w:p>
    <w:p w14:paraId="1D2A48D6" w14:textId="77777777" w:rsidR="00D757DA" w:rsidRDefault="0033254E">
      <w:pPr>
        <w:pStyle w:val="Odstavecseseznamem"/>
        <w:numPr>
          <w:ilvl w:val="2"/>
          <w:numId w:val="61"/>
        </w:numPr>
        <w:tabs>
          <w:tab w:val="left" w:pos="1254"/>
        </w:tabs>
        <w:ind w:right="1435"/>
        <w:jc w:val="both"/>
      </w:pPr>
      <w:r>
        <w:t>if</w:t>
      </w:r>
      <w:r>
        <w:rPr>
          <w:spacing w:val="-5"/>
        </w:rPr>
        <w:t xml:space="preserve"> </w:t>
      </w:r>
      <w:r>
        <w:t>the</w:t>
      </w:r>
      <w:r>
        <w:rPr>
          <w:spacing w:val="-10"/>
        </w:rPr>
        <w:t xml:space="preserve"> </w:t>
      </w:r>
      <w:r>
        <w:t>IPO</w:t>
      </w:r>
      <w:r>
        <w:rPr>
          <w:spacing w:val="-6"/>
        </w:rPr>
        <w:t xml:space="preserve"> </w:t>
      </w:r>
      <w:r>
        <w:t>has</w:t>
      </w:r>
      <w:r>
        <w:rPr>
          <w:spacing w:val="-7"/>
        </w:rPr>
        <w:t xml:space="preserve"> </w:t>
      </w:r>
      <w:r>
        <w:t>intentionally</w:t>
      </w:r>
      <w:r>
        <w:rPr>
          <w:spacing w:val="-5"/>
        </w:rPr>
        <w:t xml:space="preserve"> </w:t>
      </w:r>
      <w:r>
        <w:t>or</w:t>
      </w:r>
      <w:r>
        <w:rPr>
          <w:spacing w:val="-7"/>
        </w:rPr>
        <w:t xml:space="preserve"> </w:t>
      </w:r>
      <w:r>
        <w:t>by</w:t>
      </w:r>
      <w:r>
        <w:rPr>
          <w:spacing w:val="-7"/>
        </w:rPr>
        <w:t xml:space="preserve"> </w:t>
      </w:r>
      <w:r>
        <w:t>negligence</w:t>
      </w:r>
      <w:r>
        <w:rPr>
          <w:spacing w:val="-5"/>
        </w:rPr>
        <w:t xml:space="preserve"> </w:t>
      </w:r>
      <w:r>
        <w:t>committed</w:t>
      </w:r>
      <w:r>
        <w:rPr>
          <w:spacing w:val="-5"/>
        </w:rPr>
        <w:t xml:space="preserve"> </w:t>
      </w:r>
      <w:r>
        <w:t>a</w:t>
      </w:r>
      <w:r>
        <w:rPr>
          <w:spacing w:val="-7"/>
        </w:rPr>
        <w:t xml:space="preserve"> </w:t>
      </w:r>
      <w:r>
        <w:t>substantial</w:t>
      </w:r>
      <w:r>
        <w:rPr>
          <w:spacing w:val="-6"/>
        </w:rPr>
        <w:t xml:space="preserve"> </w:t>
      </w:r>
      <w:r>
        <w:t>irregularity</w:t>
      </w:r>
      <w:r>
        <w:rPr>
          <w:spacing w:val="-4"/>
        </w:rPr>
        <w:t xml:space="preserve"> </w:t>
      </w:r>
      <w:r>
        <w:t>in performing the Agreement to the detriment of the EUIPO's financial interests. A substantial</w:t>
      </w:r>
      <w:r>
        <w:rPr>
          <w:spacing w:val="-18"/>
        </w:rPr>
        <w:t xml:space="preserve"> </w:t>
      </w:r>
      <w:r>
        <w:t>irregularity</w:t>
      </w:r>
      <w:r>
        <w:rPr>
          <w:spacing w:val="-19"/>
        </w:rPr>
        <w:t xml:space="preserve"> </w:t>
      </w:r>
      <w:r>
        <w:t>consists</w:t>
      </w:r>
      <w:r>
        <w:rPr>
          <w:spacing w:val="-17"/>
        </w:rPr>
        <w:t xml:space="preserve"> </w:t>
      </w:r>
      <w:r>
        <w:t>of</w:t>
      </w:r>
      <w:r>
        <w:rPr>
          <w:spacing w:val="-16"/>
        </w:rPr>
        <w:t xml:space="preserve"> </w:t>
      </w:r>
      <w:r>
        <w:t>any</w:t>
      </w:r>
      <w:r>
        <w:rPr>
          <w:spacing w:val="-19"/>
        </w:rPr>
        <w:t xml:space="preserve"> </w:t>
      </w:r>
      <w:r>
        <w:t>infringement</w:t>
      </w:r>
      <w:r>
        <w:rPr>
          <w:spacing w:val="-18"/>
        </w:rPr>
        <w:t xml:space="preserve"> </w:t>
      </w:r>
      <w:r>
        <w:t>of</w:t>
      </w:r>
      <w:r>
        <w:rPr>
          <w:spacing w:val="-16"/>
        </w:rPr>
        <w:t xml:space="preserve"> </w:t>
      </w:r>
      <w:r>
        <w:t>a</w:t>
      </w:r>
      <w:r>
        <w:rPr>
          <w:spacing w:val="-20"/>
        </w:rPr>
        <w:t xml:space="preserve"> </w:t>
      </w:r>
      <w:r>
        <w:t>provision</w:t>
      </w:r>
      <w:r>
        <w:rPr>
          <w:spacing w:val="-17"/>
        </w:rPr>
        <w:t xml:space="preserve"> </w:t>
      </w:r>
      <w:r>
        <w:t>of</w:t>
      </w:r>
      <w:r>
        <w:rPr>
          <w:spacing w:val="-18"/>
        </w:rPr>
        <w:t xml:space="preserve"> </w:t>
      </w:r>
      <w:r>
        <w:t>the</w:t>
      </w:r>
      <w:r>
        <w:rPr>
          <w:spacing w:val="-17"/>
        </w:rPr>
        <w:t xml:space="preserve"> </w:t>
      </w:r>
      <w:r>
        <w:t>Agreement which causes or might cause an illegitimate loss to the EUIPO</w:t>
      </w:r>
      <w:r>
        <w:rPr>
          <w:spacing w:val="-18"/>
        </w:rPr>
        <w:t xml:space="preserve"> </w:t>
      </w:r>
      <w:r>
        <w:t>budget.</w:t>
      </w:r>
    </w:p>
    <w:p w14:paraId="7A390544" w14:textId="77777777" w:rsidR="00D757DA" w:rsidRDefault="00D757DA">
      <w:pPr>
        <w:pStyle w:val="Zkladntext"/>
        <w:spacing w:before="8"/>
        <w:rPr>
          <w:sz w:val="20"/>
        </w:rPr>
      </w:pPr>
    </w:p>
    <w:p w14:paraId="788C0580" w14:textId="77777777" w:rsidR="00D757DA" w:rsidRDefault="0033254E">
      <w:pPr>
        <w:pStyle w:val="Odstavecseseznamem"/>
        <w:numPr>
          <w:ilvl w:val="1"/>
          <w:numId w:val="61"/>
        </w:numPr>
        <w:tabs>
          <w:tab w:val="left" w:pos="840"/>
          <w:tab w:val="left" w:pos="841"/>
        </w:tabs>
        <w:ind w:right="1440" w:firstLine="0"/>
      </w:pPr>
      <w:r>
        <w:t>The procedure of termination is initiated by registered letter with advice of delivery or via the online tool provided by the</w:t>
      </w:r>
      <w:r>
        <w:rPr>
          <w:spacing w:val="-5"/>
        </w:rPr>
        <w:t xml:space="preserve"> </w:t>
      </w:r>
      <w:r>
        <w:t>EUIPO.</w:t>
      </w:r>
    </w:p>
    <w:p w14:paraId="2EBBECD2" w14:textId="77777777" w:rsidR="00D757DA" w:rsidRDefault="00D757DA">
      <w:pPr>
        <w:pStyle w:val="Zkladntext"/>
        <w:spacing w:before="10"/>
        <w:rPr>
          <w:sz w:val="20"/>
        </w:rPr>
      </w:pPr>
    </w:p>
    <w:p w14:paraId="7A790EB9" w14:textId="77777777" w:rsidR="00D757DA" w:rsidRDefault="0033254E">
      <w:pPr>
        <w:pStyle w:val="Zkladntext"/>
        <w:spacing w:before="1"/>
        <w:ind w:left="120" w:right="1434"/>
        <w:jc w:val="both"/>
      </w:pPr>
      <w:r>
        <w:t>In the cases referred to in points a) and b) of Article 4.6, the IPO shall have 30 calendar days to submit its written observations and take any measures necessary to ensure continued fulfillment of its obligations under the Agreement. If the EUIPO fails to confirm acceptance of these observations by giving written approval within 30 calendar days of receiving them, the procedure shall continue to run.</w:t>
      </w:r>
    </w:p>
    <w:p w14:paraId="1136D8A1" w14:textId="77777777" w:rsidR="00D757DA" w:rsidRDefault="00D757DA">
      <w:pPr>
        <w:pStyle w:val="Zkladntext"/>
        <w:spacing w:before="10"/>
        <w:rPr>
          <w:sz w:val="20"/>
        </w:rPr>
      </w:pPr>
    </w:p>
    <w:p w14:paraId="00215110" w14:textId="77777777" w:rsidR="00D757DA" w:rsidRDefault="0033254E">
      <w:pPr>
        <w:pStyle w:val="Zkladntext"/>
        <w:ind w:left="120" w:right="1440"/>
        <w:jc w:val="both"/>
      </w:pPr>
      <w:r>
        <w:t>Where notice is given, termination shall take effect at the end of the period of notice, which shall start to run from the date when notification of the EUIPO’s decision to terminate the Agreement is received or on the date established in the termination notice.</w:t>
      </w:r>
    </w:p>
    <w:p w14:paraId="192F8B9C" w14:textId="77777777" w:rsidR="00D757DA" w:rsidRDefault="00D757DA">
      <w:pPr>
        <w:pStyle w:val="Zkladntext"/>
        <w:rPr>
          <w:sz w:val="21"/>
        </w:rPr>
      </w:pPr>
    </w:p>
    <w:p w14:paraId="500BAD60" w14:textId="77777777" w:rsidR="00D757DA" w:rsidRDefault="0033254E">
      <w:pPr>
        <w:pStyle w:val="Odstavecseseznamem"/>
        <w:numPr>
          <w:ilvl w:val="1"/>
          <w:numId w:val="61"/>
        </w:numPr>
        <w:tabs>
          <w:tab w:val="left" w:pos="840"/>
          <w:tab w:val="left" w:pos="841"/>
        </w:tabs>
        <w:spacing w:before="1"/>
        <w:ind w:right="1561" w:firstLine="0"/>
      </w:pPr>
      <w:r>
        <w:t>In the event of termination of the Agreement by the EUIPO, payments by the EUIPO shall be limited to the proportion of the lump sum (Promotional activities and European Cooperation Activities) or financing not linked to costs (</w:t>
      </w:r>
      <w:proofErr w:type="spellStart"/>
      <w:r>
        <w:t>TMview</w:t>
      </w:r>
      <w:proofErr w:type="spellEnd"/>
      <w:r>
        <w:t xml:space="preserve"> and </w:t>
      </w:r>
      <w:proofErr w:type="spellStart"/>
      <w:r>
        <w:t>DSview</w:t>
      </w:r>
      <w:proofErr w:type="spellEnd"/>
      <w:r>
        <w:t>) corresponding to the results attained (</w:t>
      </w:r>
      <w:proofErr w:type="spellStart"/>
      <w:r>
        <w:t>TMview</w:t>
      </w:r>
      <w:proofErr w:type="spellEnd"/>
      <w:r>
        <w:t xml:space="preserve"> and </w:t>
      </w:r>
      <w:proofErr w:type="spellStart"/>
      <w:r>
        <w:t>DSview</w:t>
      </w:r>
      <w:proofErr w:type="spellEnd"/>
      <w:r>
        <w:t>) or milestones achieved (Promotional activities and European Cooperation Activities) before the date when the termination takes effect. In case of European Cooperation Projects implementations referred to by Article 1, item 2.1.a) of the Special Conditions, Article 27 Specific Provisions will</w:t>
      </w:r>
      <w:r>
        <w:rPr>
          <w:spacing w:val="-5"/>
        </w:rPr>
        <w:t xml:space="preserve"> </w:t>
      </w:r>
      <w:r>
        <w:t>apply.</w:t>
      </w:r>
    </w:p>
    <w:p w14:paraId="6B070B94" w14:textId="77777777" w:rsidR="00D757DA" w:rsidRDefault="00D757DA">
      <w:pPr>
        <w:pStyle w:val="Zkladntext"/>
        <w:spacing w:before="11"/>
        <w:rPr>
          <w:sz w:val="21"/>
        </w:rPr>
      </w:pPr>
    </w:p>
    <w:p w14:paraId="085418AB" w14:textId="77777777" w:rsidR="00D757DA" w:rsidRDefault="0033254E">
      <w:pPr>
        <w:pStyle w:val="Odstavecseseznamem"/>
        <w:numPr>
          <w:ilvl w:val="1"/>
          <w:numId w:val="61"/>
        </w:numPr>
        <w:tabs>
          <w:tab w:val="left" w:pos="840"/>
          <w:tab w:val="left" w:pos="841"/>
        </w:tabs>
        <w:ind w:right="1440" w:firstLine="0"/>
      </w:pPr>
      <w:r>
        <w:t>The IPO shall have 60 calendar days from the date when termination takes effect, as notified by the EUIPO, to produce a request for final</w:t>
      </w:r>
      <w:r>
        <w:rPr>
          <w:spacing w:val="-19"/>
        </w:rPr>
        <w:t xml:space="preserve"> </w:t>
      </w:r>
      <w:r>
        <w:t>payment.</w:t>
      </w:r>
    </w:p>
    <w:p w14:paraId="1D42FAD1" w14:textId="77777777" w:rsidR="00D757DA" w:rsidRDefault="00D757DA">
      <w:pPr>
        <w:pStyle w:val="Zkladntext"/>
        <w:spacing w:before="10"/>
        <w:rPr>
          <w:sz w:val="20"/>
        </w:rPr>
      </w:pPr>
    </w:p>
    <w:p w14:paraId="2D9CDB39" w14:textId="77777777" w:rsidR="00D757DA" w:rsidRDefault="0033254E">
      <w:pPr>
        <w:pStyle w:val="Zkladntext"/>
        <w:ind w:left="120" w:right="1437"/>
        <w:jc w:val="both"/>
      </w:pPr>
      <w:r>
        <w:t>If</w:t>
      </w:r>
      <w:r>
        <w:rPr>
          <w:spacing w:val="-6"/>
        </w:rPr>
        <w:t xml:space="preserve"> </w:t>
      </w:r>
      <w:r>
        <w:t>no</w:t>
      </w:r>
      <w:r>
        <w:rPr>
          <w:spacing w:val="-7"/>
        </w:rPr>
        <w:t xml:space="preserve"> </w:t>
      </w:r>
      <w:r>
        <w:t>request</w:t>
      </w:r>
      <w:r>
        <w:rPr>
          <w:spacing w:val="-5"/>
        </w:rPr>
        <w:t xml:space="preserve"> </w:t>
      </w:r>
      <w:r>
        <w:t>for</w:t>
      </w:r>
      <w:r>
        <w:rPr>
          <w:spacing w:val="-6"/>
        </w:rPr>
        <w:t xml:space="preserve"> </w:t>
      </w:r>
      <w:r>
        <w:t>final</w:t>
      </w:r>
      <w:r>
        <w:rPr>
          <w:spacing w:val="-5"/>
        </w:rPr>
        <w:t xml:space="preserve"> </w:t>
      </w:r>
      <w:r>
        <w:t>payment</w:t>
      </w:r>
      <w:r>
        <w:rPr>
          <w:spacing w:val="-6"/>
        </w:rPr>
        <w:t xml:space="preserve"> </w:t>
      </w:r>
      <w:r>
        <w:t>is</w:t>
      </w:r>
      <w:r>
        <w:rPr>
          <w:spacing w:val="-6"/>
        </w:rPr>
        <w:t xml:space="preserve"> </w:t>
      </w:r>
      <w:r>
        <w:t>received</w:t>
      </w:r>
      <w:r>
        <w:rPr>
          <w:spacing w:val="-7"/>
        </w:rPr>
        <w:t xml:space="preserve"> </w:t>
      </w:r>
      <w:r>
        <w:t>within</w:t>
      </w:r>
      <w:r>
        <w:rPr>
          <w:spacing w:val="-6"/>
        </w:rPr>
        <w:t xml:space="preserve"> </w:t>
      </w:r>
      <w:r>
        <w:t>this</w:t>
      </w:r>
      <w:r>
        <w:rPr>
          <w:spacing w:val="-5"/>
        </w:rPr>
        <w:t xml:space="preserve"> </w:t>
      </w:r>
      <w:r>
        <w:t>time</w:t>
      </w:r>
      <w:r>
        <w:rPr>
          <w:spacing w:val="-6"/>
        </w:rPr>
        <w:t xml:space="preserve"> </w:t>
      </w:r>
      <w:r>
        <w:t>limit,</w:t>
      </w:r>
      <w:r>
        <w:rPr>
          <w:spacing w:val="-5"/>
        </w:rPr>
        <w:t xml:space="preserve"> </w:t>
      </w:r>
      <w:r>
        <w:t>the</w:t>
      </w:r>
      <w:r>
        <w:rPr>
          <w:spacing w:val="-8"/>
        </w:rPr>
        <w:t xml:space="preserve"> </w:t>
      </w:r>
      <w:r>
        <w:t>EUIPO</w:t>
      </w:r>
      <w:r>
        <w:rPr>
          <w:spacing w:val="-7"/>
        </w:rPr>
        <w:t xml:space="preserve"> </w:t>
      </w:r>
      <w:r>
        <w:t>shall</w:t>
      </w:r>
      <w:r>
        <w:rPr>
          <w:spacing w:val="-5"/>
        </w:rPr>
        <w:t xml:space="preserve"> </w:t>
      </w:r>
      <w:r>
        <w:t>not</w:t>
      </w:r>
      <w:r>
        <w:rPr>
          <w:spacing w:val="-6"/>
        </w:rPr>
        <w:t xml:space="preserve"> </w:t>
      </w:r>
      <w:r>
        <w:t>reimburse the IPO up to the date of termination and it shall recover any amount if its use is not substantiated by the Execution Reports approved by the</w:t>
      </w:r>
      <w:r>
        <w:rPr>
          <w:spacing w:val="-10"/>
        </w:rPr>
        <w:t xml:space="preserve"> </w:t>
      </w:r>
      <w:r>
        <w:t>EUIPO.</w:t>
      </w:r>
    </w:p>
    <w:p w14:paraId="7592F57E" w14:textId="77777777" w:rsidR="00D757DA" w:rsidRDefault="00D757DA">
      <w:pPr>
        <w:pStyle w:val="Zkladntext"/>
        <w:spacing w:before="10"/>
        <w:rPr>
          <w:sz w:val="20"/>
        </w:rPr>
      </w:pPr>
    </w:p>
    <w:p w14:paraId="21E0D02C" w14:textId="77777777" w:rsidR="00D757DA" w:rsidRDefault="0033254E">
      <w:pPr>
        <w:pStyle w:val="Zkladntext"/>
        <w:ind w:left="120" w:right="1434"/>
        <w:jc w:val="both"/>
      </w:pPr>
      <w:r>
        <w:t>In the event of termination by the EUIPO on the grounds set out in points c) or d) of Article 4.6, the EUIPO has the right to require the partial or total repayment of sums already paid under the Agreement on the basis of the Execution Report approved by the EUIPO, in proportion to the gravity of the failings in question and after allowing the IPO to submit its observations.</w:t>
      </w:r>
    </w:p>
    <w:p w14:paraId="489EE2F4" w14:textId="77777777" w:rsidR="00D757DA" w:rsidRDefault="00D757DA">
      <w:pPr>
        <w:pStyle w:val="Zkladntext"/>
        <w:spacing w:before="11"/>
        <w:rPr>
          <w:sz w:val="21"/>
        </w:rPr>
      </w:pPr>
    </w:p>
    <w:p w14:paraId="1275829C" w14:textId="77777777" w:rsidR="00D757DA" w:rsidRDefault="0033254E">
      <w:pPr>
        <w:pStyle w:val="Zkladntext"/>
        <w:ind w:left="120" w:right="1440"/>
        <w:jc w:val="both"/>
      </w:pPr>
      <w:r>
        <w:t>When the termination procedure is over, the EUIPO will no longer accept any payment obligation or any liability for the payment of services rendered by third parties to the IPO for the project.</w:t>
      </w:r>
    </w:p>
    <w:p w14:paraId="41205797" w14:textId="77777777" w:rsidR="00D757DA" w:rsidRDefault="00D757DA">
      <w:pPr>
        <w:pStyle w:val="Zkladntext"/>
        <w:spacing w:before="3"/>
        <w:rPr>
          <w:sz w:val="31"/>
        </w:rPr>
      </w:pPr>
    </w:p>
    <w:p w14:paraId="10CD092F" w14:textId="77777777" w:rsidR="00D757DA" w:rsidRDefault="0033254E">
      <w:pPr>
        <w:pStyle w:val="Nadpis3"/>
        <w:jc w:val="both"/>
      </w:pPr>
      <w:bookmarkStart w:id="12" w:name="ARTICLE_5_-_LIABILITY"/>
      <w:bookmarkEnd w:id="12"/>
      <w:r>
        <w:t>ARTICLE 5 - LIABILITY</w:t>
      </w:r>
    </w:p>
    <w:p w14:paraId="24E614EF" w14:textId="77777777" w:rsidR="00D757DA" w:rsidRDefault="00D757DA">
      <w:pPr>
        <w:pStyle w:val="Zkladntext"/>
        <w:rPr>
          <w:b/>
          <w:sz w:val="21"/>
        </w:rPr>
      </w:pPr>
    </w:p>
    <w:p w14:paraId="29BDEBE5" w14:textId="77777777" w:rsidR="00D757DA" w:rsidRDefault="0033254E">
      <w:pPr>
        <w:pStyle w:val="Odstavecseseznamem"/>
        <w:numPr>
          <w:ilvl w:val="1"/>
          <w:numId w:val="60"/>
        </w:numPr>
        <w:tabs>
          <w:tab w:val="left" w:pos="840"/>
          <w:tab w:val="left" w:pos="841"/>
        </w:tabs>
        <w:ind w:right="1437" w:firstLine="0"/>
      </w:pPr>
      <w:r>
        <w:t>The IPO shall have sole responsibility for complying with its legal obligations arising from</w:t>
      </w:r>
      <w:r>
        <w:rPr>
          <w:spacing w:val="-6"/>
        </w:rPr>
        <w:t xml:space="preserve"> </w:t>
      </w:r>
      <w:r>
        <w:t>the</w:t>
      </w:r>
      <w:r>
        <w:rPr>
          <w:spacing w:val="-9"/>
        </w:rPr>
        <w:t xml:space="preserve"> </w:t>
      </w:r>
      <w:r>
        <w:t>Agreement</w:t>
      </w:r>
      <w:r>
        <w:rPr>
          <w:spacing w:val="-7"/>
        </w:rPr>
        <w:t xml:space="preserve"> </w:t>
      </w:r>
      <w:r>
        <w:t>for</w:t>
      </w:r>
      <w:r>
        <w:rPr>
          <w:spacing w:val="-9"/>
        </w:rPr>
        <w:t xml:space="preserve"> </w:t>
      </w:r>
      <w:r>
        <w:t>the</w:t>
      </w:r>
      <w:r>
        <w:rPr>
          <w:spacing w:val="-5"/>
        </w:rPr>
        <w:t xml:space="preserve"> </w:t>
      </w:r>
      <w:r>
        <w:t>execution</w:t>
      </w:r>
      <w:r>
        <w:rPr>
          <w:spacing w:val="-7"/>
        </w:rPr>
        <w:t xml:space="preserve"> </w:t>
      </w:r>
      <w:r>
        <w:t>of</w:t>
      </w:r>
      <w:r>
        <w:rPr>
          <w:spacing w:val="-5"/>
        </w:rPr>
        <w:t xml:space="preserve"> </w:t>
      </w:r>
      <w:r>
        <w:t>the</w:t>
      </w:r>
      <w:r>
        <w:rPr>
          <w:spacing w:val="-9"/>
        </w:rPr>
        <w:t xml:space="preserve"> </w:t>
      </w:r>
      <w:r>
        <w:t>project</w:t>
      </w:r>
      <w:r>
        <w:rPr>
          <w:spacing w:val="-6"/>
        </w:rPr>
        <w:t xml:space="preserve"> </w:t>
      </w:r>
      <w:r>
        <w:t>tasks</w:t>
      </w:r>
      <w:r>
        <w:rPr>
          <w:spacing w:val="-6"/>
        </w:rPr>
        <w:t xml:space="preserve"> </w:t>
      </w:r>
      <w:r>
        <w:t>assigned</w:t>
      </w:r>
      <w:r>
        <w:rPr>
          <w:spacing w:val="-9"/>
        </w:rPr>
        <w:t xml:space="preserve"> </w:t>
      </w:r>
      <w:r>
        <w:t>to</w:t>
      </w:r>
      <w:r>
        <w:rPr>
          <w:spacing w:val="-7"/>
        </w:rPr>
        <w:t xml:space="preserve"> </w:t>
      </w:r>
      <w:r>
        <w:t>it</w:t>
      </w:r>
      <w:r>
        <w:rPr>
          <w:spacing w:val="-5"/>
        </w:rPr>
        <w:t xml:space="preserve"> </w:t>
      </w:r>
      <w:r>
        <w:t>under</w:t>
      </w:r>
      <w:r>
        <w:rPr>
          <w:spacing w:val="-5"/>
        </w:rPr>
        <w:t xml:space="preserve"> </w:t>
      </w:r>
      <w:r>
        <w:t>the</w:t>
      </w:r>
      <w:r>
        <w:rPr>
          <w:spacing w:val="-8"/>
        </w:rPr>
        <w:t xml:space="preserve"> </w:t>
      </w:r>
      <w:r>
        <w:t>Agreement.</w:t>
      </w:r>
    </w:p>
    <w:p w14:paraId="760F6636" w14:textId="77777777" w:rsidR="00D757DA" w:rsidRDefault="00D757DA">
      <w:pPr>
        <w:pStyle w:val="Zkladntext"/>
        <w:spacing w:before="10"/>
        <w:rPr>
          <w:sz w:val="20"/>
        </w:rPr>
      </w:pPr>
    </w:p>
    <w:p w14:paraId="47D12465" w14:textId="77777777" w:rsidR="00D757DA" w:rsidRDefault="0033254E">
      <w:pPr>
        <w:pStyle w:val="Odstavecseseznamem"/>
        <w:numPr>
          <w:ilvl w:val="1"/>
          <w:numId w:val="60"/>
        </w:numPr>
        <w:tabs>
          <w:tab w:val="left" w:pos="841"/>
        </w:tabs>
        <w:ind w:right="1437" w:firstLine="0"/>
        <w:jc w:val="both"/>
      </w:pPr>
      <w:r>
        <w:t>The EUIPO shall not, in any circumstances or on any grounds, be held liable in the event of a claim under the Agreement relating to any damage caused during the project's execution. Consequently, the EUIPO will not entertain any request for indemnity or reimbursement accompanying any such claim.</w:t>
      </w:r>
    </w:p>
    <w:p w14:paraId="3D6E1D6B" w14:textId="77777777" w:rsidR="00D757DA" w:rsidRDefault="00D757DA">
      <w:pPr>
        <w:jc w:val="both"/>
        <w:sectPr w:rsidR="00D757DA">
          <w:pgSz w:w="11910" w:h="16840"/>
          <w:pgMar w:top="1340" w:right="0" w:bottom="1160" w:left="1320" w:header="0" w:footer="881" w:gutter="0"/>
          <w:cols w:space="708"/>
        </w:sectPr>
      </w:pPr>
    </w:p>
    <w:p w14:paraId="446B6CD6" w14:textId="77777777" w:rsidR="00D757DA" w:rsidRDefault="0033254E">
      <w:pPr>
        <w:pStyle w:val="Odstavecseseznamem"/>
        <w:numPr>
          <w:ilvl w:val="1"/>
          <w:numId w:val="60"/>
        </w:numPr>
        <w:tabs>
          <w:tab w:val="left" w:pos="841"/>
        </w:tabs>
        <w:spacing w:before="81"/>
        <w:ind w:right="1436" w:firstLine="0"/>
        <w:jc w:val="both"/>
      </w:pPr>
      <w:r>
        <w:lastRenderedPageBreak/>
        <w:t>Except in cases of force majeure, the IPO shall make good any damage sustained by the</w:t>
      </w:r>
      <w:r>
        <w:rPr>
          <w:spacing w:val="-14"/>
        </w:rPr>
        <w:t xml:space="preserve"> </w:t>
      </w:r>
      <w:r>
        <w:t>EUIPO</w:t>
      </w:r>
      <w:r>
        <w:rPr>
          <w:spacing w:val="-12"/>
        </w:rPr>
        <w:t xml:space="preserve"> </w:t>
      </w:r>
      <w:proofErr w:type="gramStart"/>
      <w:r>
        <w:t>as</w:t>
      </w:r>
      <w:r>
        <w:rPr>
          <w:spacing w:val="-14"/>
        </w:rPr>
        <w:t xml:space="preserve"> </w:t>
      </w:r>
      <w:r>
        <w:t>a</w:t>
      </w:r>
      <w:r>
        <w:rPr>
          <w:spacing w:val="-16"/>
        </w:rPr>
        <w:t xml:space="preserve"> </w:t>
      </w:r>
      <w:r>
        <w:t>result</w:t>
      </w:r>
      <w:r>
        <w:rPr>
          <w:spacing w:val="-12"/>
        </w:rPr>
        <w:t xml:space="preserve"> </w:t>
      </w:r>
      <w:r>
        <w:t>of</w:t>
      </w:r>
      <w:proofErr w:type="gramEnd"/>
      <w:r>
        <w:rPr>
          <w:spacing w:val="-17"/>
        </w:rPr>
        <w:t xml:space="preserve"> </w:t>
      </w:r>
      <w:r>
        <w:t>partial</w:t>
      </w:r>
      <w:r>
        <w:rPr>
          <w:spacing w:val="-15"/>
        </w:rPr>
        <w:t xml:space="preserve"> </w:t>
      </w:r>
      <w:r>
        <w:t>or</w:t>
      </w:r>
      <w:r>
        <w:rPr>
          <w:spacing w:val="-15"/>
        </w:rPr>
        <w:t xml:space="preserve"> </w:t>
      </w:r>
      <w:r>
        <w:t>total</w:t>
      </w:r>
      <w:r>
        <w:rPr>
          <w:spacing w:val="-14"/>
        </w:rPr>
        <w:t xml:space="preserve"> </w:t>
      </w:r>
      <w:r>
        <w:t>non-execution</w:t>
      </w:r>
      <w:r>
        <w:rPr>
          <w:spacing w:val="-14"/>
        </w:rPr>
        <w:t xml:space="preserve"> </w:t>
      </w:r>
      <w:r>
        <w:t>or,</w:t>
      </w:r>
      <w:r>
        <w:rPr>
          <w:spacing w:val="-14"/>
        </w:rPr>
        <w:t xml:space="preserve"> </w:t>
      </w:r>
      <w:r>
        <w:t>faulty</w:t>
      </w:r>
      <w:r>
        <w:rPr>
          <w:spacing w:val="-13"/>
        </w:rPr>
        <w:t xml:space="preserve"> </w:t>
      </w:r>
      <w:r>
        <w:t>execution</w:t>
      </w:r>
      <w:r>
        <w:rPr>
          <w:spacing w:val="-14"/>
        </w:rPr>
        <w:t xml:space="preserve"> </w:t>
      </w:r>
      <w:r>
        <w:t>of</w:t>
      </w:r>
      <w:r>
        <w:rPr>
          <w:spacing w:val="-15"/>
        </w:rPr>
        <w:t xml:space="preserve"> </w:t>
      </w:r>
      <w:r>
        <w:t>any</w:t>
      </w:r>
      <w:r>
        <w:rPr>
          <w:spacing w:val="-13"/>
        </w:rPr>
        <w:t xml:space="preserve"> </w:t>
      </w:r>
      <w:r>
        <w:t>of</w:t>
      </w:r>
      <w:r>
        <w:rPr>
          <w:spacing w:val="-15"/>
        </w:rPr>
        <w:t xml:space="preserve"> </w:t>
      </w:r>
      <w:r>
        <w:t>the</w:t>
      </w:r>
      <w:r>
        <w:rPr>
          <w:spacing w:val="-14"/>
        </w:rPr>
        <w:t xml:space="preserve"> </w:t>
      </w:r>
      <w:r>
        <w:t>projects contemplated under the</w:t>
      </w:r>
      <w:r>
        <w:rPr>
          <w:spacing w:val="-4"/>
        </w:rPr>
        <w:t xml:space="preserve"> </w:t>
      </w:r>
      <w:r>
        <w:t>Agreement.</w:t>
      </w:r>
    </w:p>
    <w:p w14:paraId="683B14D9" w14:textId="77777777" w:rsidR="00D757DA" w:rsidRDefault="00D757DA">
      <w:pPr>
        <w:pStyle w:val="Zkladntext"/>
        <w:spacing w:before="10"/>
        <w:rPr>
          <w:sz w:val="20"/>
        </w:rPr>
      </w:pPr>
    </w:p>
    <w:p w14:paraId="3D9BB122" w14:textId="77777777" w:rsidR="00D757DA" w:rsidRDefault="0033254E">
      <w:pPr>
        <w:pStyle w:val="Odstavecseseznamem"/>
        <w:numPr>
          <w:ilvl w:val="1"/>
          <w:numId w:val="60"/>
        </w:numPr>
        <w:tabs>
          <w:tab w:val="left" w:pos="841"/>
        </w:tabs>
        <w:ind w:right="1435" w:firstLine="0"/>
        <w:jc w:val="both"/>
      </w:pPr>
      <w:r>
        <w:t>The IPO shall bear sole liability vis-à-vis third parties and undertakes to defend, hold harmless</w:t>
      </w:r>
      <w:r>
        <w:rPr>
          <w:spacing w:val="-18"/>
        </w:rPr>
        <w:t xml:space="preserve"> </w:t>
      </w:r>
      <w:r>
        <w:t>and</w:t>
      </w:r>
      <w:r>
        <w:rPr>
          <w:spacing w:val="-17"/>
        </w:rPr>
        <w:t xml:space="preserve"> </w:t>
      </w:r>
      <w:r>
        <w:t>indemnify</w:t>
      </w:r>
      <w:r>
        <w:rPr>
          <w:spacing w:val="-18"/>
        </w:rPr>
        <w:t xml:space="preserve"> </w:t>
      </w:r>
      <w:r>
        <w:t>the</w:t>
      </w:r>
      <w:r>
        <w:rPr>
          <w:spacing w:val="-15"/>
        </w:rPr>
        <w:t xml:space="preserve"> </w:t>
      </w:r>
      <w:r>
        <w:t>EUIPO</w:t>
      </w:r>
      <w:r>
        <w:rPr>
          <w:spacing w:val="-17"/>
        </w:rPr>
        <w:t xml:space="preserve"> </w:t>
      </w:r>
      <w:r>
        <w:t>against</w:t>
      </w:r>
      <w:r>
        <w:rPr>
          <w:spacing w:val="-16"/>
        </w:rPr>
        <w:t xml:space="preserve"> </w:t>
      </w:r>
      <w:proofErr w:type="gramStart"/>
      <w:r>
        <w:t>any</w:t>
      </w:r>
      <w:r>
        <w:rPr>
          <w:spacing w:val="-18"/>
        </w:rPr>
        <w:t xml:space="preserve"> </w:t>
      </w:r>
      <w:r>
        <w:t>and</w:t>
      </w:r>
      <w:r>
        <w:rPr>
          <w:spacing w:val="-15"/>
        </w:rPr>
        <w:t xml:space="preserve"> </w:t>
      </w:r>
      <w:r>
        <w:t>all</w:t>
      </w:r>
      <w:proofErr w:type="gramEnd"/>
      <w:r>
        <w:rPr>
          <w:spacing w:val="-16"/>
        </w:rPr>
        <w:t xml:space="preserve"> </w:t>
      </w:r>
      <w:r>
        <w:t>claims</w:t>
      </w:r>
      <w:r>
        <w:rPr>
          <w:spacing w:val="-17"/>
        </w:rPr>
        <w:t xml:space="preserve"> </w:t>
      </w:r>
      <w:r>
        <w:t>of</w:t>
      </w:r>
      <w:r>
        <w:rPr>
          <w:spacing w:val="-17"/>
        </w:rPr>
        <w:t xml:space="preserve"> </w:t>
      </w:r>
      <w:r>
        <w:t>alleged</w:t>
      </w:r>
      <w:r>
        <w:rPr>
          <w:spacing w:val="-15"/>
        </w:rPr>
        <w:t xml:space="preserve"> </w:t>
      </w:r>
      <w:r>
        <w:t>or</w:t>
      </w:r>
      <w:r>
        <w:rPr>
          <w:spacing w:val="-19"/>
        </w:rPr>
        <w:t xml:space="preserve"> </w:t>
      </w:r>
      <w:r>
        <w:t>actual</w:t>
      </w:r>
      <w:r>
        <w:rPr>
          <w:spacing w:val="-15"/>
        </w:rPr>
        <w:t xml:space="preserve"> </w:t>
      </w:r>
      <w:r>
        <w:t>infringement of any rights raised by third parties against the</w:t>
      </w:r>
      <w:r>
        <w:rPr>
          <w:spacing w:val="-8"/>
        </w:rPr>
        <w:t xml:space="preserve"> </w:t>
      </w:r>
      <w:r>
        <w:t>EUIPO.</w:t>
      </w:r>
    </w:p>
    <w:p w14:paraId="18E73933" w14:textId="77777777" w:rsidR="00D757DA" w:rsidRDefault="00D757DA">
      <w:pPr>
        <w:pStyle w:val="Zkladntext"/>
        <w:spacing w:before="3"/>
        <w:rPr>
          <w:sz w:val="31"/>
        </w:rPr>
      </w:pPr>
    </w:p>
    <w:p w14:paraId="798A16D1" w14:textId="77777777" w:rsidR="00D757DA" w:rsidRDefault="0033254E">
      <w:pPr>
        <w:pStyle w:val="Nadpis3"/>
      </w:pPr>
      <w:bookmarkStart w:id="13" w:name="ARTICLE_6_-_OWNERSHIP_/_USE_OF_THE_RESUL"/>
      <w:bookmarkEnd w:id="13"/>
      <w:r>
        <w:t>ARTICLE 6 - OWNERSHIP / USE OF THE RESULTS</w:t>
      </w:r>
    </w:p>
    <w:p w14:paraId="419A4018" w14:textId="77777777" w:rsidR="00D757DA" w:rsidRDefault="00D757DA">
      <w:pPr>
        <w:pStyle w:val="Zkladntext"/>
        <w:rPr>
          <w:b/>
          <w:sz w:val="21"/>
        </w:rPr>
      </w:pPr>
    </w:p>
    <w:p w14:paraId="5599AF69" w14:textId="77777777" w:rsidR="00D757DA" w:rsidRDefault="0033254E">
      <w:pPr>
        <w:pStyle w:val="Odstavecseseznamem"/>
        <w:numPr>
          <w:ilvl w:val="1"/>
          <w:numId w:val="59"/>
        </w:numPr>
        <w:tabs>
          <w:tab w:val="left" w:pos="841"/>
        </w:tabs>
        <w:ind w:right="1437" w:firstLine="0"/>
        <w:jc w:val="both"/>
      </w:pPr>
      <w:r>
        <w:t>Unless</w:t>
      </w:r>
      <w:r>
        <w:rPr>
          <w:spacing w:val="-8"/>
        </w:rPr>
        <w:t xml:space="preserve"> </w:t>
      </w:r>
      <w:r>
        <w:t>stipulated</w:t>
      </w:r>
      <w:r>
        <w:rPr>
          <w:spacing w:val="-7"/>
        </w:rPr>
        <w:t xml:space="preserve"> </w:t>
      </w:r>
      <w:r>
        <w:t>otherwise</w:t>
      </w:r>
      <w:r>
        <w:rPr>
          <w:spacing w:val="-8"/>
        </w:rPr>
        <w:t xml:space="preserve"> </w:t>
      </w:r>
      <w:r>
        <w:t>in</w:t>
      </w:r>
      <w:r>
        <w:rPr>
          <w:spacing w:val="-7"/>
        </w:rPr>
        <w:t xml:space="preserve"> </w:t>
      </w:r>
      <w:r>
        <w:t>the</w:t>
      </w:r>
      <w:r>
        <w:rPr>
          <w:spacing w:val="-8"/>
        </w:rPr>
        <w:t xml:space="preserve"> </w:t>
      </w:r>
      <w:r>
        <w:t>Agreement,</w:t>
      </w:r>
      <w:r>
        <w:rPr>
          <w:spacing w:val="-8"/>
        </w:rPr>
        <w:t xml:space="preserve"> </w:t>
      </w:r>
      <w:r>
        <w:t>ownership</w:t>
      </w:r>
      <w:r>
        <w:rPr>
          <w:spacing w:val="-7"/>
        </w:rPr>
        <w:t xml:space="preserve"> </w:t>
      </w:r>
      <w:r>
        <w:t>of</w:t>
      </w:r>
      <w:r>
        <w:rPr>
          <w:spacing w:val="-11"/>
        </w:rPr>
        <w:t xml:space="preserve"> </w:t>
      </w:r>
      <w:r>
        <w:t>the</w:t>
      </w:r>
      <w:r>
        <w:rPr>
          <w:spacing w:val="-11"/>
        </w:rPr>
        <w:t xml:space="preserve"> </w:t>
      </w:r>
      <w:r>
        <w:t>results</w:t>
      </w:r>
      <w:r>
        <w:rPr>
          <w:spacing w:val="-9"/>
        </w:rPr>
        <w:t xml:space="preserve"> </w:t>
      </w:r>
      <w:r>
        <w:t>of</w:t>
      </w:r>
      <w:r>
        <w:rPr>
          <w:spacing w:val="-9"/>
        </w:rPr>
        <w:t xml:space="preserve"> </w:t>
      </w:r>
      <w:r>
        <w:t>the</w:t>
      </w:r>
      <w:r>
        <w:rPr>
          <w:spacing w:val="-9"/>
        </w:rPr>
        <w:t xml:space="preserve"> </w:t>
      </w:r>
      <w:r>
        <w:t>project/s contemplated under the Agreement, including IP rights, and of the reports and other documents relating to it shall be vested in the</w:t>
      </w:r>
      <w:r>
        <w:rPr>
          <w:spacing w:val="-9"/>
        </w:rPr>
        <w:t xml:space="preserve"> </w:t>
      </w:r>
      <w:r>
        <w:t>EUIPO.</w:t>
      </w:r>
    </w:p>
    <w:p w14:paraId="03EB2F0F" w14:textId="77777777" w:rsidR="00D757DA" w:rsidRDefault="00D757DA">
      <w:pPr>
        <w:pStyle w:val="Zkladntext"/>
        <w:spacing w:before="10"/>
        <w:rPr>
          <w:sz w:val="20"/>
        </w:rPr>
      </w:pPr>
    </w:p>
    <w:p w14:paraId="7078F2BE" w14:textId="77777777" w:rsidR="00D757DA" w:rsidRDefault="0033254E">
      <w:pPr>
        <w:pStyle w:val="Odstavecseseznamem"/>
        <w:numPr>
          <w:ilvl w:val="1"/>
          <w:numId w:val="59"/>
        </w:numPr>
        <w:tabs>
          <w:tab w:val="left" w:pos="841"/>
        </w:tabs>
        <w:ind w:right="1435" w:firstLine="0"/>
        <w:jc w:val="both"/>
      </w:pPr>
      <w:r>
        <w:t>Without</w:t>
      </w:r>
      <w:r>
        <w:rPr>
          <w:spacing w:val="-8"/>
        </w:rPr>
        <w:t xml:space="preserve"> </w:t>
      </w:r>
      <w:r>
        <w:t>prejudice</w:t>
      </w:r>
      <w:r>
        <w:rPr>
          <w:spacing w:val="-9"/>
        </w:rPr>
        <w:t xml:space="preserve"> </w:t>
      </w:r>
      <w:r>
        <w:t>to</w:t>
      </w:r>
      <w:r>
        <w:rPr>
          <w:spacing w:val="-9"/>
        </w:rPr>
        <w:t xml:space="preserve"> </w:t>
      </w:r>
      <w:r>
        <w:t>paragraph</w:t>
      </w:r>
      <w:r>
        <w:rPr>
          <w:spacing w:val="-9"/>
        </w:rPr>
        <w:t xml:space="preserve"> </w:t>
      </w:r>
      <w:r>
        <w:t>1,</w:t>
      </w:r>
      <w:r>
        <w:rPr>
          <w:spacing w:val="-9"/>
        </w:rPr>
        <w:t xml:space="preserve"> </w:t>
      </w:r>
      <w:r>
        <w:t>the</w:t>
      </w:r>
      <w:r>
        <w:rPr>
          <w:spacing w:val="-9"/>
        </w:rPr>
        <w:t xml:space="preserve"> </w:t>
      </w:r>
      <w:r>
        <w:t>EUIPO</w:t>
      </w:r>
      <w:r>
        <w:rPr>
          <w:spacing w:val="-8"/>
        </w:rPr>
        <w:t xml:space="preserve"> </w:t>
      </w:r>
      <w:r>
        <w:t>grants</w:t>
      </w:r>
      <w:r>
        <w:rPr>
          <w:spacing w:val="-8"/>
        </w:rPr>
        <w:t xml:space="preserve"> </w:t>
      </w:r>
      <w:r>
        <w:t>the</w:t>
      </w:r>
      <w:r>
        <w:rPr>
          <w:spacing w:val="-11"/>
        </w:rPr>
        <w:t xml:space="preserve"> </w:t>
      </w:r>
      <w:r>
        <w:t>IPO</w:t>
      </w:r>
      <w:r>
        <w:rPr>
          <w:spacing w:val="-8"/>
        </w:rPr>
        <w:t xml:space="preserve"> </w:t>
      </w:r>
      <w:r>
        <w:t>the</w:t>
      </w:r>
      <w:r>
        <w:rPr>
          <w:spacing w:val="-11"/>
        </w:rPr>
        <w:t xml:space="preserve"> </w:t>
      </w:r>
      <w:r>
        <w:t>right</w:t>
      </w:r>
      <w:r>
        <w:rPr>
          <w:spacing w:val="-10"/>
        </w:rPr>
        <w:t xml:space="preserve"> </w:t>
      </w:r>
      <w:r>
        <w:t>to</w:t>
      </w:r>
      <w:r>
        <w:rPr>
          <w:spacing w:val="-11"/>
        </w:rPr>
        <w:t xml:space="preserve"> </w:t>
      </w:r>
      <w:r>
        <w:t>make</w:t>
      </w:r>
      <w:r>
        <w:rPr>
          <w:spacing w:val="-9"/>
        </w:rPr>
        <w:t xml:space="preserve"> </w:t>
      </w:r>
      <w:r>
        <w:t>free</w:t>
      </w:r>
      <w:r>
        <w:rPr>
          <w:spacing w:val="-12"/>
        </w:rPr>
        <w:t xml:space="preserve"> </w:t>
      </w:r>
      <w:r>
        <w:t>use of</w:t>
      </w:r>
      <w:r>
        <w:rPr>
          <w:spacing w:val="-6"/>
        </w:rPr>
        <w:t xml:space="preserve"> </w:t>
      </w:r>
      <w:r>
        <w:t>the</w:t>
      </w:r>
      <w:r>
        <w:rPr>
          <w:spacing w:val="-4"/>
        </w:rPr>
        <w:t xml:space="preserve"> </w:t>
      </w:r>
      <w:r>
        <w:t>projects</w:t>
      </w:r>
      <w:r>
        <w:rPr>
          <w:spacing w:val="-7"/>
        </w:rPr>
        <w:t xml:space="preserve"> </w:t>
      </w:r>
      <w:r>
        <w:t>results</w:t>
      </w:r>
      <w:r>
        <w:rPr>
          <w:spacing w:val="-4"/>
        </w:rPr>
        <w:t xml:space="preserve"> </w:t>
      </w:r>
      <w:r>
        <w:t>contemplated</w:t>
      </w:r>
      <w:r>
        <w:rPr>
          <w:spacing w:val="-7"/>
        </w:rPr>
        <w:t xml:space="preserve"> </w:t>
      </w:r>
      <w:r>
        <w:t>under</w:t>
      </w:r>
      <w:r>
        <w:rPr>
          <w:spacing w:val="-8"/>
        </w:rPr>
        <w:t xml:space="preserve"> </w:t>
      </w:r>
      <w:r>
        <w:t>the</w:t>
      </w:r>
      <w:r>
        <w:rPr>
          <w:spacing w:val="-5"/>
        </w:rPr>
        <w:t xml:space="preserve"> </w:t>
      </w:r>
      <w:r>
        <w:t>Agreement</w:t>
      </w:r>
      <w:r>
        <w:rPr>
          <w:spacing w:val="-1"/>
        </w:rPr>
        <w:t xml:space="preserve"> </w:t>
      </w:r>
      <w:r>
        <w:t>as</w:t>
      </w:r>
      <w:r>
        <w:rPr>
          <w:spacing w:val="-7"/>
        </w:rPr>
        <w:t xml:space="preserve"> </w:t>
      </w:r>
      <w:r>
        <w:t>it</w:t>
      </w:r>
      <w:r>
        <w:rPr>
          <w:spacing w:val="-5"/>
        </w:rPr>
        <w:t xml:space="preserve"> </w:t>
      </w:r>
      <w:r>
        <w:t>deems</w:t>
      </w:r>
      <w:r>
        <w:rPr>
          <w:spacing w:val="-8"/>
        </w:rPr>
        <w:t xml:space="preserve"> </w:t>
      </w:r>
      <w:r>
        <w:t>fit,</w:t>
      </w:r>
      <w:r>
        <w:rPr>
          <w:spacing w:val="-8"/>
        </w:rPr>
        <w:t xml:space="preserve"> </w:t>
      </w:r>
      <w:r>
        <w:t>provided</w:t>
      </w:r>
      <w:r>
        <w:rPr>
          <w:spacing w:val="-4"/>
        </w:rPr>
        <w:t xml:space="preserve"> </w:t>
      </w:r>
      <w:r>
        <w:t>it</w:t>
      </w:r>
      <w:r>
        <w:rPr>
          <w:spacing w:val="-6"/>
        </w:rPr>
        <w:t xml:space="preserve"> </w:t>
      </w:r>
      <w:r>
        <w:t>does</w:t>
      </w:r>
      <w:r>
        <w:rPr>
          <w:spacing w:val="-4"/>
        </w:rPr>
        <w:t xml:space="preserve"> </w:t>
      </w:r>
      <w:r>
        <w:t>not thereby breach its confidentiality obligations or existing IP</w:t>
      </w:r>
      <w:r>
        <w:rPr>
          <w:spacing w:val="-12"/>
        </w:rPr>
        <w:t xml:space="preserve"> </w:t>
      </w:r>
      <w:r>
        <w:t>rights.</w:t>
      </w:r>
    </w:p>
    <w:p w14:paraId="6B0547E0" w14:textId="77777777" w:rsidR="00D757DA" w:rsidRDefault="00D757DA">
      <w:pPr>
        <w:pStyle w:val="Zkladntext"/>
        <w:spacing w:before="10"/>
        <w:rPr>
          <w:sz w:val="20"/>
        </w:rPr>
      </w:pPr>
    </w:p>
    <w:p w14:paraId="44A34919" w14:textId="77777777" w:rsidR="00D757DA" w:rsidRDefault="0033254E">
      <w:pPr>
        <w:pStyle w:val="Odstavecseseznamem"/>
        <w:numPr>
          <w:ilvl w:val="1"/>
          <w:numId w:val="59"/>
        </w:numPr>
        <w:tabs>
          <w:tab w:val="left" w:pos="841"/>
        </w:tabs>
        <w:ind w:right="1436" w:firstLine="0"/>
        <w:jc w:val="both"/>
      </w:pPr>
      <w:r>
        <w:t>Without prejudice to the IP rights of the Parties existing prior to the conclusion of the present</w:t>
      </w:r>
      <w:r>
        <w:rPr>
          <w:spacing w:val="-10"/>
        </w:rPr>
        <w:t xml:space="preserve"> </w:t>
      </w:r>
      <w:r>
        <w:t>Agreement,</w:t>
      </w:r>
      <w:r>
        <w:rPr>
          <w:spacing w:val="-10"/>
        </w:rPr>
        <w:t xml:space="preserve"> </w:t>
      </w:r>
      <w:r>
        <w:t>the</w:t>
      </w:r>
      <w:r>
        <w:rPr>
          <w:spacing w:val="-12"/>
        </w:rPr>
        <w:t xml:space="preserve"> </w:t>
      </w:r>
      <w:r>
        <w:t>IPO</w:t>
      </w:r>
      <w:r>
        <w:rPr>
          <w:spacing w:val="-8"/>
        </w:rPr>
        <w:t xml:space="preserve"> </w:t>
      </w:r>
      <w:r>
        <w:t>grants</w:t>
      </w:r>
      <w:r>
        <w:rPr>
          <w:spacing w:val="-10"/>
        </w:rPr>
        <w:t xml:space="preserve"> </w:t>
      </w:r>
      <w:r>
        <w:t>the</w:t>
      </w:r>
      <w:r>
        <w:rPr>
          <w:spacing w:val="-12"/>
        </w:rPr>
        <w:t xml:space="preserve"> </w:t>
      </w:r>
      <w:r>
        <w:t>EUIPO</w:t>
      </w:r>
      <w:r>
        <w:rPr>
          <w:spacing w:val="-10"/>
        </w:rPr>
        <w:t xml:space="preserve"> </w:t>
      </w:r>
      <w:r>
        <w:t>a</w:t>
      </w:r>
      <w:r>
        <w:rPr>
          <w:spacing w:val="-11"/>
        </w:rPr>
        <w:t xml:space="preserve"> </w:t>
      </w:r>
      <w:r>
        <w:t>royalty-free</w:t>
      </w:r>
      <w:r>
        <w:rPr>
          <w:spacing w:val="-9"/>
        </w:rPr>
        <w:t xml:space="preserve"> </w:t>
      </w:r>
      <w:r>
        <w:t>license</w:t>
      </w:r>
      <w:r>
        <w:rPr>
          <w:spacing w:val="-9"/>
        </w:rPr>
        <w:t xml:space="preserve"> </w:t>
      </w:r>
      <w:r>
        <w:t>of</w:t>
      </w:r>
      <w:r>
        <w:rPr>
          <w:spacing w:val="-7"/>
        </w:rPr>
        <w:t xml:space="preserve"> </w:t>
      </w:r>
      <w:r>
        <w:t>use,</w:t>
      </w:r>
      <w:r>
        <w:rPr>
          <w:spacing w:val="-8"/>
        </w:rPr>
        <w:t xml:space="preserve"> </w:t>
      </w:r>
      <w:r>
        <w:t>disposal</w:t>
      </w:r>
      <w:r>
        <w:rPr>
          <w:spacing w:val="-10"/>
        </w:rPr>
        <w:t xml:space="preserve"> </w:t>
      </w:r>
      <w:r>
        <w:t>and</w:t>
      </w:r>
      <w:r>
        <w:rPr>
          <w:spacing w:val="-11"/>
        </w:rPr>
        <w:t xml:space="preserve"> </w:t>
      </w:r>
      <w:r>
        <w:t>sub- license</w:t>
      </w:r>
      <w:r>
        <w:rPr>
          <w:spacing w:val="-10"/>
        </w:rPr>
        <w:t xml:space="preserve"> </w:t>
      </w:r>
      <w:r>
        <w:t>of</w:t>
      </w:r>
      <w:r>
        <w:rPr>
          <w:spacing w:val="-8"/>
        </w:rPr>
        <w:t xml:space="preserve"> </w:t>
      </w:r>
      <w:r>
        <w:t>IP</w:t>
      </w:r>
      <w:r>
        <w:rPr>
          <w:spacing w:val="-12"/>
        </w:rPr>
        <w:t xml:space="preserve"> </w:t>
      </w:r>
      <w:r>
        <w:t>rights</w:t>
      </w:r>
      <w:r>
        <w:rPr>
          <w:spacing w:val="-11"/>
        </w:rPr>
        <w:t xml:space="preserve"> </w:t>
      </w:r>
      <w:r>
        <w:t>relating</w:t>
      </w:r>
      <w:r>
        <w:rPr>
          <w:spacing w:val="-9"/>
        </w:rPr>
        <w:t xml:space="preserve"> </w:t>
      </w:r>
      <w:r>
        <w:t>to</w:t>
      </w:r>
      <w:r>
        <w:rPr>
          <w:spacing w:val="-9"/>
        </w:rPr>
        <w:t xml:space="preserve"> </w:t>
      </w:r>
      <w:r>
        <w:t>data</w:t>
      </w:r>
      <w:r>
        <w:rPr>
          <w:spacing w:val="-9"/>
        </w:rPr>
        <w:t xml:space="preserve"> </w:t>
      </w:r>
      <w:r>
        <w:t>belonging</w:t>
      </w:r>
      <w:r>
        <w:rPr>
          <w:spacing w:val="-9"/>
        </w:rPr>
        <w:t xml:space="preserve"> </w:t>
      </w:r>
      <w:r>
        <w:t>to</w:t>
      </w:r>
      <w:r>
        <w:rPr>
          <w:spacing w:val="-11"/>
        </w:rPr>
        <w:t xml:space="preserve"> </w:t>
      </w:r>
      <w:r>
        <w:t>the</w:t>
      </w:r>
      <w:r>
        <w:rPr>
          <w:spacing w:val="-12"/>
        </w:rPr>
        <w:t xml:space="preserve"> </w:t>
      </w:r>
      <w:r>
        <w:t>former</w:t>
      </w:r>
      <w:r>
        <w:rPr>
          <w:spacing w:val="-10"/>
        </w:rPr>
        <w:t xml:space="preserve"> </w:t>
      </w:r>
      <w:r>
        <w:t>and</w:t>
      </w:r>
      <w:r>
        <w:rPr>
          <w:spacing w:val="-9"/>
        </w:rPr>
        <w:t xml:space="preserve"> </w:t>
      </w:r>
      <w:r>
        <w:t>being</w:t>
      </w:r>
      <w:r>
        <w:rPr>
          <w:spacing w:val="-9"/>
        </w:rPr>
        <w:t xml:space="preserve"> </w:t>
      </w:r>
      <w:r>
        <w:t>used</w:t>
      </w:r>
      <w:r>
        <w:rPr>
          <w:spacing w:val="-9"/>
        </w:rPr>
        <w:t xml:space="preserve"> </w:t>
      </w:r>
      <w:r>
        <w:t>in</w:t>
      </w:r>
      <w:r>
        <w:rPr>
          <w:spacing w:val="-9"/>
        </w:rPr>
        <w:t xml:space="preserve"> </w:t>
      </w:r>
      <w:r>
        <w:t>or</w:t>
      </w:r>
      <w:r>
        <w:rPr>
          <w:spacing w:val="-8"/>
        </w:rPr>
        <w:t xml:space="preserve"> </w:t>
      </w:r>
      <w:r>
        <w:t>transferred</w:t>
      </w:r>
      <w:r>
        <w:rPr>
          <w:spacing w:val="-10"/>
        </w:rPr>
        <w:t xml:space="preserve"> </w:t>
      </w:r>
      <w:r>
        <w:t>for the implementation of the projects covered under the present</w:t>
      </w:r>
      <w:r>
        <w:rPr>
          <w:spacing w:val="-10"/>
        </w:rPr>
        <w:t xml:space="preserve"> </w:t>
      </w:r>
      <w:r>
        <w:t>Agreement.</w:t>
      </w:r>
    </w:p>
    <w:p w14:paraId="47380D23" w14:textId="77777777" w:rsidR="00D757DA" w:rsidRDefault="00D757DA">
      <w:pPr>
        <w:pStyle w:val="Zkladntext"/>
        <w:spacing w:before="4"/>
        <w:rPr>
          <w:sz w:val="31"/>
        </w:rPr>
      </w:pPr>
    </w:p>
    <w:p w14:paraId="4C5CD560" w14:textId="77777777" w:rsidR="00D757DA" w:rsidRDefault="0033254E">
      <w:pPr>
        <w:pStyle w:val="Nadpis3"/>
      </w:pPr>
      <w:bookmarkStart w:id="14" w:name="ARTICLE_7_-_CONFIDENTIALITY"/>
      <w:bookmarkEnd w:id="14"/>
      <w:r>
        <w:t>ARTICLE 7 - CONFIDENTIALITY</w:t>
      </w:r>
    </w:p>
    <w:p w14:paraId="20729FAA" w14:textId="77777777" w:rsidR="00D757DA" w:rsidRDefault="00D757DA">
      <w:pPr>
        <w:pStyle w:val="Zkladntext"/>
        <w:spacing w:before="9"/>
        <w:rPr>
          <w:b/>
          <w:sz w:val="20"/>
        </w:rPr>
      </w:pPr>
    </w:p>
    <w:p w14:paraId="686403CA" w14:textId="77777777" w:rsidR="00D757DA" w:rsidRDefault="0033254E">
      <w:pPr>
        <w:pStyle w:val="Zkladntext"/>
        <w:ind w:left="120" w:right="1437"/>
        <w:jc w:val="both"/>
      </w:pPr>
      <w:r>
        <w:t>The EUIPO and the IPO shall preserve the confidentiality of any information and documents, in any form, which are disclosed in writing or orally in relation to the implementation of the Agreement</w:t>
      </w:r>
      <w:r>
        <w:rPr>
          <w:spacing w:val="-17"/>
        </w:rPr>
        <w:t xml:space="preserve"> </w:t>
      </w:r>
      <w:r>
        <w:t>and</w:t>
      </w:r>
      <w:r>
        <w:rPr>
          <w:spacing w:val="-17"/>
        </w:rPr>
        <w:t xml:space="preserve"> </w:t>
      </w:r>
      <w:r>
        <w:t>which</w:t>
      </w:r>
      <w:r>
        <w:rPr>
          <w:spacing w:val="-18"/>
        </w:rPr>
        <w:t xml:space="preserve"> </w:t>
      </w:r>
      <w:r>
        <w:t>are</w:t>
      </w:r>
      <w:r>
        <w:rPr>
          <w:spacing w:val="-17"/>
        </w:rPr>
        <w:t xml:space="preserve"> </w:t>
      </w:r>
      <w:r>
        <w:t>explicitly</w:t>
      </w:r>
      <w:r>
        <w:rPr>
          <w:spacing w:val="-17"/>
        </w:rPr>
        <w:t xml:space="preserve"> </w:t>
      </w:r>
      <w:r>
        <w:t>indicated</w:t>
      </w:r>
      <w:r>
        <w:rPr>
          <w:spacing w:val="-18"/>
        </w:rPr>
        <w:t xml:space="preserve"> </w:t>
      </w:r>
      <w:r>
        <w:t>in</w:t>
      </w:r>
      <w:r>
        <w:rPr>
          <w:spacing w:val="-17"/>
        </w:rPr>
        <w:t xml:space="preserve"> </w:t>
      </w:r>
      <w:r>
        <w:t>writing</w:t>
      </w:r>
      <w:r>
        <w:rPr>
          <w:spacing w:val="-17"/>
        </w:rPr>
        <w:t xml:space="preserve"> </w:t>
      </w:r>
      <w:r>
        <w:t>as</w:t>
      </w:r>
      <w:r>
        <w:rPr>
          <w:spacing w:val="-18"/>
        </w:rPr>
        <w:t xml:space="preserve"> </w:t>
      </w:r>
      <w:r>
        <w:t>confidential.</w:t>
      </w:r>
      <w:r>
        <w:rPr>
          <w:spacing w:val="-16"/>
        </w:rPr>
        <w:t xml:space="preserve"> </w:t>
      </w:r>
      <w:r>
        <w:t>The</w:t>
      </w:r>
      <w:r>
        <w:rPr>
          <w:spacing w:val="-19"/>
        </w:rPr>
        <w:t xml:space="preserve"> </w:t>
      </w:r>
      <w:r>
        <w:t>parties</w:t>
      </w:r>
      <w:r>
        <w:rPr>
          <w:spacing w:val="-18"/>
        </w:rPr>
        <w:t xml:space="preserve"> </w:t>
      </w:r>
      <w:r>
        <w:t>shall</w:t>
      </w:r>
      <w:r>
        <w:rPr>
          <w:spacing w:val="-20"/>
        </w:rPr>
        <w:t xml:space="preserve"> </w:t>
      </w:r>
      <w:r>
        <w:t>remain bound by this obligation beyond the expiration date of the</w:t>
      </w:r>
      <w:r>
        <w:rPr>
          <w:spacing w:val="-12"/>
        </w:rPr>
        <w:t xml:space="preserve"> </w:t>
      </w:r>
      <w:r>
        <w:t>Agreement.</w:t>
      </w:r>
    </w:p>
    <w:p w14:paraId="5FF23DB7" w14:textId="77777777" w:rsidR="00D757DA" w:rsidRDefault="00D757DA">
      <w:pPr>
        <w:pStyle w:val="Zkladntext"/>
        <w:spacing w:before="5"/>
        <w:rPr>
          <w:sz w:val="31"/>
        </w:rPr>
      </w:pPr>
    </w:p>
    <w:p w14:paraId="6B366D72" w14:textId="77777777" w:rsidR="00D757DA" w:rsidRDefault="0033254E">
      <w:pPr>
        <w:pStyle w:val="Nadpis3"/>
      </w:pPr>
      <w:bookmarkStart w:id="15" w:name="ARTICLE_8_-_AMENDMENTS_TO_THE_AGREEMENT"/>
      <w:bookmarkEnd w:id="15"/>
      <w:r>
        <w:t>ARTICLE 8 - AMENDMENTS TO THE AGREEMENT</w:t>
      </w:r>
    </w:p>
    <w:p w14:paraId="221191B2" w14:textId="77777777" w:rsidR="00D757DA" w:rsidRDefault="00D757DA">
      <w:pPr>
        <w:pStyle w:val="Zkladntext"/>
        <w:spacing w:before="9"/>
        <w:rPr>
          <w:b/>
          <w:sz w:val="20"/>
        </w:rPr>
      </w:pPr>
    </w:p>
    <w:p w14:paraId="170F2711" w14:textId="77777777" w:rsidR="00D757DA" w:rsidRDefault="0033254E">
      <w:pPr>
        <w:pStyle w:val="Odstavecseseznamem"/>
        <w:numPr>
          <w:ilvl w:val="1"/>
          <w:numId w:val="58"/>
        </w:numPr>
        <w:tabs>
          <w:tab w:val="left" w:pos="841"/>
        </w:tabs>
        <w:ind w:hanging="721"/>
        <w:jc w:val="both"/>
      </w:pPr>
      <w:r>
        <w:t>Any Amendment to the Agreement shall be made in</w:t>
      </w:r>
      <w:r>
        <w:rPr>
          <w:spacing w:val="-12"/>
        </w:rPr>
        <w:t xml:space="preserve"> </w:t>
      </w:r>
      <w:r>
        <w:t>writing.</w:t>
      </w:r>
    </w:p>
    <w:p w14:paraId="3B5A8301" w14:textId="77777777" w:rsidR="00D757DA" w:rsidRDefault="00D757DA">
      <w:pPr>
        <w:pStyle w:val="Zkladntext"/>
        <w:rPr>
          <w:sz w:val="21"/>
        </w:rPr>
      </w:pPr>
    </w:p>
    <w:p w14:paraId="1A609050" w14:textId="77777777" w:rsidR="00D757DA" w:rsidRDefault="0033254E">
      <w:pPr>
        <w:pStyle w:val="Odstavecseseznamem"/>
        <w:numPr>
          <w:ilvl w:val="1"/>
          <w:numId w:val="58"/>
        </w:numPr>
        <w:tabs>
          <w:tab w:val="left" w:pos="841"/>
        </w:tabs>
        <w:ind w:left="120" w:right="1437" w:firstLine="0"/>
        <w:jc w:val="both"/>
      </w:pPr>
      <w:r>
        <w:t>Amendments shall enter into force on the date on which the last Party signs. Amendments shall take effect on a date agreed by the parties or, in the absence of such an agreed date, on the date on which the amendment enters into</w:t>
      </w:r>
      <w:r>
        <w:rPr>
          <w:spacing w:val="-14"/>
        </w:rPr>
        <w:t xml:space="preserve"> </w:t>
      </w:r>
      <w:r>
        <w:t>force.</w:t>
      </w:r>
    </w:p>
    <w:p w14:paraId="058D0377" w14:textId="77777777" w:rsidR="00D757DA" w:rsidRDefault="00D757DA">
      <w:pPr>
        <w:pStyle w:val="Zkladntext"/>
        <w:spacing w:before="10"/>
        <w:rPr>
          <w:sz w:val="21"/>
        </w:rPr>
      </w:pPr>
    </w:p>
    <w:p w14:paraId="0DCA9AC4" w14:textId="77777777" w:rsidR="00D757DA" w:rsidRDefault="0033254E">
      <w:pPr>
        <w:pStyle w:val="Odstavecseseznamem"/>
        <w:numPr>
          <w:ilvl w:val="1"/>
          <w:numId w:val="58"/>
        </w:numPr>
        <w:tabs>
          <w:tab w:val="left" w:pos="841"/>
        </w:tabs>
        <w:ind w:left="120" w:right="1435" w:firstLine="0"/>
        <w:jc w:val="both"/>
      </w:pPr>
      <w:r>
        <w:t>The request for amendment can be made by any of the Parties in good time before it is due to take effect, and at all events 30 calendar days before the expiration date of the Agreement, via the online tool provided by the EUIPO except in cases duly substantiated by the IPO and accepted by the</w:t>
      </w:r>
      <w:r>
        <w:rPr>
          <w:spacing w:val="-10"/>
        </w:rPr>
        <w:t xml:space="preserve"> </w:t>
      </w:r>
      <w:r>
        <w:t>EUIPO.</w:t>
      </w:r>
    </w:p>
    <w:p w14:paraId="309FFCF6" w14:textId="77777777" w:rsidR="00D757DA" w:rsidRDefault="00D757DA">
      <w:pPr>
        <w:pStyle w:val="Zkladntext"/>
        <w:spacing w:before="5"/>
        <w:rPr>
          <w:sz w:val="31"/>
        </w:rPr>
      </w:pPr>
    </w:p>
    <w:p w14:paraId="04B84635" w14:textId="77777777" w:rsidR="00D757DA" w:rsidRDefault="0033254E">
      <w:pPr>
        <w:pStyle w:val="Nadpis3"/>
      </w:pPr>
      <w:bookmarkStart w:id="16" w:name="ARTICLE_9_-_APPLICABLE_LAW_AND_SETTLEMEN"/>
      <w:bookmarkEnd w:id="16"/>
      <w:r>
        <w:t>ARTICLE 9 - APPLICABLE LAW AND SETTLEMENT OF DISPUTES</w:t>
      </w:r>
    </w:p>
    <w:p w14:paraId="2C6A14C1" w14:textId="77777777" w:rsidR="00D757DA" w:rsidRDefault="00D757DA">
      <w:pPr>
        <w:pStyle w:val="Zkladntext"/>
        <w:spacing w:before="9"/>
        <w:rPr>
          <w:b/>
          <w:sz w:val="20"/>
        </w:rPr>
      </w:pPr>
    </w:p>
    <w:p w14:paraId="7CAAFE1C" w14:textId="77777777" w:rsidR="00D757DA" w:rsidRDefault="0033254E">
      <w:pPr>
        <w:pStyle w:val="Odstavecseseznamem"/>
        <w:numPr>
          <w:ilvl w:val="1"/>
          <w:numId w:val="57"/>
        </w:numPr>
        <w:tabs>
          <w:tab w:val="left" w:pos="841"/>
        </w:tabs>
        <w:ind w:right="1434" w:firstLine="0"/>
        <w:jc w:val="both"/>
      </w:pPr>
      <w:r>
        <w:t>The</w:t>
      </w:r>
      <w:r>
        <w:rPr>
          <w:spacing w:val="-4"/>
        </w:rPr>
        <w:t xml:space="preserve"> </w:t>
      </w:r>
      <w:r>
        <w:t>Parties</w:t>
      </w:r>
      <w:r>
        <w:rPr>
          <w:spacing w:val="-5"/>
        </w:rPr>
        <w:t xml:space="preserve"> </w:t>
      </w:r>
      <w:r>
        <w:t>specifically</w:t>
      </w:r>
      <w:r>
        <w:rPr>
          <w:spacing w:val="-2"/>
        </w:rPr>
        <w:t xml:space="preserve"> </w:t>
      </w:r>
      <w:r>
        <w:t>agree</w:t>
      </w:r>
      <w:r>
        <w:rPr>
          <w:spacing w:val="-5"/>
        </w:rPr>
        <w:t xml:space="preserve"> </w:t>
      </w:r>
      <w:r>
        <w:t>that</w:t>
      </w:r>
      <w:r>
        <w:rPr>
          <w:spacing w:val="-6"/>
        </w:rPr>
        <w:t xml:space="preserve"> </w:t>
      </w:r>
      <w:r>
        <w:t>the</w:t>
      </w:r>
      <w:r>
        <w:rPr>
          <w:spacing w:val="-5"/>
        </w:rPr>
        <w:t xml:space="preserve"> </w:t>
      </w:r>
      <w:r>
        <w:t>present</w:t>
      </w:r>
      <w:r>
        <w:rPr>
          <w:spacing w:val="-4"/>
        </w:rPr>
        <w:t xml:space="preserve"> </w:t>
      </w:r>
      <w:r>
        <w:t>Agreement</w:t>
      </w:r>
      <w:r>
        <w:rPr>
          <w:spacing w:val="-4"/>
        </w:rPr>
        <w:t xml:space="preserve"> </w:t>
      </w:r>
      <w:r>
        <w:t>shall</w:t>
      </w:r>
      <w:r>
        <w:rPr>
          <w:spacing w:val="-4"/>
        </w:rPr>
        <w:t xml:space="preserve"> </w:t>
      </w:r>
      <w:r>
        <w:t>be</w:t>
      </w:r>
      <w:r>
        <w:rPr>
          <w:spacing w:val="-5"/>
        </w:rPr>
        <w:t xml:space="preserve"> </w:t>
      </w:r>
      <w:r>
        <w:t>interpreted</w:t>
      </w:r>
      <w:r>
        <w:rPr>
          <w:spacing w:val="-3"/>
        </w:rPr>
        <w:t xml:space="preserve"> </w:t>
      </w:r>
      <w:r>
        <w:t>in</w:t>
      </w:r>
      <w:r>
        <w:rPr>
          <w:spacing w:val="-3"/>
        </w:rPr>
        <w:t xml:space="preserve"> </w:t>
      </w:r>
      <w:r>
        <w:t>good faith in accordance with the ordinary meaning to be given to its terms and conditions and in the light of its</w:t>
      </w:r>
      <w:r>
        <w:rPr>
          <w:spacing w:val="-2"/>
        </w:rPr>
        <w:t xml:space="preserve"> </w:t>
      </w:r>
      <w:r>
        <w:t>scope.</w:t>
      </w:r>
    </w:p>
    <w:p w14:paraId="46E37BBF" w14:textId="77777777" w:rsidR="00D757DA" w:rsidRDefault="00D757DA">
      <w:pPr>
        <w:pStyle w:val="Zkladntext"/>
        <w:rPr>
          <w:sz w:val="21"/>
        </w:rPr>
      </w:pPr>
    </w:p>
    <w:p w14:paraId="200F26BB" w14:textId="77777777" w:rsidR="00D757DA" w:rsidRDefault="0033254E">
      <w:pPr>
        <w:pStyle w:val="Odstavecseseznamem"/>
        <w:numPr>
          <w:ilvl w:val="1"/>
          <w:numId w:val="57"/>
        </w:numPr>
        <w:tabs>
          <w:tab w:val="left" w:pos="841"/>
        </w:tabs>
        <w:ind w:right="1435" w:firstLine="0"/>
        <w:jc w:val="both"/>
      </w:pPr>
      <w:r>
        <w:t>Any</w:t>
      </w:r>
      <w:r>
        <w:rPr>
          <w:spacing w:val="-6"/>
        </w:rPr>
        <w:t xml:space="preserve"> </w:t>
      </w:r>
      <w:r>
        <w:t>dispute</w:t>
      </w:r>
      <w:r>
        <w:rPr>
          <w:spacing w:val="-6"/>
        </w:rPr>
        <w:t xml:space="preserve"> </w:t>
      </w:r>
      <w:r>
        <w:t>arising</w:t>
      </w:r>
      <w:r>
        <w:rPr>
          <w:spacing w:val="-7"/>
        </w:rPr>
        <w:t xml:space="preserve"> </w:t>
      </w:r>
      <w:r>
        <w:t>out</w:t>
      </w:r>
      <w:r>
        <w:rPr>
          <w:spacing w:val="-7"/>
        </w:rPr>
        <w:t xml:space="preserve"> </w:t>
      </w:r>
      <w:r>
        <w:t>of</w:t>
      </w:r>
      <w:r>
        <w:rPr>
          <w:spacing w:val="-8"/>
        </w:rPr>
        <w:t xml:space="preserve"> </w:t>
      </w:r>
      <w:r>
        <w:t>or</w:t>
      </w:r>
      <w:r>
        <w:rPr>
          <w:spacing w:val="-6"/>
        </w:rPr>
        <w:t xml:space="preserve"> </w:t>
      </w:r>
      <w:r>
        <w:t>in</w:t>
      </w:r>
      <w:r>
        <w:rPr>
          <w:spacing w:val="-6"/>
        </w:rPr>
        <w:t xml:space="preserve"> </w:t>
      </w:r>
      <w:r>
        <w:t>the</w:t>
      </w:r>
      <w:r>
        <w:rPr>
          <w:spacing w:val="-9"/>
        </w:rPr>
        <w:t xml:space="preserve"> </w:t>
      </w:r>
      <w:r>
        <w:t>context</w:t>
      </w:r>
      <w:r>
        <w:rPr>
          <w:spacing w:val="-5"/>
        </w:rPr>
        <w:t xml:space="preserve"> </w:t>
      </w:r>
      <w:r>
        <w:t>of</w:t>
      </w:r>
      <w:r>
        <w:rPr>
          <w:spacing w:val="-5"/>
        </w:rPr>
        <w:t xml:space="preserve"> </w:t>
      </w:r>
      <w:r>
        <w:t>the</w:t>
      </w:r>
      <w:r>
        <w:rPr>
          <w:spacing w:val="-7"/>
        </w:rPr>
        <w:t xml:space="preserve"> </w:t>
      </w:r>
      <w:r>
        <w:t>present</w:t>
      </w:r>
      <w:r>
        <w:rPr>
          <w:spacing w:val="-5"/>
        </w:rPr>
        <w:t xml:space="preserve"> </w:t>
      </w:r>
      <w:r>
        <w:t>Agreement</w:t>
      </w:r>
      <w:r>
        <w:rPr>
          <w:spacing w:val="-5"/>
        </w:rPr>
        <w:t xml:space="preserve"> </w:t>
      </w:r>
      <w:r>
        <w:t>should</w:t>
      </w:r>
      <w:r>
        <w:rPr>
          <w:spacing w:val="-9"/>
        </w:rPr>
        <w:t xml:space="preserve"> </w:t>
      </w:r>
      <w:r>
        <w:t>be</w:t>
      </w:r>
      <w:r>
        <w:rPr>
          <w:spacing w:val="-7"/>
        </w:rPr>
        <w:t xml:space="preserve"> </w:t>
      </w:r>
      <w:r>
        <w:t xml:space="preserve">settled amicably between the Parties </w:t>
      </w:r>
      <w:proofErr w:type="gramStart"/>
      <w:r>
        <w:t>on the basis of</w:t>
      </w:r>
      <w:proofErr w:type="gramEnd"/>
      <w:r>
        <w:t xml:space="preserve"> the principle of just and equitable treatment for the</w:t>
      </w:r>
      <w:r>
        <w:rPr>
          <w:spacing w:val="-1"/>
        </w:rPr>
        <w:t xml:space="preserve"> </w:t>
      </w:r>
      <w:r>
        <w:t>Parties.</w:t>
      </w:r>
    </w:p>
    <w:p w14:paraId="004D8D55" w14:textId="77777777" w:rsidR="00D757DA" w:rsidRDefault="00D757DA">
      <w:pPr>
        <w:jc w:val="both"/>
        <w:sectPr w:rsidR="00D757DA">
          <w:pgSz w:w="11910" w:h="16840"/>
          <w:pgMar w:top="1340" w:right="0" w:bottom="1160" w:left="1320" w:header="0" w:footer="881" w:gutter="0"/>
          <w:cols w:space="708"/>
        </w:sectPr>
      </w:pPr>
    </w:p>
    <w:p w14:paraId="3A33AE9A" w14:textId="77777777" w:rsidR="00D757DA" w:rsidRDefault="0033254E">
      <w:pPr>
        <w:pStyle w:val="Odstavecseseznamem"/>
        <w:numPr>
          <w:ilvl w:val="1"/>
          <w:numId w:val="57"/>
        </w:numPr>
        <w:tabs>
          <w:tab w:val="left" w:pos="841"/>
        </w:tabs>
        <w:spacing w:before="81"/>
        <w:ind w:right="1436" w:firstLine="0"/>
        <w:jc w:val="both"/>
      </w:pPr>
      <w:r>
        <w:lastRenderedPageBreak/>
        <w:t>Should amicable settlement of disputes fail, the European Court of Justice shall have sole jurisdiction to hear any dispute between the Parties concerning the interpretation, application or validity of this</w:t>
      </w:r>
      <w:r>
        <w:rPr>
          <w:spacing w:val="-2"/>
        </w:rPr>
        <w:t xml:space="preserve"> </w:t>
      </w:r>
      <w:r>
        <w:t>Agreement.</w:t>
      </w:r>
    </w:p>
    <w:p w14:paraId="6BBE10AD" w14:textId="77777777" w:rsidR="00D757DA" w:rsidRDefault="00D757DA">
      <w:pPr>
        <w:pStyle w:val="Zkladntext"/>
        <w:spacing w:before="1"/>
      </w:pPr>
    </w:p>
    <w:p w14:paraId="7592B70E" w14:textId="77777777" w:rsidR="00D757DA" w:rsidRDefault="0033254E">
      <w:pPr>
        <w:pStyle w:val="Nadpis3"/>
        <w:spacing w:before="1"/>
      </w:pPr>
      <w:bookmarkStart w:id="17" w:name="ARTICLE_10_-_PROCESSING_OF_PERSONAL_DATA"/>
      <w:bookmarkEnd w:id="17"/>
      <w:r>
        <w:t>ARTICLE 10 - PROCESSING OF PERSONAL DATA UNDER THE AGREEMENT</w:t>
      </w:r>
    </w:p>
    <w:p w14:paraId="188577D1" w14:textId="77777777" w:rsidR="00D757DA" w:rsidRDefault="00D757DA">
      <w:pPr>
        <w:pStyle w:val="Zkladntext"/>
        <w:spacing w:before="8"/>
        <w:rPr>
          <w:b/>
          <w:sz w:val="20"/>
        </w:rPr>
      </w:pPr>
    </w:p>
    <w:p w14:paraId="53525DC6" w14:textId="77777777" w:rsidR="00D757DA" w:rsidRDefault="0033254E">
      <w:pPr>
        <w:pStyle w:val="Odstavecseseznamem"/>
        <w:numPr>
          <w:ilvl w:val="1"/>
          <w:numId w:val="56"/>
        </w:numPr>
        <w:tabs>
          <w:tab w:val="left" w:pos="841"/>
        </w:tabs>
        <w:spacing w:before="1"/>
        <w:ind w:right="1437" w:firstLine="0"/>
        <w:jc w:val="both"/>
      </w:pPr>
      <w:r>
        <w:t>Where the implementation of the entrusted tasks requires the processing of personal data,</w:t>
      </w:r>
      <w:r>
        <w:rPr>
          <w:spacing w:val="-9"/>
        </w:rPr>
        <w:t xml:space="preserve"> </w:t>
      </w:r>
      <w:r>
        <w:t>the</w:t>
      </w:r>
      <w:r>
        <w:rPr>
          <w:spacing w:val="-9"/>
        </w:rPr>
        <w:t xml:space="preserve"> </w:t>
      </w:r>
      <w:r>
        <w:t>EUIPO</w:t>
      </w:r>
      <w:r>
        <w:rPr>
          <w:spacing w:val="-8"/>
        </w:rPr>
        <w:t xml:space="preserve"> </w:t>
      </w:r>
      <w:r>
        <w:t>undertakes</w:t>
      </w:r>
      <w:r>
        <w:rPr>
          <w:spacing w:val="-9"/>
        </w:rPr>
        <w:t xml:space="preserve"> </w:t>
      </w:r>
      <w:r>
        <w:t>that</w:t>
      </w:r>
      <w:r>
        <w:rPr>
          <w:spacing w:val="-11"/>
        </w:rPr>
        <w:t xml:space="preserve"> </w:t>
      </w:r>
      <w:r>
        <w:t>the</w:t>
      </w:r>
      <w:r>
        <w:rPr>
          <w:spacing w:val="-10"/>
        </w:rPr>
        <w:t xml:space="preserve"> </w:t>
      </w:r>
      <w:r>
        <w:t>processing</w:t>
      </w:r>
      <w:r>
        <w:rPr>
          <w:spacing w:val="-8"/>
        </w:rPr>
        <w:t xml:space="preserve"> </w:t>
      </w:r>
      <w:r>
        <w:t>be</w:t>
      </w:r>
      <w:r>
        <w:rPr>
          <w:spacing w:val="-10"/>
        </w:rPr>
        <w:t xml:space="preserve"> </w:t>
      </w:r>
      <w:r>
        <w:t>made</w:t>
      </w:r>
      <w:r>
        <w:rPr>
          <w:spacing w:val="-7"/>
        </w:rPr>
        <w:t xml:space="preserve"> </w:t>
      </w:r>
      <w:r>
        <w:t>in</w:t>
      </w:r>
      <w:r>
        <w:rPr>
          <w:spacing w:val="-10"/>
        </w:rPr>
        <w:t xml:space="preserve"> </w:t>
      </w:r>
      <w:r>
        <w:t>accordance</w:t>
      </w:r>
      <w:r>
        <w:rPr>
          <w:spacing w:val="-10"/>
        </w:rPr>
        <w:t xml:space="preserve"> </w:t>
      </w:r>
      <w:r>
        <w:t>with</w:t>
      </w:r>
      <w:r>
        <w:rPr>
          <w:spacing w:val="-7"/>
        </w:rPr>
        <w:t xml:space="preserve"> </w:t>
      </w:r>
      <w:r>
        <w:t>Regulation</w:t>
      </w:r>
      <w:r>
        <w:rPr>
          <w:spacing w:val="-10"/>
        </w:rPr>
        <w:t xml:space="preserve"> </w:t>
      </w:r>
      <w:r>
        <w:t>(EU)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w:t>
      </w:r>
      <w:r>
        <w:rPr>
          <w:spacing w:val="-8"/>
        </w:rPr>
        <w:t xml:space="preserve"> </w:t>
      </w:r>
      <w:r>
        <w:t>1247/2002/EC.</w:t>
      </w:r>
    </w:p>
    <w:p w14:paraId="19E44E66" w14:textId="77777777" w:rsidR="00D757DA" w:rsidRDefault="00D757DA">
      <w:pPr>
        <w:pStyle w:val="Zkladntext"/>
        <w:spacing w:before="8"/>
        <w:rPr>
          <w:sz w:val="20"/>
        </w:rPr>
      </w:pPr>
    </w:p>
    <w:p w14:paraId="66A04DE2" w14:textId="77777777" w:rsidR="00D757DA" w:rsidRDefault="0033254E">
      <w:pPr>
        <w:pStyle w:val="Odstavecseseznamem"/>
        <w:numPr>
          <w:ilvl w:val="1"/>
          <w:numId w:val="56"/>
        </w:numPr>
        <w:tabs>
          <w:tab w:val="left" w:pos="903"/>
        </w:tabs>
        <w:spacing w:before="1"/>
        <w:ind w:right="1434" w:firstLine="0"/>
        <w:jc w:val="both"/>
      </w:pPr>
      <w:r>
        <w:t>Where the implementation of the entrusted tasks requires the processing of personal data, the IPO undertakes that the processing be made in accordance with Regulation (EU) 2016/679</w:t>
      </w:r>
      <w:r>
        <w:rPr>
          <w:spacing w:val="-5"/>
        </w:rPr>
        <w:t xml:space="preserve"> </w:t>
      </w:r>
      <w:r>
        <w:t>of</w:t>
      </w:r>
      <w:r>
        <w:rPr>
          <w:spacing w:val="-3"/>
        </w:rPr>
        <w:t xml:space="preserve"> </w:t>
      </w:r>
      <w:r>
        <w:t>the</w:t>
      </w:r>
      <w:r>
        <w:rPr>
          <w:spacing w:val="-4"/>
        </w:rPr>
        <w:t xml:space="preserve"> </w:t>
      </w:r>
      <w:r>
        <w:t>European</w:t>
      </w:r>
      <w:r>
        <w:rPr>
          <w:spacing w:val="-2"/>
        </w:rPr>
        <w:t xml:space="preserve"> </w:t>
      </w:r>
      <w:r>
        <w:t>Parliament</w:t>
      </w:r>
      <w:r>
        <w:rPr>
          <w:spacing w:val="-3"/>
        </w:rPr>
        <w:t xml:space="preserve"> </w:t>
      </w:r>
      <w:r>
        <w:t>and</w:t>
      </w:r>
      <w:r>
        <w:rPr>
          <w:spacing w:val="-2"/>
        </w:rPr>
        <w:t xml:space="preserve"> </w:t>
      </w:r>
      <w:r>
        <w:t>of</w:t>
      </w:r>
      <w:r>
        <w:rPr>
          <w:spacing w:val="-3"/>
        </w:rPr>
        <w:t xml:space="preserve"> </w:t>
      </w:r>
      <w:r>
        <w:t>the</w:t>
      </w:r>
      <w:r>
        <w:rPr>
          <w:spacing w:val="-7"/>
        </w:rPr>
        <w:t xml:space="preserve"> </w:t>
      </w:r>
      <w:r>
        <w:t>Council</w:t>
      </w:r>
      <w:r>
        <w:rPr>
          <w:spacing w:val="-2"/>
        </w:rPr>
        <w:t xml:space="preserve"> </w:t>
      </w:r>
      <w:r>
        <w:t>of</w:t>
      </w:r>
      <w:r>
        <w:rPr>
          <w:spacing w:val="-3"/>
        </w:rPr>
        <w:t xml:space="preserve"> </w:t>
      </w:r>
      <w:r>
        <w:t>27</w:t>
      </w:r>
      <w:r>
        <w:rPr>
          <w:spacing w:val="-2"/>
        </w:rPr>
        <w:t xml:space="preserve"> </w:t>
      </w:r>
      <w:r>
        <w:t>April</w:t>
      </w:r>
      <w:r>
        <w:rPr>
          <w:spacing w:val="-2"/>
        </w:rPr>
        <w:t xml:space="preserve"> </w:t>
      </w:r>
      <w:r>
        <w:t>2016</w:t>
      </w:r>
      <w:r>
        <w:rPr>
          <w:spacing w:val="-7"/>
        </w:rPr>
        <w:t xml:space="preserve"> </w:t>
      </w:r>
      <w:r>
        <w:t>on</w:t>
      </w:r>
      <w:r>
        <w:rPr>
          <w:spacing w:val="-2"/>
        </w:rPr>
        <w:t xml:space="preserve"> </w:t>
      </w:r>
      <w:r>
        <w:t>the</w:t>
      </w:r>
      <w:r>
        <w:rPr>
          <w:spacing w:val="-4"/>
        </w:rPr>
        <w:t xml:space="preserve"> </w:t>
      </w:r>
      <w:r>
        <w:t>protection</w:t>
      </w:r>
      <w:r>
        <w:rPr>
          <w:spacing w:val="-4"/>
        </w:rPr>
        <w:t xml:space="preserve"> </w:t>
      </w:r>
      <w:r>
        <w:t>of natural persons with regard to the processing of personal data and on the free movement of such data, and repealing Directive</w:t>
      </w:r>
      <w:r>
        <w:rPr>
          <w:spacing w:val="-5"/>
        </w:rPr>
        <w:t xml:space="preserve"> </w:t>
      </w:r>
      <w:r>
        <w:t>95/46/EC.</w:t>
      </w:r>
    </w:p>
    <w:p w14:paraId="2ED8C519" w14:textId="77777777" w:rsidR="00D757DA" w:rsidRDefault="00D757DA">
      <w:pPr>
        <w:pStyle w:val="Zkladntext"/>
        <w:spacing w:before="6"/>
        <w:rPr>
          <w:sz w:val="31"/>
        </w:rPr>
      </w:pPr>
    </w:p>
    <w:p w14:paraId="4D0E1C6F" w14:textId="77777777" w:rsidR="00D757DA" w:rsidRDefault="0033254E">
      <w:pPr>
        <w:pStyle w:val="Nadpis3"/>
        <w:ind w:right="1339"/>
      </w:pPr>
      <w:bookmarkStart w:id="18" w:name="ARTICLE_11_-_PROCESSING_OF_PERSONAL_DATA"/>
      <w:bookmarkEnd w:id="18"/>
      <w:r>
        <w:t>ARTICLE 11 - PROCESSING OF PERSONAL DATA FOR THE PURPOSES OF TMVIEW AND DESIGNVIEW</w:t>
      </w:r>
    </w:p>
    <w:p w14:paraId="3165ABB0" w14:textId="77777777" w:rsidR="00D757DA" w:rsidRDefault="00D757DA">
      <w:pPr>
        <w:pStyle w:val="Zkladntext"/>
        <w:spacing w:before="8"/>
        <w:rPr>
          <w:b/>
          <w:sz w:val="20"/>
        </w:rPr>
      </w:pPr>
    </w:p>
    <w:p w14:paraId="24783EDA" w14:textId="77777777" w:rsidR="00D757DA" w:rsidRDefault="0033254E">
      <w:pPr>
        <w:pStyle w:val="Odstavecseseznamem"/>
        <w:numPr>
          <w:ilvl w:val="1"/>
          <w:numId w:val="55"/>
        </w:numPr>
        <w:tabs>
          <w:tab w:val="left" w:pos="841"/>
        </w:tabs>
        <w:ind w:right="1433" w:firstLine="0"/>
        <w:jc w:val="both"/>
      </w:pPr>
      <w:r>
        <w:t xml:space="preserve">EUIPO, as a controller, defined the purpose and the means of the </w:t>
      </w:r>
      <w:proofErr w:type="spellStart"/>
      <w:r>
        <w:t>TMView</w:t>
      </w:r>
      <w:proofErr w:type="spellEnd"/>
      <w:r>
        <w:t xml:space="preserve"> and </w:t>
      </w:r>
      <w:proofErr w:type="spellStart"/>
      <w:r>
        <w:t>DesignView</w:t>
      </w:r>
      <w:proofErr w:type="spellEnd"/>
      <w:r>
        <w:t xml:space="preserve"> data processing operations. Its competence includes definition and coordination of projects relating to the creation of common databases and portals for Union-wide consultation and search and continuous provision and exchange of data and information, including for the purposes of feeding of the databases and portals. Data protection </w:t>
      </w:r>
      <w:proofErr w:type="gramStart"/>
      <w:r>
        <w:t>notice</w:t>
      </w:r>
      <w:proofErr w:type="gramEnd"/>
      <w:r>
        <w:t xml:space="preserve"> </w:t>
      </w:r>
      <w:proofErr w:type="spellStart"/>
      <w:r>
        <w:t>TMView</w:t>
      </w:r>
      <w:proofErr w:type="spellEnd"/>
      <w:r>
        <w:t xml:space="preserve"> and </w:t>
      </w:r>
      <w:proofErr w:type="spellStart"/>
      <w:r>
        <w:t>Designview</w:t>
      </w:r>
      <w:proofErr w:type="spellEnd"/>
      <w:r>
        <w:t>:</w:t>
      </w:r>
      <w:r>
        <w:rPr>
          <w:color w:val="0000FF"/>
          <w:spacing w:val="-2"/>
        </w:rPr>
        <w:t xml:space="preserve"> </w:t>
      </w:r>
      <w:hyperlink r:id="rId9">
        <w:r>
          <w:rPr>
            <w:color w:val="0000FF"/>
            <w:u w:val="single" w:color="0000FF"/>
          </w:rPr>
          <w:t>https://tmdn.org/network/data-protection</w:t>
        </w:r>
      </w:hyperlink>
    </w:p>
    <w:p w14:paraId="341008B6" w14:textId="77777777" w:rsidR="00D757DA" w:rsidRDefault="00D757DA">
      <w:pPr>
        <w:pStyle w:val="Zkladntext"/>
        <w:spacing w:before="10"/>
        <w:rPr>
          <w:sz w:val="12"/>
        </w:rPr>
      </w:pPr>
    </w:p>
    <w:p w14:paraId="662B0DF3" w14:textId="77777777" w:rsidR="00D757DA" w:rsidRDefault="0033254E">
      <w:pPr>
        <w:pStyle w:val="Odstavecseseznamem"/>
        <w:numPr>
          <w:ilvl w:val="1"/>
          <w:numId w:val="55"/>
        </w:numPr>
        <w:tabs>
          <w:tab w:val="left" w:pos="841"/>
        </w:tabs>
        <w:spacing w:before="94"/>
        <w:ind w:right="1435" w:firstLine="0"/>
        <w:jc w:val="both"/>
      </w:pPr>
      <w:r>
        <w:t>The Parties are sole controllers of the personal data they provide for the purposes of the search tool in accordance with the EU and/or national law applicable to them. The IPO shall</w:t>
      </w:r>
      <w:r>
        <w:rPr>
          <w:spacing w:val="-5"/>
        </w:rPr>
        <w:t xml:space="preserve"> </w:t>
      </w:r>
      <w:r>
        <w:t>ensure</w:t>
      </w:r>
      <w:r>
        <w:rPr>
          <w:spacing w:val="-6"/>
        </w:rPr>
        <w:t xml:space="preserve"> </w:t>
      </w:r>
      <w:r>
        <w:t>that</w:t>
      </w:r>
      <w:r>
        <w:rPr>
          <w:spacing w:val="-5"/>
        </w:rPr>
        <w:t xml:space="preserve"> </w:t>
      </w:r>
      <w:r>
        <w:t>it</w:t>
      </w:r>
      <w:r>
        <w:rPr>
          <w:spacing w:val="-5"/>
        </w:rPr>
        <w:t xml:space="preserve"> </w:t>
      </w:r>
      <w:r>
        <w:t>has</w:t>
      </w:r>
      <w:r>
        <w:rPr>
          <w:spacing w:val="-5"/>
        </w:rPr>
        <w:t xml:space="preserve"> </w:t>
      </w:r>
      <w:r>
        <w:t>the</w:t>
      </w:r>
      <w:r>
        <w:rPr>
          <w:spacing w:val="-4"/>
        </w:rPr>
        <w:t xml:space="preserve"> </w:t>
      </w:r>
      <w:r>
        <w:t>appropriate</w:t>
      </w:r>
      <w:r>
        <w:rPr>
          <w:spacing w:val="-6"/>
        </w:rPr>
        <w:t xml:space="preserve"> </w:t>
      </w:r>
      <w:r>
        <w:t>legal</w:t>
      </w:r>
      <w:r>
        <w:rPr>
          <w:spacing w:val="-5"/>
        </w:rPr>
        <w:t xml:space="preserve"> </w:t>
      </w:r>
      <w:r>
        <w:t>basis</w:t>
      </w:r>
      <w:r>
        <w:rPr>
          <w:spacing w:val="-7"/>
        </w:rPr>
        <w:t xml:space="preserve"> </w:t>
      </w:r>
      <w:r>
        <w:t>to</w:t>
      </w:r>
      <w:r>
        <w:rPr>
          <w:spacing w:val="-6"/>
        </w:rPr>
        <w:t xml:space="preserve"> </w:t>
      </w:r>
      <w:r>
        <w:t>transfer</w:t>
      </w:r>
      <w:r>
        <w:rPr>
          <w:spacing w:val="-5"/>
        </w:rPr>
        <w:t xml:space="preserve"> </w:t>
      </w:r>
      <w:r>
        <w:t>the</w:t>
      </w:r>
      <w:r>
        <w:rPr>
          <w:spacing w:val="-7"/>
        </w:rPr>
        <w:t xml:space="preserve"> </w:t>
      </w:r>
      <w:r>
        <w:t>personal</w:t>
      </w:r>
      <w:r>
        <w:rPr>
          <w:spacing w:val="-6"/>
        </w:rPr>
        <w:t xml:space="preserve"> </w:t>
      </w:r>
      <w:r>
        <w:t>data</w:t>
      </w:r>
      <w:r>
        <w:rPr>
          <w:spacing w:val="-6"/>
        </w:rPr>
        <w:t xml:space="preserve"> </w:t>
      </w:r>
      <w:r>
        <w:t>to</w:t>
      </w:r>
      <w:r>
        <w:rPr>
          <w:spacing w:val="-6"/>
        </w:rPr>
        <w:t xml:space="preserve"> </w:t>
      </w:r>
      <w:r>
        <w:t>the</w:t>
      </w:r>
      <w:r>
        <w:rPr>
          <w:spacing w:val="-6"/>
        </w:rPr>
        <w:t xml:space="preserve"> </w:t>
      </w:r>
      <w:r>
        <w:t>EUIPO.</w:t>
      </w:r>
    </w:p>
    <w:p w14:paraId="1CC30955" w14:textId="77777777" w:rsidR="00D757DA" w:rsidRDefault="00D757DA">
      <w:pPr>
        <w:pStyle w:val="Zkladntext"/>
        <w:spacing w:before="9"/>
        <w:rPr>
          <w:sz w:val="20"/>
        </w:rPr>
      </w:pPr>
    </w:p>
    <w:p w14:paraId="0149C47F" w14:textId="77777777" w:rsidR="00D757DA" w:rsidRDefault="0033254E">
      <w:pPr>
        <w:pStyle w:val="Odstavecseseznamem"/>
        <w:numPr>
          <w:ilvl w:val="1"/>
          <w:numId w:val="55"/>
        </w:numPr>
        <w:tabs>
          <w:tab w:val="left" w:pos="841"/>
        </w:tabs>
        <w:ind w:right="1440" w:firstLine="0"/>
        <w:jc w:val="both"/>
      </w:pPr>
      <w:r>
        <w:t>The IPO agrees to ensure that the transmission of personal data to the EUIPO complies with the law applicable to</w:t>
      </w:r>
      <w:r>
        <w:rPr>
          <w:spacing w:val="-4"/>
        </w:rPr>
        <w:t xml:space="preserve"> </w:t>
      </w:r>
      <w:r>
        <w:t>it.</w:t>
      </w:r>
    </w:p>
    <w:p w14:paraId="0603DB9C" w14:textId="77777777" w:rsidR="00D757DA" w:rsidRDefault="00D757DA">
      <w:pPr>
        <w:pStyle w:val="Zkladntext"/>
        <w:spacing w:before="11"/>
        <w:rPr>
          <w:sz w:val="20"/>
        </w:rPr>
      </w:pPr>
    </w:p>
    <w:p w14:paraId="5D0CAE3D" w14:textId="77777777" w:rsidR="00D757DA" w:rsidRDefault="0033254E">
      <w:pPr>
        <w:pStyle w:val="Odstavecseseznamem"/>
        <w:numPr>
          <w:ilvl w:val="1"/>
          <w:numId w:val="55"/>
        </w:numPr>
        <w:tabs>
          <w:tab w:val="left" w:pos="841"/>
        </w:tabs>
        <w:ind w:right="1436" w:firstLine="0"/>
        <w:jc w:val="both"/>
      </w:pPr>
      <w:r>
        <w:t>Personal</w:t>
      </w:r>
      <w:r>
        <w:rPr>
          <w:spacing w:val="-13"/>
        </w:rPr>
        <w:t xml:space="preserve"> </w:t>
      </w:r>
      <w:r>
        <w:t>data</w:t>
      </w:r>
      <w:r>
        <w:rPr>
          <w:spacing w:val="-11"/>
        </w:rPr>
        <w:t xml:space="preserve"> </w:t>
      </w:r>
      <w:r>
        <w:t>processing</w:t>
      </w:r>
      <w:r>
        <w:rPr>
          <w:spacing w:val="-12"/>
        </w:rPr>
        <w:t xml:space="preserve"> </w:t>
      </w:r>
      <w:r>
        <w:t>in</w:t>
      </w:r>
      <w:r>
        <w:rPr>
          <w:spacing w:val="-11"/>
        </w:rPr>
        <w:t xml:space="preserve"> </w:t>
      </w:r>
      <w:proofErr w:type="spellStart"/>
      <w:r>
        <w:t>TMView</w:t>
      </w:r>
      <w:proofErr w:type="spellEnd"/>
      <w:r>
        <w:rPr>
          <w:spacing w:val="-13"/>
        </w:rPr>
        <w:t xml:space="preserve"> </w:t>
      </w:r>
      <w:r>
        <w:t>and</w:t>
      </w:r>
      <w:r>
        <w:rPr>
          <w:spacing w:val="-11"/>
        </w:rPr>
        <w:t xml:space="preserve"> </w:t>
      </w:r>
      <w:proofErr w:type="spellStart"/>
      <w:r>
        <w:t>DesignView</w:t>
      </w:r>
      <w:proofErr w:type="spellEnd"/>
      <w:r>
        <w:rPr>
          <w:spacing w:val="-12"/>
        </w:rPr>
        <w:t xml:space="preserve"> </w:t>
      </w:r>
      <w:r>
        <w:t>only</w:t>
      </w:r>
      <w:r>
        <w:rPr>
          <w:spacing w:val="-12"/>
        </w:rPr>
        <w:t xml:space="preserve"> </w:t>
      </w:r>
      <w:r>
        <w:t>extends</w:t>
      </w:r>
      <w:r>
        <w:rPr>
          <w:spacing w:val="-11"/>
        </w:rPr>
        <w:t xml:space="preserve"> </w:t>
      </w:r>
      <w:r>
        <w:t>to</w:t>
      </w:r>
      <w:r>
        <w:rPr>
          <w:spacing w:val="-15"/>
        </w:rPr>
        <w:t xml:space="preserve"> </w:t>
      </w:r>
      <w:r>
        <w:t>data</w:t>
      </w:r>
      <w:r>
        <w:rPr>
          <w:spacing w:val="-11"/>
        </w:rPr>
        <w:t xml:space="preserve"> </w:t>
      </w:r>
      <w:r>
        <w:t>which</w:t>
      </w:r>
      <w:r>
        <w:rPr>
          <w:spacing w:val="-11"/>
        </w:rPr>
        <w:t xml:space="preserve"> </w:t>
      </w:r>
      <w:r>
        <w:t>have been published by the respective</w:t>
      </w:r>
      <w:r>
        <w:rPr>
          <w:spacing w:val="-4"/>
        </w:rPr>
        <w:t xml:space="preserve"> </w:t>
      </w:r>
      <w:r>
        <w:t>Parties.</w:t>
      </w:r>
    </w:p>
    <w:p w14:paraId="4A8532D5" w14:textId="77777777" w:rsidR="00D757DA" w:rsidRDefault="00D757DA">
      <w:pPr>
        <w:pStyle w:val="Zkladntext"/>
        <w:spacing w:before="10"/>
        <w:rPr>
          <w:sz w:val="20"/>
        </w:rPr>
      </w:pPr>
    </w:p>
    <w:p w14:paraId="72FBF9B5" w14:textId="77777777" w:rsidR="00D757DA" w:rsidRDefault="0033254E">
      <w:pPr>
        <w:pStyle w:val="Odstavecseseznamem"/>
        <w:numPr>
          <w:ilvl w:val="1"/>
          <w:numId w:val="55"/>
        </w:numPr>
        <w:tabs>
          <w:tab w:val="left" w:pos="841"/>
        </w:tabs>
        <w:ind w:right="1432" w:firstLine="0"/>
        <w:jc w:val="both"/>
      </w:pPr>
      <w:r>
        <w:t>As regards personal data provided by the EUIPO, the data subject rights can be exercised as indicated in the privacy statement of the EUIPO. As regards personal data provided</w:t>
      </w:r>
      <w:r>
        <w:rPr>
          <w:spacing w:val="-14"/>
        </w:rPr>
        <w:t xml:space="preserve"> </w:t>
      </w:r>
      <w:r>
        <w:t>by</w:t>
      </w:r>
      <w:r>
        <w:rPr>
          <w:spacing w:val="-15"/>
        </w:rPr>
        <w:t xml:space="preserve"> </w:t>
      </w:r>
      <w:r>
        <w:t>IPO,</w:t>
      </w:r>
      <w:r>
        <w:rPr>
          <w:spacing w:val="-12"/>
        </w:rPr>
        <w:t xml:space="preserve"> </w:t>
      </w:r>
      <w:r>
        <w:t>the</w:t>
      </w:r>
      <w:r>
        <w:rPr>
          <w:spacing w:val="-15"/>
        </w:rPr>
        <w:t xml:space="preserve"> </w:t>
      </w:r>
      <w:r>
        <w:t>data</w:t>
      </w:r>
      <w:r>
        <w:rPr>
          <w:spacing w:val="-15"/>
        </w:rPr>
        <w:t xml:space="preserve"> </w:t>
      </w:r>
      <w:r>
        <w:t>subject</w:t>
      </w:r>
      <w:r>
        <w:rPr>
          <w:spacing w:val="-15"/>
        </w:rPr>
        <w:t xml:space="preserve"> </w:t>
      </w:r>
      <w:r>
        <w:t>rights</w:t>
      </w:r>
      <w:r>
        <w:rPr>
          <w:spacing w:val="-12"/>
        </w:rPr>
        <w:t xml:space="preserve"> </w:t>
      </w:r>
      <w:r>
        <w:t>can</w:t>
      </w:r>
      <w:r>
        <w:rPr>
          <w:spacing w:val="-15"/>
        </w:rPr>
        <w:t xml:space="preserve"> </w:t>
      </w:r>
      <w:r>
        <w:t>be</w:t>
      </w:r>
      <w:r>
        <w:rPr>
          <w:spacing w:val="-14"/>
        </w:rPr>
        <w:t xml:space="preserve"> </w:t>
      </w:r>
      <w:r>
        <w:t>exercised</w:t>
      </w:r>
      <w:r>
        <w:rPr>
          <w:spacing w:val="-13"/>
        </w:rPr>
        <w:t xml:space="preserve"> </w:t>
      </w:r>
      <w:r>
        <w:t>as</w:t>
      </w:r>
      <w:r>
        <w:rPr>
          <w:spacing w:val="-13"/>
        </w:rPr>
        <w:t xml:space="preserve"> </w:t>
      </w:r>
      <w:r>
        <w:t>indicated</w:t>
      </w:r>
      <w:r>
        <w:rPr>
          <w:spacing w:val="-13"/>
        </w:rPr>
        <w:t xml:space="preserve"> </w:t>
      </w:r>
      <w:r>
        <w:t>in</w:t>
      </w:r>
      <w:r>
        <w:rPr>
          <w:spacing w:val="-15"/>
        </w:rPr>
        <w:t xml:space="preserve"> </w:t>
      </w:r>
      <w:r>
        <w:t>the</w:t>
      </w:r>
      <w:r>
        <w:rPr>
          <w:spacing w:val="-16"/>
        </w:rPr>
        <w:t xml:space="preserve"> </w:t>
      </w:r>
      <w:r>
        <w:t>privacy</w:t>
      </w:r>
      <w:r>
        <w:rPr>
          <w:spacing w:val="-12"/>
        </w:rPr>
        <w:t xml:space="preserve"> </w:t>
      </w:r>
      <w:r>
        <w:t>statement of the</w:t>
      </w:r>
      <w:r>
        <w:rPr>
          <w:spacing w:val="-4"/>
        </w:rPr>
        <w:t xml:space="preserve"> </w:t>
      </w:r>
      <w:r>
        <w:t>IPO.</w:t>
      </w:r>
    </w:p>
    <w:p w14:paraId="47A776E9" w14:textId="77777777" w:rsidR="00D757DA" w:rsidRDefault="00D757DA">
      <w:pPr>
        <w:pStyle w:val="Zkladntext"/>
        <w:spacing w:before="9"/>
        <w:rPr>
          <w:sz w:val="20"/>
        </w:rPr>
      </w:pPr>
    </w:p>
    <w:p w14:paraId="7E89A0AF" w14:textId="77777777" w:rsidR="00D757DA" w:rsidRDefault="0033254E">
      <w:pPr>
        <w:pStyle w:val="Odstavecseseznamem"/>
        <w:numPr>
          <w:ilvl w:val="1"/>
          <w:numId w:val="55"/>
        </w:numPr>
        <w:tabs>
          <w:tab w:val="left" w:pos="841"/>
        </w:tabs>
        <w:ind w:right="1434" w:firstLine="0"/>
        <w:jc w:val="both"/>
      </w:pPr>
      <w:proofErr w:type="gramStart"/>
      <w:r>
        <w:t>In</w:t>
      </w:r>
      <w:r>
        <w:rPr>
          <w:spacing w:val="-14"/>
        </w:rPr>
        <w:t xml:space="preserve"> </w:t>
      </w:r>
      <w:r>
        <w:t>the</w:t>
      </w:r>
      <w:r>
        <w:rPr>
          <w:spacing w:val="-12"/>
        </w:rPr>
        <w:t xml:space="preserve"> </w:t>
      </w:r>
      <w:r>
        <w:t>event</w:t>
      </w:r>
      <w:r>
        <w:rPr>
          <w:spacing w:val="-11"/>
        </w:rPr>
        <w:t xml:space="preserve"> </w:t>
      </w:r>
      <w:r>
        <w:t>that</w:t>
      </w:r>
      <w:proofErr w:type="gramEnd"/>
      <w:r>
        <w:rPr>
          <w:spacing w:val="-12"/>
        </w:rPr>
        <w:t xml:space="preserve"> </w:t>
      </w:r>
      <w:r>
        <w:t>the</w:t>
      </w:r>
      <w:r>
        <w:rPr>
          <w:spacing w:val="-12"/>
        </w:rPr>
        <w:t xml:space="preserve"> </w:t>
      </w:r>
      <w:r>
        <w:t>EUIPO</w:t>
      </w:r>
      <w:r>
        <w:rPr>
          <w:spacing w:val="-12"/>
        </w:rPr>
        <w:t xml:space="preserve"> </w:t>
      </w:r>
      <w:r>
        <w:t>receives</w:t>
      </w:r>
      <w:r>
        <w:rPr>
          <w:spacing w:val="-10"/>
        </w:rPr>
        <w:t xml:space="preserve"> </w:t>
      </w:r>
      <w:r>
        <w:t>a</w:t>
      </w:r>
      <w:r>
        <w:rPr>
          <w:spacing w:val="-14"/>
        </w:rPr>
        <w:t xml:space="preserve"> </w:t>
      </w:r>
      <w:r>
        <w:t>data</w:t>
      </w:r>
      <w:r>
        <w:rPr>
          <w:spacing w:val="-13"/>
        </w:rPr>
        <w:t xml:space="preserve"> </w:t>
      </w:r>
      <w:r>
        <w:t>subject</w:t>
      </w:r>
      <w:r>
        <w:rPr>
          <w:spacing w:val="-12"/>
        </w:rPr>
        <w:t xml:space="preserve"> </w:t>
      </w:r>
      <w:r>
        <w:t>request</w:t>
      </w:r>
      <w:r>
        <w:rPr>
          <w:spacing w:val="-12"/>
        </w:rPr>
        <w:t xml:space="preserve"> </w:t>
      </w:r>
      <w:r>
        <w:t>on</w:t>
      </w:r>
      <w:r>
        <w:rPr>
          <w:spacing w:val="-13"/>
        </w:rPr>
        <w:t xml:space="preserve"> </w:t>
      </w:r>
      <w:r>
        <w:t>how</w:t>
      </w:r>
      <w:r>
        <w:rPr>
          <w:spacing w:val="-14"/>
        </w:rPr>
        <w:t xml:space="preserve"> </w:t>
      </w:r>
      <w:r>
        <w:t>their</w:t>
      </w:r>
      <w:r>
        <w:rPr>
          <w:spacing w:val="-10"/>
        </w:rPr>
        <w:t xml:space="preserve"> </w:t>
      </w:r>
      <w:r>
        <w:t>personal</w:t>
      </w:r>
      <w:r>
        <w:rPr>
          <w:spacing w:val="-11"/>
        </w:rPr>
        <w:t xml:space="preserve"> </w:t>
      </w:r>
      <w:r>
        <w:t>data are</w:t>
      </w:r>
      <w:r>
        <w:rPr>
          <w:spacing w:val="-13"/>
        </w:rPr>
        <w:t xml:space="preserve"> </w:t>
      </w:r>
      <w:r>
        <w:t>managed</w:t>
      </w:r>
      <w:r>
        <w:rPr>
          <w:spacing w:val="-12"/>
        </w:rPr>
        <w:t xml:space="preserve"> </w:t>
      </w:r>
      <w:r>
        <w:t>in</w:t>
      </w:r>
      <w:r>
        <w:rPr>
          <w:spacing w:val="-13"/>
        </w:rPr>
        <w:t xml:space="preserve"> </w:t>
      </w:r>
      <w:r>
        <w:t>the</w:t>
      </w:r>
      <w:r>
        <w:rPr>
          <w:spacing w:val="-15"/>
        </w:rPr>
        <w:t xml:space="preserve"> </w:t>
      </w:r>
      <w:proofErr w:type="spellStart"/>
      <w:r>
        <w:t>TMView</w:t>
      </w:r>
      <w:proofErr w:type="spellEnd"/>
      <w:r>
        <w:rPr>
          <w:spacing w:val="-13"/>
        </w:rPr>
        <w:t xml:space="preserve"> </w:t>
      </w:r>
      <w:r>
        <w:t>and/or</w:t>
      </w:r>
      <w:r>
        <w:rPr>
          <w:spacing w:val="-12"/>
        </w:rPr>
        <w:t xml:space="preserve"> </w:t>
      </w:r>
      <w:proofErr w:type="spellStart"/>
      <w:r>
        <w:t>DesignView</w:t>
      </w:r>
      <w:proofErr w:type="spellEnd"/>
      <w:r>
        <w:rPr>
          <w:spacing w:val="-13"/>
        </w:rPr>
        <w:t xml:space="preserve"> </w:t>
      </w:r>
      <w:r>
        <w:t>platform,</w:t>
      </w:r>
      <w:r>
        <w:rPr>
          <w:spacing w:val="-12"/>
        </w:rPr>
        <w:t xml:space="preserve"> </w:t>
      </w:r>
      <w:r>
        <w:t>including</w:t>
      </w:r>
      <w:r>
        <w:rPr>
          <w:spacing w:val="-13"/>
        </w:rPr>
        <w:t xml:space="preserve"> </w:t>
      </w:r>
      <w:r>
        <w:t>for</w:t>
      </w:r>
      <w:r>
        <w:rPr>
          <w:spacing w:val="-11"/>
        </w:rPr>
        <w:t xml:space="preserve"> </w:t>
      </w:r>
      <w:r>
        <w:t>accessing</w:t>
      </w:r>
      <w:r>
        <w:rPr>
          <w:spacing w:val="-14"/>
        </w:rPr>
        <w:t xml:space="preserve"> </w:t>
      </w:r>
      <w:r>
        <w:t>the</w:t>
      </w:r>
      <w:r>
        <w:rPr>
          <w:spacing w:val="-13"/>
        </w:rPr>
        <w:t xml:space="preserve"> </w:t>
      </w:r>
      <w:r>
        <w:t>personal data of the requester, the EUIPO shall be responsible for processing such</w:t>
      </w:r>
      <w:r>
        <w:rPr>
          <w:spacing w:val="-22"/>
        </w:rPr>
        <w:t xml:space="preserve"> </w:t>
      </w:r>
      <w:r>
        <w:t>requests.</w:t>
      </w:r>
    </w:p>
    <w:p w14:paraId="00E643D4" w14:textId="77777777" w:rsidR="00D757DA" w:rsidRDefault="00D757DA">
      <w:pPr>
        <w:pStyle w:val="Zkladntext"/>
        <w:spacing w:before="10"/>
        <w:rPr>
          <w:sz w:val="20"/>
        </w:rPr>
      </w:pPr>
    </w:p>
    <w:p w14:paraId="1CC4BF02" w14:textId="77777777" w:rsidR="00D757DA" w:rsidRDefault="0033254E">
      <w:pPr>
        <w:pStyle w:val="Odstavecseseznamem"/>
        <w:numPr>
          <w:ilvl w:val="1"/>
          <w:numId w:val="55"/>
        </w:numPr>
        <w:tabs>
          <w:tab w:val="left" w:pos="841"/>
        </w:tabs>
        <w:ind w:right="1437" w:firstLine="0"/>
        <w:jc w:val="both"/>
      </w:pPr>
      <w:r>
        <w:t>The IPO shall be responsible for processing any other data subject request related to the data it provides to the EUIPO, including its modification or</w:t>
      </w:r>
      <w:r>
        <w:rPr>
          <w:spacing w:val="-14"/>
        </w:rPr>
        <w:t xml:space="preserve"> </w:t>
      </w:r>
      <w:r>
        <w:t>deletion.</w:t>
      </w:r>
    </w:p>
    <w:p w14:paraId="42E082E6" w14:textId="77777777" w:rsidR="00D757DA" w:rsidRDefault="00D757DA">
      <w:pPr>
        <w:pStyle w:val="Zkladntext"/>
        <w:spacing w:before="10"/>
        <w:rPr>
          <w:sz w:val="20"/>
        </w:rPr>
      </w:pPr>
    </w:p>
    <w:p w14:paraId="3A0A885C" w14:textId="77777777" w:rsidR="00D757DA" w:rsidRDefault="0033254E">
      <w:pPr>
        <w:pStyle w:val="Odstavecseseznamem"/>
        <w:numPr>
          <w:ilvl w:val="1"/>
          <w:numId w:val="55"/>
        </w:numPr>
        <w:tabs>
          <w:tab w:val="left" w:pos="841"/>
        </w:tabs>
        <w:ind w:right="1437" w:firstLine="0"/>
        <w:jc w:val="both"/>
      </w:pPr>
      <w:r>
        <w:t>Where</w:t>
      </w:r>
      <w:r>
        <w:rPr>
          <w:spacing w:val="-5"/>
        </w:rPr>
        <w:t xml:space="preserve"> </w:t>
      </w:r>
      <w:r>
        <w:t>a</w:t>
      </w:r>
      <w:r>
        <w:rPr>
          <w:spacing w:val="-5"/>
        </w:rPr>
        <w:t xml:space="preserve"> </w:t>
      </w:r>
      <w:r>
        <w:t>data</w:t>
      </w:r>
      <w:r>
        <w:rPr>
          <w:spacing w:val="-4"/>
        </w:rPr>
        <w:t xml:space="preserve"> </w:t>
      </w:r>
      <w:r>
        <w:t>subject</w:t>
      </w:r>
      <w:r>
        <w:rPr>
          <w:spacing w:val="-4"/>
        </w:rPr>
        <w:t xml:space="preserve"> </w:t>
      </w:r>
      <w:r>
        <w:t>request</w:t>
      </w:r>
      <w:r>
        <w:rPr>
          <w:spacing w:val="-3"/>
        </w:rPr>
        <w:t xml:space="preserve"> </w:t>
      </w:r>
      <w:r>
        <w:t>does</w:t>
      </w:r>
      <w:r>
        <w:rPr>
          <w:spacing w:val="-5"/>
        </w:rPr>
        <w:t xml:space="preserve"> </w:t>
      </w:r>
      <w:r>
        <w:t>not</w:t>
      </w:r>
      <w:r>
        <w:rPr>
          <w:spacing w:val="-5"/>
        </w:rPr>
        <w:t xml:space="preserve"> </w:t>
      </w:r>
      <w:r>
        <w:t>fall</w:t>
      </w:r>
      <w:r>
        <w:rPr>
          <w:spacing w:val="-6"/>
        </w:rPr>
        <w:t xml:space="preserve"> </w:t>
      </w:r>
      <w:r>
        <w:t>within</w:t>
      </w:r>
      <w:r>
        <w:rPr>
          <w:spacing w:val="-4"/>
        </w:rPr>
        <w:t xml:space="preserve"> </w:t>
      </w:r>
      <w:r>
        <w:t>EUIPO´s</w:t>
      </w:r>
      <w:r>
        <w:rPr>
          <w:spacing w:val="-7"/>
        </w:rPr>
        <w:t xml:space="preserve"> </w:t>
      </w:r>
      <w:r>
        <w:t>competence,</w:t>
      </w:r>
      <w:r>
        <w:rPr>
          <w:spacing w:val="-4"/>
        </w:rPr>
        <w:t xml:space="preserve"> </w:t>
      </w:r>
      <w:r>
        <w:t>it</w:t>
      </w:r>
      <w:r>
        <w:rPr>
          <w:spacing w:val="-5"/>
        </w:rPr>
        <w:t xml:space="preserve"> </w:t>
      </w:r>
      <w:r>
        <w:t>will</w:t>
      </w:r>
      <w:r>
        <w:rPr>
          <w:spacing w:val="-6"/>
        </w:rPr>
        <w:t xml:space="preserve"> </w:t>
      </w:r>
      <w:r>
        <w:t>forward the request to the</w:t>
      </w:r>
      <w:r>
        <w:rPr>
          <w:spacing w:val="-10"/>
        </w:rPr>
        <w:t xml:space="preserve"> </w:t>
      </w:r>
      <w:r>
        <w:t>IPO.</w:t>
      </w:r>
    </w:p>
    <w:p w14:paraId="411E08A3" w14:textId="77777777" w:rsidR="00D757DA" w:rsidRDefault="00D757DA">
      <w:pPr>
        <w:jc w:val="both"/>
        <w:sectPr w:rsidR="00D757DA">
          <w:pgSz w:w="11910" w:h="16840"/>
          <w:pgMar w:top="1340" w:right="0" w:bottom="1160" w:left="1320" w:header="0" w:footer="881" w:gutter="0"/>
          <w:cols w:space="708"/>
        </w:sectPr>
      </w:pPr>
    </w:p>
    <w:p w14:paraId="383E3F8A" w14:textId="77777777" w:rsidR="00D757DA" w:rsidRDefault="0033254E">
      <w:pPr>
        <w:pStyle w:val="Odstavecseseznamem"/>
        <w:numPr>
          <w:ilvl w:val="1"/>
          <w:numId w:val="55"/>
        </w:numPr>
        <w:tabs>
          <w:tab w:val="left" w:pos="841"/>
        </w:tabs>
        <w:spacing w:before="81"/>
        <w:ind w:right="1440" w:firstLine="0"/>
        <w:jc w:val="both"/>
      </w:pPr>
      <w:r>
        <w:lastRenderedPageBreak/>
        <w:t>The Parties have the right of recourse at any time to the European Data Protection Supervisor concerning the processing of such</w:t>
      </w:r>
      <w:r>
        <w:rPr>
          <w:spacing w:val="-8"/>
        </w:rPr>
        <w:t xml:space="preserve"> </w:t>
      </w:r>
      <w:r>
        <w:t>data.</w:t>
      </w:r>
    </w:p>
    <w:p w14:paraId="4718614E" w14:textId="77777777" w:rsidR="00D757DA" w:rsidRDefault="00D757DA">
      <w:pPr>
        <w:pStyle w:val="Zkladntext"/>
        <w:rPr>
          <w:sz w:val="21"/>
        </w:rPr>
      </w:pPr>
    </w:p>
    <w:p w14:paraId="0D59D4D1" w14:textId="77777777" w:rsidR="00D757DA" w:rsidRDefault="0033254E">
      <w:pPr>
        <w:pStyle w:val="Nadpis3"/>
      </w:pPr>
      <w:bookmarkStart w:id="19" w:name="ARTICLE_12_-_SECURITY_OF_PROCESSING"/>
      <w:bookmarkEnd w:id="19"/>
      <w:r>
        <w:t>ARTICLE 12 - SECURITY OF PROCESSING</w:t>
      </w:r>
    </w:p>
    <w:p w14:paraId="4A46037B" w14:textId="77777777" w:rsidR="00D757DA" w:rsidRDefault="00D757DA">
      <w:pPr>
        <w:pStyle w:val="Zkladntext"/>
        <w:spacing w:before="9"/>
        <w:rPr>
          <w:b/>
          <w:sz w:val="20"/>
        </w:rPr>
      </w:pPr>
    </w:p>
    <w:p w14:paraId="7B00704E" w14:textId="77777777" w:rsidR="00D757DA" w:rsidRDefault="0033254E">
      <w:pPr>
        <w:pStyle w:val="Odstavecseseznamem"/>
        <w:numPr>
          <w:ilvl w:val="1"/>
          <w:numId w:val="54"/>
        </w:numPr>
        <w:tabs>
          <w:tab w:val="left" w:pos="903"/>
        </w:tabs>
        <w:ind w:right="1434" w:firstLine="0"/>
        <w:jc w:val="both"/>
      </w:pPr>
      <w:r>
        <w:t>The</w:t>
      </w:r>
      <w:r>
        <w:rPr>
          <w:spacing w:val="-17"/>
        </w:rPr>
        <w:t xml:space="preserve"> </w:t>
      </w:r>
      <w:r>
        <w:t>IPO</w:t>
      </w:r>
      <w:r>
        <w:rPr>
          <w:spacing w:val="-16"/>
        </w:rPr>
        <w:t xml:space="preserve"> </w:t>
      </w:r>
      <w:r>
        <w:t>shall</w:t>
      </w:r>
      <w:r>
        <w:rPr>
          <w:spacing w:val="-16"/>
        </w:rPr>
        <w:t xml:space="preserve"> </w:t>
      </w:r>
      <w:r>
        <w:t>implement</w:t>
      </w:r>
      <w:r>
        <w:rPr>
          <w:spacing w:val="-16"/>
        </w:rPr>
        <w:t xml:space="preserve"> </w:t>
      </w:r>
      <w:r>
        <w:t>appropriate</w:t>
      </w:r>
      <w:r>
        <w:rPr>
          <w:spacing w:val="-18"/>
        </w:rPr>
        <w:t xml:space="preserve"> </w:t>
      </w:r>
      <w:r>
        <w:t>technical</w:t>
      </w:r>
      <w:r>
        <w:rPr>
          <w:spacing w:val="-18"/>
        </w:rPr>
        <w:t xml:space="preserve"> </w:t>
      </w:r>
      <w:r>
        <w:t>and</w:t>
      </w:r>
      <w:r>
        <w:rPr>
          <w:spacing w:val="-15"/>
        </w:rPr>
        <w:t xml:space="preserve"> </w:t>
      </w:r>
      <w:proofErr w:type="spellStart"/>
      <w:r>
        <w:t>organisational</w:t>
      </w:r>
      <w:proofErr w:type="spellEnd"/>
      <w:r>
        <w:rPr>
          <w:spacing w:val="-18"/>
        </w:rPr>
        <w:t xml:space="preserve"> </w:t>
      </w:r>
      <w:r>
        <w:t>measures</w:t>
      </w:r>
      <w:r>
        <w:rPr>
          <w:spacing w:val="-17"/>
        </w:rPr>
        <w:t xml:space="preserve"> </w:t>
      </w:r>
      <w:r>
        <w:t>to</w:t>
      </w:r>
      <w:r>
        <w:rPr>
          <w:spacing w:val="-17"/>
        </w:rPr>
        <w:t xml:space="preserve"> </w:t>
      </w:r>
      <w:r>
        <w:t xml:space="preserve">ensure the security of the personal data, including protection against a breach of security leading to accidental or unlawful destruction, loss, alteration, </w:t>
      </w:r>
      <w:proofErr w:type="spellStart"/>
      <w:r>
        <w:t>unauthorised</w:t>
      </w:r>
      <w:proofErr w:type="spellEnd"/>
      <w:r>
        <w:t xml:space="preserve"> disclosure or access (hereinafter ‘personal data breach’). This requirement shall apply to the EUIPO during transmission,</w:t>
      </w:r>
      <w:r>
        <w:rPr>
          <w:spacing w:val="-14"/>
        </w:rPr>
        <w:t xml:space="preserve"> </w:t>
      </w:r>
      <w:r>
        <w:t>including</w:t>
      </w:r>
      <w:r>
        <w:rPr>
          <w:spacing w:val="-14"/>
        </w:rPr>
        <w:t xml:space="preserve"> </w:t>
      </w:r>
      <w:r>
        <w:t>during</w:t>
      </w:r>
      <w:r>
        <w:rPr>
          <w:spacing w:val="-12"/>
        </w:rPr>
        <w:t xml:space="preserve"> </w:t>
      </w:r>
      <w:r>
        <w:t>processing</w:t>
      </w:r>
      <w:r>
        <w:rPr>
          <w:spacing w:val="-14"/>
        </w:rPr>
        <w:t xml:space="preserve"> </w:t>
      </w:r>
      <w:r>
        <w:t>in</w:t>
      </w:r>
      <w:r>
        <w:rPr>
          <w:spacing w:val="-15"/>
        </w:rPr>
        <w:t xml:space="preserve"> </w:t>
      </w:r>
      <w:r>
        <w:t>the</w:t>
      </w:r>
      <w:r>
        <w:rPr>
          <w:spacing w:val="-16"/>
        </w:rPr>
        <w:t xml:space="preserve"> </w:t>
      </w:r>
      <w:r>
        <w:t>EUIPO</w:t>
      </w:r>
      <w:r>
        <w:rPr>
          <w:spacing w:val="-14"/>
        </w:rPr>
        <w:t xml:space="preserve"> </w:t>
      </w:r>
      <w:r>
        <w:t>IT</w:t>
      </w:r>
      <w:r>
        <w:rPr>
          <w:spacing w:val="-15"/>
        </w:rPr>
        <w:t xml:space="preserve"> </w:t>
      </w:r>
      <w:r>
        <w:t>infrastructure.</w:t>
      </w:r>
      <w:r>
        <w:rPr>
          <w:spacing w:val="-14"/>
        </w:rPr>
        <w:t xml:space="preserve"> </w:t>
      </w:r>
      <w:r>
        <w:t>The</w:t>
      </w:r>
      <w:r>
        <w:rPr>
          <w:spacing w:val="-13"/>
        </w:rPr>
        <w:t xml:space="preserve"> </w:t>
      </w:r>
      <w:r>
        <w:t>IPO</w:t>
      </w:r>
      <w:r>
        <w:rPr>
          <w:spacing w:val="-14"/>
        </w:rPr>
        <w:t xml:space="preserve"> </w:t>
      </w:r>
      <w:r>
        <w:t>shall</w:t>
      </w:r>
      <w:r>
        <w:rPr>
          <w:spacing w:val="-13"/>
        </w:rPr>
        <w:t xml:space="preserve"> </w:t>
      </w:r>
      <w:r>
        <w:t>handle any possible security incident (including personal data breach) r</w:t>
      </w:r>
      <w:r>
        <w:t xml:space="preserve">elated to the confidentiality and/or accuracy of the data submitted by the IPO. The EUIPO shall handle any possible security incident (including personal data breach) strictly related to the management of the </w:t>
      </w:r>
      <w:proofErr w:type="spellStart"/>
      <w:r>
        <w:t>TMView</w:t>
      </w:r>
      <w:proofErr w:type="spellEnd"/>
      <w:r>
        <w:t xml:space="preserve"> and/or </w:t>
      </w:r>
      <w:proofErr w:type="spellStart"/>
      <w:r>
        <w:t>DesignView</w:t>
      </w:r>
      <w:proofErr w:type="spellEnd"/>
      <w:r>
        <w:rPr>
          <w:spacing w:val="-2"/>
        </w:rPr>
        <w:t xml:space="preserve"> </w:t>
      </w:r>
      <w:r>
        <w:t>platform.</w:t>
      </w:r>
    </w:p>
    <w:p w14:paraId="5AE14C62" w14:textId="77777777" w:rsidR="00D757DA" w:rsidRDefault="00D757DA">
      <w:pPr>
        <w:pStyle w:val="Zkladntext"/>
        <w:spacing w:before="11"/>
        <w:rPr>
          <w:sz w:val="20"/>
        </w:rPr>
      </w:pPr>
    </w:p>
    <w:p w14:paraId="103C22BF" w14:textId="77777777" w:rsidR="00D757DA" w:rsidRDefault="0033254E">
      <w:pPr>
        <w:pStyle w:val="Odstavecseseznamem"/>
        <w:numPr>
          <w:ilvl w:val="1"/>
          <w:numId w:val="54"/>
        </w:numPr>
        <w:tabs>
          <w:tab w:val="left" w:pos="903"/>
        </w:tabs>
        <w:ind w:right="1438" w:firstLine="0"/>
        <w:jc w:val="both"/>
      </w:pPr>
      <w:r>
        <w:t>In the event of a personal data breach concerning personal data processed by the IPO under this Agreement following their transmission to the IPO from the EUIPO, the IPO shall take appropriate measures to address the personal data breach, including measures to mitigate its possible adverse effects and notify the EUIPO without undue delay of the data breach.</w:t>
      </w:r>
    </w:p>
    <w:p w14:paraId="6E0DB660" w14:textId="77777777" w:rsidR="00D757DA" w:rsidRDefault="00D757DA">
      <w:pPr>
        <w:pStyle w:val="Zkladntext"/>
        <w:spacing w:before="10"/>
        <w:rPr>
          <w:sz w:val="20"/>
        </w:rPr>
      </w:pPr>
    </w:p>
    <w:p w14:paraId="1F1A7B89" w14:textId="77777777" w:rsidR="00D757DA" w:rsidRDefault="0033254E">
      <w:pPr>
        <w:pStyle w:val="Odstavecseseznamem"/>
        <w:numPr>
          <w:ilvl w:val="1"/>
          <w:numId w:val="54"/>
        </w:numPr>
        <w:tabs>
          <w:tab w:val="left" w:pos="841"/>
        </w:tabs>
        <w:ind w:right="1438" w:firstLine="0"/>
        <w:jc w:val="both"/>
      </w:pPr>
      <w:r>
        <w:t>The IPO and the EUIPO shall assist each other, where necessary, in preparing communication with the relevant authorities and data subjects and, where applicable, obtaining relevant</w:t>
      </w:r>
      <w:r>
        <w:rPr>
          <w:spacing w:val="-2"/>
        </w:rPr>
        <w:t xml:space="preserve"> </w:t>
      </w:r>
      <w:r>
        <w:t>information.</w:t>
      </w:r>
    </w:p>
    <w:p w14:paraId="5601F795" w14:textId="77777777" w:rsidR="00D757DA" w:rsidRDefault="00D757DA">
      <w:pPr>
        <w:pStyle w:val="Zkladntext"/>
        <w:spacing w:before="9"/>
        <w:rPr>
          <w:sz w:val="20"/>
        </w:rPr>
      </w:pPr>
    </w:p>
    <w:p w14:paraId="2483ED8A" w14:textId="77777777" w:rsidR="00D757DA" w:rsidRDefault="0033254E">
      <w:pPr>
        <w:pStyle w:val="Odstavecseseznamem"/>
        <w:numPr>
          <w:ilvl w:val="1"/>
          <w:numId w:val="54"/>
        </w:numPr>
        <w:tabs>
          <w:tab w:val="left" w:pos="625"/>
        </w:tabs>
        <w:spacing w:before="1"/>
        <w:ind w:right="1439" w:firstLine="0"/>
        <w:jc w:val="both"/>
      </w:pPr>
      <w:r>
        <w:t>The EUIPO and the IPO shall document all relevant facts relating to the personal data breach, including its effects and any remedial action taken, and keep a record</w:t>
      </w:r>
      <w:r>
        <w:rPr>
          <w:spacing w:val="-29"/>
        </w:rPr>
        <w:t xml:space="preserve"> </w:t>
      </w:r>
      <w:r>
        <w:t>thereof.</w:t>
      </w:r>
    </w:p>
    <w:p w14:paraId="743C9BE0" w14:textId="77777777" w:rsidR="00D757DA" w:rsidRDefault="00D757DA">
      <w:pPr>
        <w:pStyle w:val="Zkladntext"/>
        <w:spacing w:before="1"/>
        <w:rPr>
          <w:sz w:val="21"/>
        </w:rPr>
      </w:pPr>
    </w:p>
    <w:p w14:paraId="5434CAEC" w14:textId="77777777" w:rsidR="00D757DA" w:rsidRDefault="0033254E">
      <w:pPr>
        <w:pStyle w:val="Odstavecseseznamem"/>
        <w:numPr>
          <w:ilvl w:val="1"/>
          <w:numId w:val="54"/>
        </w:numPr>
        <w:tabs>
          <w:tab w:val="left" w:pos="677"/>
        </w:tabs>
        <w:spacing w:line="237" w:lineRule="auto"/>
        <w:ind w:right="1437" w:firstLine="0"/>
        <w:jc w:val="both"/>
      </w:pPr>
      <w:r>
        <w:t xml:space="preserve">Where applicable, any (onward) transfer of personal data under the Cooperation Agreement to third countries or international </w:t>
      </w:r>
      <w:proofErr w:type="spellStart"/>
      <w:r>
        <w:t>organisations</w:t>
      </w:r>
      <w:proofErr w:type="spellEnd"/>
      <w:r>
        <w:t xml:space="preserve"> shall fully comply with the requirements laid down in Chapter V of Regulation (EU)</w:t>
      </w:r>
      <w:r>
        <w:rPr>
          <w:spacing w:val="-6"/>
        </w:rPr>
        <w:t xml:space="preserve"> </w:t>
      </w:r>
      <w:r>
        <w:t>2018/1725</w:t>
      </w:r>
      <w:hyperlink w:anchor="_bookmark0" w:history="1">
        <w:r>
          <w:rPr>
            <w:position w:val="8"/>
            <w:sz w:val="14"/>
          </w:rPr>
          <w:t>1</w:t>
        </w:r>
      </w:hyperlink>
      <w:r>
        <w:t>.</w:t>
      </w:r>
    </w:p>
    <w:p w14:paraId="0859A4F7" w14:textId="77777777" w:rsidR="00D757DA" w:rsidRDefault="00D757DA">
      <w:pPr>
        <w:pStyle w:val="Zkladntext"/>
        <w:spacing w:before="3"/>
        <w:rPr>
          <w:sz w:val="31"/>
        </w:rPr>
      </w:pPr>
    </w:p>
    <w:p w14:paraId="721A5A6A" w14:textId="77777777" w:rsidR="00D757DA" w:rsidRDefault="0033254E">
      <w:pPr>
        <w:pStyle w:val="Nadpis3"/>
        <w:spacing w:before="1"/>
      </w:pPr>
      <w:bookmarkStart w:id="20" w:name="ARTICLE_13_-_BANK_ACCOUNT"/>
      <w:bookmarkEnd w:id="20"/>
      <w:r>
        <w:t>ARTICLE 13 - BANK ACCOUNT</w:t>
      </w:r>
    </w:p>
    <w:p w14:paraId="780B87AB" w14:textId="77777777" w:rsidR="00D757DA" w:rsidRDefault="00D757DA">
      <w:pPr>
        <w:pStyle w:val="Zkladntext"/>
        <w:spacing w:before="11"/>
        <w:rPr>
          <w:b/>
          <w:sz w:val="20"/>
        </w:rPr>
      </w:pPr>
    </w:p>
    <w:p w14:paraId="6D60B25D" w14:textId="77777777" w:rsidR="00D757DA" w:rsidRDefault="0033254E">
      <w:pPr>
        <w:pStyle w:val="Zkladntext"/>
        <w:ind w:left="120" w:right="1440"/>
        <w:jc w:val="both"/>
      </w:pPr>
      <w:r>
        <w:t>Payments</w:t>
      </w:r>
      <w:r>
        <w:rPr>
          <w:spacing w:val="-16"/>
        </w:rPr>
        <w:t xml:space="preserve"> </w:t>
      </w:r>
      <w:r>
        <w:t>shall</w:t>
      </w:r>
      <w:r>
        <w:rPr>
          <w:spacing w:val="-14"/>
        </w:rPr>
        <w:t xml:space="preserve"> </w:t>
      </w:r>
      <w:r>
        <w:t>be</w:t>
      </w:r>
      <w:r>
        <w:rPr>
          <w:spacing w:val="-16"/>
        </w:rPr>
        <w:t xml:space="preserve"> </w:t>
      </w:r>
      <w:r>
        <w:t>made</w:t>
      </w:r>
      <w:r>
        <w:rPr>
          <w:spacing w:val="-18"/>
        </w:rPr>
        <w:t xml:space="preserve"> </w:t>
      </w:r>
      <w:r>
        <w:t>to</w:t>
      </w:r>
      <w:r>
        <w:rPr>
          <w:spacing w:val="-16"/>
        </w:rPr>
        <w:t xml:space="preserve"> </w:t>
      </w:r>
      <w:r>
        <w:t>the</w:t>
      </w:r>
      <w:r>
        <w:rPr>
          <w:spacing w:val="-14"/>
        </w:rPr>
        <w:t xml:space="preserve"> </w:t>
      </w:r>
      <w:r>
        <w:t>bank</w:t>
      </w:r>
      <w:r>
        <w:rPr>
          <w:spacing w:val="-13"/>
        </w:rPr>
        <w:t xml:space="preserve"> </w:t>
      </w:r>
      <w:r>
        <w:t>account</w:t>
      </w:r>
      <w:r>
        <w:rPr>
          <w:spacing w:val="-14"/>
        </w:rPr>
        <w:t xml:space="preserve"> </w:t>
      </w:r>
      <w:r>
        <w:t>designated</w:t>
      </w:r>
      <w:r>
        <w:rPr>
          <w:spacing w:val="-13"/>
        </w:rPr>
        <w:t xml:space="preserve"> </w:t>
      </w:r>
      <w:r>
        <w:t>by</w:t>
      </w:r>
      <w:r>
        <w:rPr>
          <w:spacing w:val="-19"/>
        </w:rPr>
        <w:t xml:space="preserve"> </w:t>
      </w:r>
      <w:r>
        <w:t>the</w:t>
      </w:r>
      <w:r>
        <w:rPr>
          <w:spacing w:val="-16"/>
        </w:rPr>
        <w:t xml:space="preserve"> </w:t>
      </w:r>
      <w:r>
        <w:t>IPO</w:t>
      </w:r>
      <w:r>
        <w:rPr>
          <w:spacing w:val="-14"/>
        </w:rPr>
        <w:t xml:space="preserve"> </w:t>
      </w:r>
      <w:r>
        <w:t>and</w:t>
      </w:r>
      <w:r>
        <w:rPr>
          <w:spacing w:val="-16"/>
        </w:rPr>
        <w:t xml:space="preserve"> </w:t>
      </w:r>
      <w:r>
        <w:t>denominated</w:t>
      </w:r>
      <w:r>
        <w:rPr>
          <w:spacing w:val="-16"/>
        </w:rPr>
        <w:t xml:space="preserve"> </w:t>
      </w:r>
      <w:r>
        <w:t>in</w:t>
      </w:r>
      <w:r>
        <w:rPr>
          <w:spacing w:val="-13"/>
        </w:rPr>
        <w:t xml:space="preserve"> </w:t>
      </w:r>
      <w:r>
        <w:t>EUR. This account shall allow the identification of the payments made by the</w:t>
      </w:r>
      <w:r>
        <w:rPr>
          <w:spacing w:val="-21"/>
        </w:rPr>
        <w:t xml:space="preserve"> </w:t>
      </w:r>
      <w:r>
        <w:t>EUIPO:</w:t>
      </w:r>
    </w:p>
    <w:p w14:paraId="31A794BE" w14:textId="77777777" w:rsidR="00D757DA" w:rsidRDefault="00D757DA">
      <w:pPr>
        <w:pStyle w:val="Zkladntext"/>
        <w:spacing w:before="8"/>
        <w:rPr>
          <w:sz w:val="20"/>
        </w:rPr>
      </w:pPr>
    </w:p>
    <w:p w14:paraId="508C9E69" w14:textId="77777777" w:rsidR="003C0036" w:rsidRDefault="003C0036">
      <w:pPr>
        <w:pStyle w:val="Nadpis3"/>
        <w:spacing w:line="468" w:lineRule="auto"/>
        <w:ind w:right="6440" w:firstLine="719"/>
      </w:pPr>
      <w:r>
        <w:t>XXXXXXXXX</w:t>
      </w:r>
    </w:p>
    <w:p w14:paraId="050219B7" w14:textId="30B5FBE0" w:rsidR="00D757DA" w:rsidRDefault="0033254E" w:rsidP="003C0036">
      <w:pPr>
        <w:pStyle w:val="Nadpis3"/>
        <w:spacing w:line="468" w:lineRule="auto"/>
        <w:ind w:right="6440" w:hanging="120"/>
      </w:pPr>
      <w:r>
        <w:t xml:space="preserve"> ARTICLE 14 - PUBLICITY</w:t>
      </w:r>
    </w:p>
    <w:p w14:paraId="3CA1290B" w14:textId="77777777" w:rsidR="00D757DA" w:rsidRDefault="0033254E">
      <w:pPr>
        <w:pStyle w:val="Odstavecseseznamem"/>
        <w:numPr>
          <w:ilvl w:val="1"/>
          <w:numId w:val="53"/>
        </w:numPr>
        <w:tabs>
          <w:tab w:val="left" w:pos="841"/>
        </w:tabs>
        <w:ind w:right="1438" w:firstLine="0"/>
        <w:jc w:val="both"/>
      </w:pPr>
      <w:r>
        <w:t>Unless the EUIPO requests otherwise, any communication or publication by the IPO about the project, including at a conference or seminar, shall indicate that the project has received financial support from the</w:t>
      </w:r>
      <w:r>
        <w:rPr>
          <w:spacing w:val="-6"/>
        </w:rPr>
        <w:t xml:space="preserve"> </w:t>
      </w:r>
      <w:r>
        <w:t>EUIPO.</w:t>
      </w:r>
    </w:p>
    <w:p w14:paraId="0DB0613E" w14:textId="77777777" w:rsidR="00D757DA" w:rsidRDefault="00D757DA">
      <w:pPr>
        <w:pStyle w:val="Zkladntext"/>
        <w:spacing w:before="10"/>
        <w:rPr>
          <w:sz w:val="20"/>
        </w:rPr>
      </w:pPr>
    </w:p>
    <w:p w14:paraId="428F3D9F" w14:textId="77777777" w:rsidR="00D757DA" w:rsidRDefault="0033254E">
      <w:pPr>
        <w:pStyle w:val="Zkladntext"/>
        <w:ind w:left="120" w:right="1437"/>
        <w:jc w:val="both"/>
      </w:pPr>
      <w:r>
        <w:t>Any</w:t>
      </w:r>
      <w:r>
        <w:rPr>
          <w:spacing w:val="-10"/>
        </w:rPr>
        <w:t xml:space="preserve"> </w:t>
      </w:r>
      <w:r>
        <w:t>communication</w:t>
      </w:r>
      <w:r>
        <w:rPr>
          <w:spacing w:val="-9"/>
        </w:rPr>
        <w:t xml:space="preserve"> </w:t>
      </w:r>
      <w:r>
        <w:t>or</w:t>
      </w:r>
      <w:r>
        <w:rPr>
          <w:spacing w:val="-10"/>
        </w:rPr>
        <w:t xml:space="preserve"> </w:t>
      </w:r>
      <w:r>
        <w:t>publication</w:t>
      </w:r>
      <w:r>
        <w:rPr>
          <w:spacing w:val="-10"/>
        </w:rPr>
        <w:t xml:space="preserve"> </w:t>
      </w:r>
      <w:r>
        <w:t>by</w:t>
      </w:r>
      <w:r>
        <w:rPr>
          <w:spacing w:val="-11"/>
        </w:rPr>
        <w:t xml:space="preserve"> </w:t>
      </w:r>
      <w:r>
        <w:t>the</w:t>
      </w:r>
      <w:r>
        <w:rPr>
          <w:spacing w:val="-14"/>
        </w:rPr>
        <w:t xml:space="preserve"> </w:t>
      </w:r>
      <w:r>
        <w:t>IPO</w:t>
      </w:r>
      <w:r>
        <w:rPr>
          <w:spacing w:val="-10"/>
        </w:rPr>
        <w:t xml:space="preserve"> </w:t>
      </w:r>
      <w:r>
        <w:t>about</w:t>
      </w:r>
      <w:r>
        <w:rPr>
          <w:spacing w:val="-11"/>
        </w:rPr>
        <w:t xml:space="preserve"> </w:t>
      </w:r>
      <w:r>
        <w:t>the</w:t>
      </w:r>
      <w:r>
        <w:rPr>
          <w:spacing w:val="-12"/>
        </w:rPr>
        <w:t xml:space="preserve"> </w:t>
      </w:r>
      <w:r>
        <w:t>project,</w:t>
      </w:r>
      <w:r>
        <w:rPr>
          <w:spacing w:val="-10"/>
        </w:rPr>
        <w:t xml:space="preserve"> </w:t>
      </w:r>
      <w:r>
        <w:t>in</w:t>
      </w:r>
      <w:r>
        <w:rPr>
          <w:spacing w:val="-11"/>
        </w:rPr>
        <w:t xml:space="preserve"> </w:t>
      </w:r>
      <w:r>
        <w:t>any</w:t>
      </w:r>
      <w:r>
        <w:rPr>
          <w:spacing w:val="-12"/>
        </w:rPr>
        <w:t xml:space="preserve"> </w:t>
      </w:r>
      <w:r>
        <w:t>form</w:t>
      </w:r>
      <w:r>
        <w:rPr>
          <w:spacing w:val="-10"/>
        </w:rPr>
        <w:t xml:space="preserve"> </w:t>
      </w:r>
      <w:r>
        <w:t>and</w:t>
      </w:r>
      <w:r>
        <w:rPr>
          <w:spacing w:val="-11"/>
        </w:rPr>
        <w:t xml:space="preserve"> </w:t>
      </w:r>
      <w:r>
        <w:t>medium,</w:t>
      </w:r>
      <w:r>
        <w:rPr>
          <w:spacing w:val="-10"/>
        </w:rPr>
        <w:t xml:space="preserve"> </w:t>
      </w:r>
      <w:r>
        <w:t>shall indicate that sole responsibility lies with the author and that the EUIPO is not responsible for any use that may be made of the information contained</w:t>
      </w:r>
      <w:r>
        <w:rPr>
          <w:spacing w:val="-14"/>
        </w:rPr>
        <w:t xml:space="preserve"> </w:t>
      </w:r>
      <w:r>
        <w:t>therein.</w:t>
      </w:r>
    </w:p>
    <w:p w14:paraId="0C3BDC26" w14:textId="77777777" w:rsidR="00D757DA" w:rsidRDefault="00D757DA">
      <w:pPr>
        <w:pStyle w:val="Zkladntext"/>
        <w:rPr>
          <w:sz w:val="21"/>
        </w:rPr>
      </w:pPr>
    </w:p>
    <w:p w14:paraId="6F795A0B" w14:textId="77777777" w:rsidR="00D757DA" w:rsidRDefault="0033254E">
      <w:pPr>
        <w:pStyle w:val="Odstavecseseznamem"/>
        <w:numPr>
          <w:ilvl w:val="1"/>
          <w:numId w:val="53"/>
        </w:numPr>
        <w:tabs>
          <w:tab w:val="left" w:pos="841"/>
        </w:tabs>
        <w:ind w:right="1437" w:firstLine="0"/>
        <w:jc w:val="both"/>
      </w:pPr>
      <w:r>
        <w:t>The IPO authorizes the EUIPO to publish the following information in any form and medium, including via the</w:t>
      </w:r>
      <w:r>
        <w:rPr>
          <w:spacing w:val="-3"/>
        </w:rPr>
        <w:t xml:space="preserve"> </w:t>
      </w:r>
      <w:r>
        <w:t>Internet:</w:t>
      </w:r>
    </w:p>
    <w:p w14:paraId="1D8059B3" w14:textId="77777777" w:rsidR="00D757DA" w:rsidRDefault="0033254E">
      <w:pPr>
        <w:pStyle w:val="Odstavecseseznamem"/>
        <w:numPr>
          <w:ilvl w:val="2"/>
          <w:numId w:val="53"/>
        </w:numPr>
        <w:tabs>
          <w:tab w:val="left" w:pos="1253"/>
          <w:tab w:val="left" w:pos="1254"/>
        </w:tabs>
        <w:spacing w:line="251" w:lineRule="exact"/>
        <w:ind w:hanging="426"/>
      </w:pPr>
      <w:r>
        <w:t>the IPO's name and the</w:t>
      </w:r>
      <w:r>
        <w:rPr>
          <w:spacing w:val="-8"/>
        </w:rPr>
        <w:t xml:space="preserve"> </w:t>
      </w:r>
      <w:proofErr w:type="gramStart"/>
      <w:r>
        <w:t>address;</w:t>
      </w:r>
      <w:proofErr w:type="gramEnd"/>
    </w:p>
    <w:p w14:paraId="5FFDEBB0" w14:textId="77777777" w:rsidR="00D757DA" w:rsidRDefault="00D757DA">
      <w:pPr>
        <w:pStyle w:val="Zkladntext"/>
        <w:rPr>
          <w:sz w:val="20"/>
        </w:rPr>
      </w:pPr>
    </w:p>
    <w:p w14:paraId="2B47999A" w14:textId="77777777" w:rsidR="00D757DA" w:rsidRDefault="0033254E">
      <w:pPr>
        <w:pStyle w:val="Zkladntext"/>
        <w:spacing w:before="9"/>
        <w:rPr>
          <w:sz w:val="20"/>
        </w:rPr>
      </w:pPr>
      <w:r>
        <w:pict w14:anchorId="765891A7">
          <v:shape id="_x0000_s2111" style="position:absolute;margin-left:1in;margin-top:14.2pt;width:144.05pt;height:.1pt;z-index:-251654144;mso-wrap-distance-left:0;mso-wrap-distance-right:0;mso-position-horizontal-relative:page" coordorigin="1440,284" coordsize="2881,0" path="m1440,284r2881,e" filled="f" strokeweight=".59pt">
            <v:path arrowok="t"/>
            <w10:wrap type="topAndBottom" anchorx="page"/>
          </v:shape>
        </w:pict>
      </w:r>
    </w:p>
    <w:p w14:paraId="74DC7A8A" w14:textId="77777777" w:rsidR="00D757DA" w:rsidRDefault="0033254E">
      <w:pPr>
        <w:spacing w:before="70"/>
        <w:ind w:left="120"/>
        <w:rPr>
          <w:rFonts w:ascii="Times New Roman"/>
          <w:sz w:val="18"/>
        </w:rPr>
      </w:pPr>
      <w:bookmarkStart w:id="21" w:name="_bookmark0"/>
      <w:bookmarkEnd w:id="21"/>
      <w:r>
        <w:rPr>
          <w:rFonts w:ascii="Times New Roman"/>
          <w:position w:val="7"/>
          <w:sz w:val="13"/>
        </w:rPr>
        <w:t xml:space="preserve">1 </w:t>
      </w:r>
      <w:hyperlink r:id="rId10">
        <w:r>
          <w:rPr>
            <w:rFonts w:ascii="Times New Roman"/>
            <w:color w:val="0000FF"/>
            <w:sz w:val="18"/>
            <w:u w:val="single" w:color="0000FF"/>
          </w:rPr>
          <w:t>https://eur-lex.europa.eu/legal-content/EN/TXT/?uri=celex%3A32018R1725</w:t>
        </w:r>
      </w:hyperlink>
    </w:p>
    <w:p w14:paraId="4955F8EB" w14:textId="77777777" w:rsidR="00D757DA" w:rsidRDefault="00D757DA">
      <w:pPr>
        <w:rPr>
          <w:rFonts w:ascii="Times New Roman"/>
          <w:sz w:val="18"/>
        </w:rPr>
        <w:sectPr w:rsidR="00D757DA">
          <w:pgSz w:w="11910" w:h="16840"/>
          <w:pgMar w:top="1340" w:right="0" w:bottom="1160" w:left="1320" w:header="0" w:footer="881" w:gutter="0"/>
          <w:cols w:space="708"/>
        </w:sectPr>
      </w:pPr>
    </w:p>
    <w:p w14:paraId="023B21B9" w14:textId="77777777" w:rsidR="00D757DA" w:rsidRDefault="0033254E">
      <w:pPr>
        <w:pStyle w:val="Odstavecseseznamem"/>
        <w:numPr>
          <w:ilvl w:val="2"/>
          <w:numId w:val="53"/>
        </w:numPr>
        <w:tabs>
          <w:tab w:val="left" w:pos="1253"/>
          <w:tab w:val="left" w:pos="1254"/>
        </w:tabs>
        <w:spacing w:before="81"/>
        <w:ind w:hanging="426"/>
      </w:pPr>
      <w:r>
        <w:lastRenderedPageBreak/>
        <w:t>the subject and purpose of the</w:t>
      </w:r>
      <w:r>
        <w:rPr>
          <w:spacing w:val="-6"/>
        </w:rPr>
        <w:t xml:space="preserve"> </w:t>
      </w:r>
      <w:proofErr w:type="gramStart"/>
      <w:r>
        <w:t>project;</w:t>
      </w:r>
      <w:proofErr w:type="gramEnd"/>
    </w:p>
    <w:p w14:paraId="31895B39" w14:textId="77777777" w:rsidR="00D757DA" w:rsidRDefault="00D757DA">
      <w:pPr>
        <w:pStyle w:val="Zkladntext"/>
        <w:spacing w:before="1"/>
      </w:pPr>
    </w:p>
    <w:p w14:paraId="7D7D6934" w14:textId="77777777" w:rsidR="00D757DA" w:rsidRDefault="0033254E">
      <w:pPr>
        <w:pStyle w:val="Odstavecseseznamem"/>
        <w:numPr>
          <w:ilvl w:val="2"/>
          <w:numId w:val="53"/>
        </w:numPr>
        <w:tabs>
          <w:tab w:val="left" w:pos="1253"/>
          <w:tab w:val="left" w:pos="1254"/>
        </w:tabs>
        <w:ind w:right="1436"/>
      </w:pPr>
      <w:r>
        <w:t>the amount to be paid and the proportion of the project's total amount covered by the</w:t>
      </w:r>
      <w:r>
        <w:rPr>
          <w:spacing w:val="-3"/>
        </w:rPr>
        <w:t xml:space="preserve"> </w:t>
      </w:r>
      <w:proofErr w:type="gramStart"/>
      <w:r>
        <w:t>funding;</w:t>
      </w:r>
      <w:proofErr w:type="gramEnd"/>
    </w:p>
    <w:p w14:paraId="4F39FC61" w14:textId="77777777" w:rsidR="00D757DA" w:rsidRDefault="00D757DA">
      <w:pPr>
        <w:pStyle w:val="Zkladntext"/>
        <w:spacing w:before="11"/>
        <w:rPr>
          <w:sz w:val="21"/>
        </w:rPr>
      </w:pPr>
    </w:p>
    <w:p w14:paraId="7E940541" w14:textId="77777777" w:rsidR="00D757DA" w:rsidRDefault="0033254E">
      <w:pPr>
        <w:pStyle w:val="Odstavecseseznamem"/>
        <w:numPr>
          <w:ilvl w:val="2"/>
          <w:numId w:val="53"/>
        </w:numPr>
        <w:tabs>
          <w:tab w:val="left" w:pos="1253"/>
          <w:tab w:val="left" w:pos="1254"/>
        </w:tabs>
        <w:ind w:right="1435"/>
      </w:pPr>
      <w:r>
        <w:t>any internal deliverable created by the IPO in their role as member of Virtual Communities.</w:t>
      </w:r>
    </w:p>
    <w:p w14:paraId="0F9A7DA9" w14:textId="77777777" w:rsidR="00D757DA" w:rsidRDefault="00D757DA">
      <w:pPr>
        <w:pStyle w:val="Zkladntext"/>
        <w:spacing w:before="11"/>
        <w:rPr>
          <w:sz w:val="21"/>
        </w:rPr>
      </w:pPr>
    </w:p>
    <w:p w14:paraId="34D3775D" w14:textId="77777777" w:rsidR="00D757DA" w:rsidRDefault="0033254E">
      <w:pPr>
        <w:pStyle w:val="Zkladntext"/>
        <w:ind w:left="120" w:right="1435"/>
        <w:jc w:val="both"/>
      </w:pPr>
      <w:r>
        <w:t>Upon a reasoned and duly substantiated request by the IPO, the EUIPO may agree to forgo such publicity if disclosure of the information indicated above would risk compromising the IPO's security or prejudicing its commercial interests.</w:t>
      </w:r>
    </w:p>
    <w:p w14:paraId="2F9702C1" w14:textId="77777777" w:rsidR="00D757DA" w:rsidRDefault="00D757DA">
      <w:pPr>
        <w:pStyle w:val="Zkladntext"/>
        <w:spacing w:before="3"/>
        <w:rPr>
          <w:sz w:val="31"/>
        </w:rPr>
      </w:pPr>
    </w:p>
    <w:p w14:paraId="4F516308" w14:textId="77777777" w:rsidR="00D757DA" w:rsidRDefault="0033254E">
      <w:pPr>
        <w:pStyle w:val="Nadpis3"/>
        <w:jc w:val="both"/>
      </w:pPr>
      <w:bookmarkStart w:id="22" w:name="ARTICLE_15_-_SUBCONTRACTING"/>
      <w:bookmarkEnd w:id="22"/>
      <w:r>
        <w:t>ARTICLE 15 - SUBCONTRACTING</w:t>
      </w:r>
    </w:p>
    <w:p w14:paraId="0050F73D" w14:textId="77777777" w:rsidR="00D757DA" w:rsidRDefault="00D757DA">
      <w:pPr>
        <w:pStyle w:val="Zkladntext"/>
        <w:rPr>
          <w:b/>
          <w:sz w:val="21"/>
        </w:rPr>
      </w:pPr>
    </w:p>
    <w:p w14:paraId="3D297DA8" w14:textId="77777777" w:rsidR="00D757DA" w:rsidRDefault="0033254E">
      <w:pPr>
        <w:pStyle w:val="Odstavecseseznamem"/>
        <w:numPr>
          <w:ilvl w:val="1"/>
          <w:numId w:val="52"/>
        </w:numPr>
        <w:tabs>
          <w:tab w:val="left" w:pos="841"/>
        </w:tabs>
        <w:spacing w:before="1"/>
        <w:ind w:right="1431" w:firstLine="0"/>
        <w:jc w:val="both"/>
      </w:pPr>
      <w:r>
        <w:t>Where the implementation of the project requires the procurement of goods, works or services by the IPO, it shall award the contract to the tender offering best value for money or, as appropriate, to the tender offering the lowest price in accordance with national laws on procurement applicable to IPO. In doing so, it shall avoid any conflict of</w:t>
      </w:r>
      <w:r>
        <w:rPr>
          <w:spacing w:val="-17"/>
        </w:rPr>
        <w:t xml:space="preserve"> </w:t>
      </w:r>
      <w:r>
        <w:t>interests.</w:t>
      </w:r>
    </w:p>
    <w:p w14:paraId="7BC66D19" w14:textId="77777777" w:rsidR="00D757DA" w:rsidRDefault="00D757DA">
      <w:pPr>
        <w:pStyle w:val="Zkladntext"/>
        <w:spacing w:before="10"/>
        <w:rPr>
          <w:sz w:val="20"/>
        </w:rPr>
      </w:pPr>
    </w:p>
    <w:p w14:paraId="065442DC" w14:textId="77777777" w:rsidR="00D757DA" w:rsidRDefault="0033254E">
      <w:pPr>
        <w:pStyle w:val="Odstavecseseznamem"/>
        <w:numPr>
          <w:ilvl w:val="1"/>
          <w:numId w:val="52"/>
        </w:numPr>
        <w:tabs>
          <w:tab w:val="left" w:pos="841"/>
        </w:tabs>
        <w:spacing w:before="1"/>
        <w:ind w:right="1437" w:firstLine="0"/>
        <w:jc w:val="both"/>
      </w:pPr>
      <w:r>
        <w:t>The IPO shall ensure that any procurement contract contains provisions stipulating that the contractor has no rights vis-à-vis the EUIPO under the Agreement and that the contractor adheres to its</w:t>
      </w:r>
      <w:r>
        <w:rPr>
          <w:spacing w:val="-6"/>
        </w:rPr>
        <w:t xml:space="preserve"> </w:t>
      </w:r>
      <w:r>
        <w:t>terms.</w:t>
      </w:r>
    </w:p>
    <w:p w14:paraId="69959F40" w14:textId="77777777" w:rsidR="00D757DA" w:rsidRDefault="00D757DA">
      <w:pPr>
        <w:pStyle w:val="Zkladntext"/>
        <w:spacing w:before="2"/>
        <w:rPr>
          <w:sz w:val="31"/>
        </w:rPr>
      </w:pPr>
    </w:p>
    <w:p w14:paraId="2C0B5655" w14:textId="77777777" w:rsidR="00D757DA" w:rsidRDefault="0033254E">
      <w:pPr>
        <w:pStyle w:val="Nadpis3"/>
        <w:spacing w:before="1"/>
        <w:jc w:val="both"/>
      </w:pPr>
      <w:bookmarkStart w:id="23" w:name="ARTICLE_16_-_EVALUATION_-_CHECKS_AND_AUD"/>
      <w:bookmarkEnd w:id="23"/>
      <w:r>
        <w:t>ARTICLE 16 - EVALUATION - CHECKS AND AUDITS</w:t>
      </w:r>
    </w:p>
    <w:p w14:paraId="49FBCCED" w14:textId="77777777" w:rsidR="00D757DA" w:rsidRDefault="00D757DA">
      <w:pPr>
        <w:pStyle w:val="Zkladntext"/>
        <w:spacing w:before="8"/>
        <w:rPr>
          <w:b/>
          <w:sz w:val="20"/>
        </w:rPr>
      </w:pPr>
    </w:p>
    <w:p w14:paraId="5BF175F7" w14:textId="77777777" w:rsidR="00D757DA" w:rsidRDefault="0033254E">
      <w:pPr>
        <w:pStyle w:val="Odstavecseseznamem"/>
        <w:numPr>
          <w:ilvl w:val="1"/>
          <w:numId w:val="51"/>
        </w:numPr>
        <w:tabs>
          <w:tab w:val="left" w:pos="841"/>
        </w:tabs>
        <w:spacing w:before="1"/>
        <w:ind w:right="1439" w:firstLine="0"/>
        <w:jc w:val="both"/>
      </w:pPr>
      <w:r>
        <w:t xml:space="preserve">Whenever the EUIPO carries out a final evaluation of the project impact measured against the objectives of the </w:t>
      </w:r>
      <w:proofErr w:type="spellStart"/>
      <w:r>
        <w:t>programme</w:t>
      </w:r>
      <w:proofErr w:type="spellEnd"/>
      <w:r>
        <w:t xml:space="preserve"> concerned, the IPO shall make available to the EUIPO and/or persons authorized by it all relevant documents or</w:t>
      </w:r>
      <w:r>
        <w:rPr>
          <w:spacing w:val="-6"/>
        </w:rPr>
        <w:t xml:space="preserve"> </w:t>
      </w:r>
      <w:r>
        <w:t>information.</w:t>
      </w:r>
    </w:p>
    <w:p w14:paraId="594764B6" w14:textId="77777777" w:rsidR="00D757DA" w:rsidRDefault="00D757DA">
      <w:pPr>
        <w:pStyle w:val="Zkladntext"/>
        <w:spacing w:before="9"/>
        <w:rPr>
          <w:sz w:val="20"/>
        </w:rPr>
      </w:pPr>
    </w:p>
    <w:p w14:paraId="22EF8E1C" w14:textId="77777777" w:rsidR="00D757DA" w:rsidRDefault="0033254E">
      <w:pPr>
        <w:pStyle w:val="Odstavecseseznamem"/>
        <w:numPr>
          <w:ilvl w:val="1"/>
          <w:numId w:val="51"/>
        </w:numPr>
        <w:tabs>
          <w:tab w:val="left" w:pos="841"/>
        </w:tabs>
        <w:ind w:right="1437" w:firstLine="0"/>
        <w:jc w:val="both"/>
      </w:pPr>
      <w:r>
        <w:t>The IPO shall provide any detailed information requested by the EUIPO or by an external</w:t>
      </w:r>
      <w:r>
        <w:rPr>
          <w:spacing w:val="-6"/>
        </w:rPr>
        <w:t xml:space="preserve"> </w:t>
      </w:r>
      <w:r>
        <w:t>body/person</w:t>
      </w:r>
      <w:r>
        <w:rPr>
          <w:spacing w:val="-5"/>
        </w:rPr>
        <w:t xml:space="preserve"> </w:t>
      </w:r>
      <w:proofErr w:type="spellStart"/>
      <w:r>
        <w:t>authorised</w:t>
      </w:r>
      <w:proofErr w:type="spellEnd"/>
      <w:r>
        <w:rPr>
          <w:spacing w:val="-1"/>
        </w:rPr>
        <w:t xml:space="preserve"> </w:t>
      </w:r>
      <w:r>
        <w:t>by</w:t>
      </w:r>
      <w:r>
        <w:rPr>
          <w:spacing w:val="-7"/>
        </w:rPr>
        <w:t xml:space="preserve"> </w:t>
      </w:r>
      <w:r>
        <w:t>the</w:t>
      </w:r>
      <w:r>
        <w:rPr>
          <w:spacing w:val="-4"/>
        </w:rPr>
        <w:t xml:space="preserve"> </w:t>
      </w:r>
      <w:r>
        <w:t>EUIPO</w:t>
      </w:r>
      <w:r>
        <w:rPr>
          <w:spacing w:val="-6"/>
        </w:rPr>
        <w:t xml:space="preserve"> </w:t>
      </w:r>
      <w:r>
        <w:t>to</w:t>
      </w:r>
      <w:r>
        <w:rPr>
          <w:spacing w:val="-6"/>
        </w:rPr>
        <w:t xml:space="preserve"> </w:t>
      </w:r>
      <w:r>
        <w:t>check</w:t>
      </w:r>
      <w:r>
        <w:rPr>
          <w:spacing w:val="-5"/>
        </w:rPr>
        <w:t xml:space="preserve"> </w:t>
      </w:r>
      <w:r>
        <w:t>that</w:t>
      </w:r>
      <w:r>
        <w:rPr>
          <w:spacing w:val="-4"/>
        </w:rPr>
        <w:t xml:space="preserve"> </w:t>
      </w:r>
      <w:r>
        <w:t>the</w:t>
      </w:r>
      <w:r>
        <w:rPr>
          <w:spacing w:val="-4"/>
        </w:rPr>
        <w:t xml:space="preserve"> </w:t>
      </w:r>
      <w:r>
        <w:t>Agreement</w:t>
      </w:r>
      <w:r>
        <w:rPr>
          <w:spacing w:val="-1"/>
        </w:rPr>
        <w:t xml:space="preserve"> </w:t>
      </w:r>
      <w:r>
        <w:t>is</w:t>
      </w:r>
      <w:r>
        <w:rPr>
          <w:spacing w:val="-4"/>
        </w:rPr>
        <w:t xml:space="preserve"> </w:t>
      </w:r>
      <w:r>
        <w:t>being</w:t>
      </w:r>
      <w:r>
        <w:rPr>
          <w:spacing w:val="-5"/>
        </w:rPr>
        <w:t xml:space="preserve"> </w:t>
      </w:r>
      <w:r>
        <w:t>properly implemented.</w:t>
      </w:r>
    </w:p>
    <w:p w14:paraId="5B2B828A" w14:textId="77777777" w:rsidR="00D757DA" w:rsidRDefault="00D757DA">
      <w:pPr>
        <w:pStyle w:val="Zkladntext"/>
        <w:spacing w:before="1"/>
        <w:rPr>
          <w:sz w:val="21"/>
        </w:rPr>
      </w:pPr>
    </w:p>
    <w:p w14:paraId="2F3BD514" w14:textId="77777777" w:rsidR="00D757DA" w:rsidRDefault="0033254E">
      <w:pPr>
        <w:pStyle w:val="Odstavecseseznamem"/>
        <w:numPr>
          <w:ilvl w:val="1"/>
          <w:numId w:val="51"/>
        </w:numPr>
        <w:tabs>
          <w:tab w:val="left" w:pos="841"/>
        </w:tabs>
        <w:ind w:right="1436" w:firstLine="0"/>
        <w:jc w:val="both"/>
      </w:pPr>
      <w:r>
        <w:t>The IPO shall keep all original documents, especially accounting and tax records, or, in exceptional and duly justified cases, certified copies of original documents relating to the Agreement for a period of five years from the date of payment received from the</w:t>
      </w:r>
      <w:r>
        <w:rPr>
          <w:spacing w:val="-34"/>
        </w:rPr>
        <w:t xml:space="preserve"> </w:t>
      </w:r>
      <w:r>
        <w:t>EUIPO.</w:t>
      </w:r>
    </w:p>
    <w:p w14:paraId="256A3E27" w14:textId="77777777" w:rsidR="00D757DA" w:rsidRDefault="00D757DA">
      <w:pPr>
        <w:pStyle w:val="Zkladntext"/>
        <w:spacing w:before="9"/>
        <w:rPr>
          <w:sz w:val="20"/>
        </w:rPr>
      </w:pPr>
    </w:p>
    <w:p w14:paraId="77DF287E" w14:textId="77777777" w:rsidR="00D757DA" w:rsidRDefault="0033254E">
      <w:pPr>
        <w:pStyle w:val="Odstavecseseznamem"/>
        <w:numPr>
          <w:ilvl w:val="1"/>
          <w:numId w:val="51"/>
        </w:numPr>
        <w:tabs>
          <w:tab w:val="left" w:pos="841"/>
        </w:tabs>
        <w:ind w:right="1433" w:firstLine="0"/>
        <w:jc w:val="both"/>
      </w:pPr>
      <w:r>
        <w:t>The IPO agrees that the EUIPO may audit the use made of the financial contribution received</w:t>
      </w:r>
      <w:r>
        <w:rPr>
          <w:spacing w:val="-4"/>
        </w:rPr>
        <w:t xml:space="preserve"> </w:t>
      </w:r>
      <w:r>
        <w:t>either</w:t>
      </w:r>
      <w:r>
        <w:rPr>
          <w:spacing w:val="-3"/>
        </w:rPr>
        <w:t xml:space="preserve"> </w:t>
      </w:r>
      <w:r>
        <w:t>directly</w:t>
      </w:r>
      <w:r>
        <w:rPr>
          <w:spacing w:val="-6"/>
        </w:rPr>
        <w:t xml:space="preserve"> </w:t>
      </w:r>
      <w:r>
        <w:t>by</w:t>
      </w:r>
      <w:r>
        <w:rPr>
          <w:spacing w:val="-4"/>
        </w:rPr>
        <w:t xml:space="preserve"> </w:t>
      </w:r>
      <w:r>
        <w:t>its</w:t>
      </w:r>
      <w:r>
        <w:rPr>
          <w:spacing w:val="-6"/>
        </w:rPr>
        <w:t xml:space="preserve"> </w:t>
      </w:r>
      <w:r>
        <w:t>own</w:t>
      </w:r>
      <w:r>
        <w:rPr>
          <w:spacing w:val="-4"/>
        </w:rPr>
        <w:t xml:space="preserve"> </w:t>
      </w:r>
      <w:r>
        <w:t>staff</w:t>
      </w:r>
      <w:r>
        <w:rPr>
          <w:spacing w:val="-5"/>
        </w:rPr>
        <w:t xml:space="preserve"> </w:t>
      </w:r>
      <w:r>
        <w:t>or</w:t>
      </w:r>
      <w:r>
        <w:rPr>
          <w:spacing w:val="-6"/>
        </w:rPr>
        <w:t xml:space="preserve"> </w:t>
      </w:r>
      <w:r>
        <w:t>by</w:t>
      </w:r>
      <w:r>
        <w:rPr>
          <w:spacing w:val="-6"/>
        </w:rPr>
        <w:t xml:space="preserve"> </w:t>
      </w:r>
      <w:r>
        <w:t>any</w:t>
      </w:r>
      <w:r>
        <w:rPr>
          <w:spacing w:val="-6"/>
        </w:rPr>
        <w:t xml:space="preserve"> </w:t>
      </w:r>
      <w:r>
        <w:t>other</w:t>
      </w:r>
      <w:r>
        <w:rPr>
          <w:spacing w:val="-4"/>
        </w:rPr>
        <w:t xml:space="preserve"> </w:t>
      </w:r>
      <w:r>
        <w:t>outside</w:t>
      </w:r>
      <w:r>
        <w:rPr>
          <w:spacing w:val="-7"/>
        </w:rPr>
        <w:t xml:space="preserve"> </w:t>
      </w:r>
      <w:r>
        <w:t>body</w:t>
      </w:r>
      <w:r>
        <w:rPr>
          <w:spacing w:val="-5"/>
        </w:rPr>
        <w:t xml:space="preserve"> </w:t>
      </w:r>
      <w:proofErr w:type="spellStart"/>
      <w:r>
        <w:t>authorised</w:t>
      </w:r>
      <w:proofErr w:type="spellEnd"/>
      <w:r>
        <w:rPr>
          <w:spacing w:val="-3"/>
        </w:rPr>
        <w:t xml:space="preserve"> </w:t>
      </w:r>
      <w:r>
        <w:t>to</w:t>
      </w:r>
      <w:r>
        <w:rPr>
          <w:spacing w:val="-6"/>
        </w:rPr>
        <w:t xml:space="preserve"> </w:t>
      </w:r>
      <w:r>
        <w:t>do</w:t>
      </w:r>
      <w:r>
        <w:rPr>
          <w:spacing w:val="-7"/>
        </w:rPr>
        <w:t xml:space="preserve"> </w:t>
      </w:r>
      <w:r>
        <w:t>so</w:t>
      </w:r>
      <w:r>
        <w:rPr>
          <w:spacing w:val="-6"/>
        </w:rPr>
        <w:t xml:space="preserve"> </w:t>
      </w:r>
      <w:r>
        <w:t>on</w:t>
      </w:r>
      <w:r>
        <w:rPr>
          <w:spacing w:val="-4"/>
        </w:rPr>
        <w:t xml:space="preserve"> </w:t>
      </w:r>
      <w:r>
        <w:t>its behalf. Such audits may be carried out throughout the period of implementation of the Agreement until the balance is paid and afterwards for a period of five years from the date of payment</w:t>
      </w:r>
      <w:r>
        <w:rPr>
          <w:spacing w:val="-8"/>
        </w:rPr>
        <w:t xml:space="preserve"> </w:t>
      </w:r>
      <w:r>
        <w:t>of</w:t>
      </w:r>
      <w:r>
        <w:rPr>
          <w:spacing w:val="-7"/>
        </w:rPr>
        <w:t xml:space="preserve"> </w:t>
      </w:r>
      <w:r>
        <w:t>the</w:t>
      </w:r>
      <w:r>
        <w:rPr>
          <w:spacing w:val="-10"/>
        </w:rPr>
        <w:t xml:space="preserve"> </w:t>
      </w:r>
      <w:r>
        <w:t>balance.</w:t>
      </w:r>
      <w:r>
        <w:rPr>
          <w:spacing w:val="-10"/>
        </w:rPr>
        <w:t xml:space="preserve"> </w:t>
      </w:r>
      <w:r>
        <w:t>Where</w:t>
      </w:r>
      <w:r>
        <w:rPr>
          <w:spacing w:val="-9"/>
        </w:rPr>
        <w:t xml:space="preserve"> </w:t>
      </w:r>
      <w:r>
        <w:t>appropriate,</w:t>
      </w:r>
      <w:r>
        <w:rPr>
          <w:spacing w:val="-7"/>
        </w:rPr>
        <w:t xml:space="preserve"> </w:t>
      </w:r>
      <w:r>
        <w:t>the</w:t>
      </w:r>
      <w:r>
        <w:rPr>
          <w:spacing w:val="-9"/>
        </w:rPr>
        <w:t xml:space="preserve"> </w:t>
      </w:r>
      <w:r>
        <w:t>audit</w:t>
      </w:r>
      <w:r>
        <w:rPr>
          <w:spacing w:val="-8"/>
        </w:rPr>
        <w:t xml:space="preserve"> </w:t>
      </w:r>
      <w:r>
        <w:t>findings</w:t>
      </w:r>
      <w:r>
        <w:rPr>
          <w:spacing w:val="-9"/>
        </w:rPr>
        <w:t xml:space="preserve"> </w:t>
      </w:r>
      <w:r>
        <w:t>may</w:t>
      </w:r>
      <w:r>
        <w:rPr>
          <w:spacing w:val="-10"/>
        </w:rPr>
        <w:t xml:space="preserve"> </w:t>
      </w:r>
      <w:r>
        <w:t>lead</w:t>
      </w:r>
      <w:r>
        <w:rPr>
          <w:spacing w:val="-9"/>
        </w:rPr>
        <w:t xml:space="preserve"> </w:t>
      </w:r>
      <w:r>
        <w:t>to</w:t>
      </w:r>
      <w:r>
        <w:rPr>
          <w:spacing w:val="-11"/>
        </w:rPr>
        <w:t xml:space="preserve"> </w:t>
      </w:r>
      <w:r>
        <w:t>recovery</w:t>
      </w:r>
      <w:r>
        <w:rPr>
          <w:spacing w:val="-9"/>
        </w:rPr>
        <w:t xml:space="preserve"> </w:t>
      </w:r>
      <w:r>
        <w:t>decisions by the</w:t>
      </w:r>
      <w:r>
        <w:rPr>
          <w:spacing w:val="-3"/>
        </w:rPr>
        <w:t xml:space="preserve"> </w:t>
      </w:r>
      <w:r>
        <w:t>EUIPO.</w:t>
      </w:r>
    </w:p>
    <w:p w14:paraId="4721712B" w14:textId="77777777" w:rsidR="00D757DA" w:rsidRDefault="00D757DA">
      <w:pPr>
        <w:pStyle w:val="Zkladntext"/>
        <w:spacing w:before="10"/>
        <w:rPr>
          <w:sz w:val="20"/>
        </w:rPr>
      </w:pPr>
    </w:p>
    <w:p w14:paraId="68FF6126" w14:textId="77777777" w:rsidR="00D757DA" w:rsidRDefault="0033254E">
      <w:pPr>
        <w:pStyle w:val="Odstavecseseznamem"/>
        <w:numPr>
          <w:ilvl w:val="1"/>
          <w:numId w:val="51"/>
        </w:numPr>
        <w:tabs>
          <w:tab w:val="left" w:pos="841"/>
        </w:tabs>
        <w:ind w:right="1435" w:firstLine="0"/>
        <w:jc w:val="both"/>
      </w:pPr>
      <w:r>
        <w:t xml:space="preserve">The IPO shall allow the EUIPO staff and external personnel </w:t>
      </w:r>
      <w:proofErr w:type="spellStart"/>
      <w:r>
        <w:t>authorised</w:t>
      </w:r>
      <w:proofErr w:type="spellEnd"/>
      <w:r>
        <w:t xml:space="preserve"> by the EUIPO the</w:t>
      </w:r>
      <w:r>
        <w:rPr>
          <w:spacing w:val="-8"/>
        </w:rPr>
        <w:t xml:space="preserve"> </w:t>
      </w:r>
      <w:r>
        <w:t>appropriate</w:t>
      </w:r>
      <w:r>
        <w:rPr>
          <w:spacing w:val="-9"/>
        </w:rPr>
        <w:t xml:space="preserve"> </w:t>
      </w:r>
      <w:r>
        <w:t>right</w:t>
      </w:r>
      <w:r>
        <w:rPr>
          <w:spacing w:val="-8"/>
        </w:rPr>
        <w:t xml:space="preserve"> </w:t>
      </w:r>
      <w:r>
        <w:t>of</w:t>
      </w:r>
      <w:r>
        <w:rPr>
          <w:spacing w:val="-7"/>
        </w:rPr>
        <w:t xml:space="preserve"> </w:t>
      </w:r>
      <w:r>
        <w:t>access</w:t>
      </w:r>
      <w:r>
        <w:rPr>
          <w:spacing w:val="-9"/>
        </w:rPr>
        <w:t xml:space="preserve"> </w:t>
      </w:r>
      <w:r>
        <w:t>to</w:t>
      </w:r>
      <w:r>
        <w:rPr>
          <w:spacing w:val="-10"/>
        </w:rPr>
        <w:t xml:space="preserve"> </w:t>
      </w:r>
      <w:r>
        <w:t>sites</w:t>
      </w:r>
      <w:r>
        <w:rPr>
          <w:spacing w:val="-6"/>
        </w:rPr>
        <w:t xml:space="preserve"> </w:t>
      </w:r>
      <w:r>
        <w:t>and</w:t>
      </w:r>
      <w:r>
        <w:rPr>
          <w:spacing w:val="-9"/>
        </w:rPr>
        <w:t xml:space="preserve"> </w:t>
      </w:r>
      <w:r>
        <w:t>premises</w:t>
      </w:r>
      <w:r>
        <w:rPr>
          <w:spacing w:val="-7"/>
        </w:rPr>
        <w:t xml:space="preserve"> </w:t>
      </w:r>
      <w:r>
        <w:t>where</w:t>
      </w:r>
      <w:r>
        <w:rPr>
          <w:spacing w:val="-11"/>
        </w:rPr>
        <w:t xml:space="preserve"> </w:t>
      </w:r>
      <w:r>
        <w:t>the</w:t>
      </w:r>
      <w:r>
        <w:rPr>
          <w:spacing w:val="-9"/>
        </w:rPr>
        <w:t xml:space="preserve"> </w:t>
      </w:r>
      <w:r>
        <w:t>project</w:t>
      </w:r>
      <w:r>
        <w:rPr>
          <w:spacing w:val="-6"/>
        </w:rPr>
        <w:t xml:space="preserve"> </w:t>
      </w:r>
      <w:r>
        <w:t>is</w:t>
      </w:r>
      <w:r>
        <w:rPr>
          <w:spacing w:val="-8"/>
        </w:rPr>
        <w:t xml:space="preserve"> </w:t>
      </w:r>
      <w:r>
        <w:t>carried</w:t>
      </w:r>
      <w:r>
        <w:rPr>
          <w:spacing w:val="-10"/>
        </w:rPr>
        <w:t xml:space="preserve"> </w:t>
      </w:r>
      <w:r>
        <w:t>out</w:t>
      </w:r>
      <w:r>
        <w:rPr>
          <w:spacing w:val="-7"/>
        </w:rPr>
        <w:t xml:space="preserve"> </w:t>
      </w:r>
      <w:r>
        <w:t>and</w:t>
      </w:r>
      <w:r>
        <w:rPr>
          <w:spacing w:val="-9"/>
        </w:rPr>
        <w:t xml:space="preserve"> </w:t>
      </w:r>
      <w:r>
        <w:t>to</w:t>
      </w:r>
      <w:r>
        <w:rPr>
          <w:spacing w:val="-10"/>
        </w:rPr>
        <w:t xml:space="preserve"> </w:t>
      </w:r>
      <w:r>
        <w:t>all the information in any form and medium, needed to conduct such</w:t>
      </w:r>
      <w:r>
        <w:rPr>
          <w:spacing w:val="-15"/>
        </w:rPr>
        <w:t xml:space="preserve"> </w:t>
      </w:r>
      <w:r>
        <w:t>audits.</w:t>
      </w:r>
    </w:p>
    <w:p w14:paraId="283EE98A" w14:textId="77777777" w:rsidR="00D757DA" w:rsidRDefault="00D757DA">
      <w:pPr>
        <w:jc w:val="both"/>
        <w:sectPr w:rsidR="00D757DA">
          <w:pgSz w:w="11910" w:h="16840"/>
          <w:pgMar w:top="1340" w:right="0" w:bottom="1160" w:left="1320" w:header="0" w:footer="881" w:gutter="0"/>
          <w:cols w:space="708"/>
        </w:sectPr>
      </w:pPr>
    </w:p>
    <w:p w14:paraId="10921AD8" w14:textId="77777777" w:rsidR="00D757DA" w:rsidRDefault="0033254E">
      <w:pPr>
        <w:pStyle w:val="Odstavecseseznamem"/>
        <w:numPr>
          <w:ilvl w:val="1"/>
          <w:numId w:val="51"/>
        </w:numPr>
        <w:tabs>
          <w:tab w:val="left" w:pos="973"/>
        </w:tabs>
        <w:spacing w:before="81"/>
        <w:ind w:right="1434" w:firstLine="0"/>
        <w:jc w:val="both"/>
      </w:pPr>
      <w:r>
        <w:lastRenderedPageBreak/>
        <w:t>The European Anti-Fraud Office (OLAF) has the same rights as the EUIPO, particularly the right of access, for the purpose of checks, including on-the-spot checks, investigations</w:t>
      </w:r>
      <w:r>
        <w:rPr>
          <w:spacing w:val="-10"/>
        </w:rPr>
        <w:t xml:space="preserve"> </w:t>
      </w:r>
      <w:r>
        <w:t>and</w:t>
      </w:r>
      <w:r>
        <w:rPr>
          <w:spacing w:val="-11"/>
        </w:rPr>
        <w:t xml:space="preserve"> </w:t>
      </w:r>
      <w:r>
        <w:t>inspections,</w:t>
      </w:r>
      <w:r>
        <w:rPr>
          <w:spacing w:val="-8"/>
        </w:rPr>
        <w:t xml:space="preserve"> </w:t>
      </w:r>
      <w:r>
        <w:t>in</w:t>
      </w:r>
      <w:r>
        <w:rPr>
          <w:spacing w:val="-11"/>
        </w:rPr>
        <w:t xml:space="preserve"> </w:t>
      </w:r>
      <w:r>
        <w:t>accordance</w:t>
      </w:r>
      <w:r>
        <w:rPr>
          <w:spacing w:val="-10"/>
        </w:rPr>
        <w:t xml:space="preserve"> </w:t>
      </w:r>
      <w:r>
        <w:t>with</w:t>
      </w:r>
      <w:r>
        <w:rPr>
          <w:spacing w:val="-13"/>
        </w:rPr>
        <w:t xml:space="preserve"> </w:t>
      </w:r>
      <w:r>
        <w:t>the</w:t>
      </w:r>
      <w:r>
        <w:rPr>
          <w:spacing w:val="-10"/>
        </w:rPr>
        <w:t xml:space="preserve"> </w:t>
      </w:r>
      <w:r>
        <w:t>provisions</w:t>
      </w:r>
      <w:r>
        <w:rPr>
          <w:spacing w:val="-10"/>
        </w:rPr>
        <w:t xml:space="preserve"> </w:t>
      </w:r>
      <w:r>
        <w:t>and</w:t>
      </w:r>
      <w:r>
        <w:rPr>
          <w:spacing w:val="-10"/>
        </w:rPr>
        <w:t xml:space="preserve"> </w:t>
      </w:r>
      <w:r>
        <w:t>procedures</w:t>
      </w:r>
      <w:r>
        <w:rPr>
          <w:spacing w:val="-11"/>
        </w:rPr>
        <w:t xml:space="preserve"> </w:t>
      </w:r>
      <w:r>
        <w:t>laid</w:t>
      </w:r>
      <w:r>
        <w:rPr>
          <w:spacing w:val="-10"/>
        </w:rPr>
        <w:t xml:space="preserve"> </w:t>
      </w:r>
      <w:r>
        <w:t>down</w:t>
      </w:r>
      <w:r>
        <w:rPr>
          <w:spacing w:val="-11"/>
        </w:rPr>
        <w:t xml:space="preserve"> </w:t>
      </w:r>
      <w:r>
        <w:t>in Regulation (EU, Euratom) No 883/2013 and Council Regulation (Euratom, EC) No 2185/96 with</w:t>
      </w:r>
      <w:r>
        <w:rPr>
          <w:spacing w:val="-12"/>
        </w:rPr>
        <w:t xml:space="preserve"> </w:t>
      </w:r>
      <w:r>
        <w:t>a</w:t>
      </w:r>
      <w:r>
        <w:rPr>
          <w:spacing w:val="-11"/>
        </w:rPr>
        <w:t xml:space="preserve"> </w:t>
      </w:r>
      <w:r>
        <w:t>view</w:t>
      </w:r>
      <w:r>
        <w:rPr>
          <w:spacing w:val="-16"/>
        </w:rPr>
        <w:t xml:space="preserve"> </w:t>
      </w:r>
      <w:r>
        <w:t>to</w:t>
      </w:r>
      <w:r>
        <w:rPr>
          <w:spacing w:val="-11"/>
        </w:rPr>
        <w:t xml:space="preserve"> </w:t>
      </w:r>
      <w:r>
        <w:t>establishing</w:t>
      </w:r>
      <w:r>
        <w:rPr>
          <w:spacing w:val="-12"/>
        </w:rPr>
        <w:t xml:space="preserve"> </w:t>
      </w:r>
      <w:r>
        <w:t>whether</w:t>
      </w:r>
      <w:r>
        <w:rPr>
          <w:spacing w:val="-16"/>
        </w:rPr>
        <w:t xml:space="preserve"> </w:t>
      </w:r>
      <w:r>
        <w:t>there</w:t>
      </w:r>
      <w:r>
        <w:rPr>
          <w:spacing w:val="-14"/>
        </w:rPr>
        <w:t xml:space="preserve"> </w:t>
      </w:r>
      <w:r>
        <w:t>has</w:t>
      </w:r>
      <w:r>
        <w:rPr>
          <w:spacing w:val="-11"/>
        </w:rPr>
        <w:t xml:space="preserve"> </w:t>
      </w:r>
      <w:r>
        <w:t>been</w:t>
      </w:r>
      <w:r>
        <w:rPr>
          <w:spacing w:val="-12"/>
        </w:rPr>
        <w:t xml:space="preserve"> </w:t>
      </w:r>
      <w:r>
        <w:t>fraud,</w:t>
      </w:r>
      <w:r>
        <w:rPr>
          <w:spacing w:val="-12"/>
        </w:rPr>
        <w:t xml:space="preserve"> </w:t>
      </w:r>
      <w:r>
        <w:t>corruption</w:t>
      </w:r>
      <w:r>
        <w:rPr>
          <w:spacing w:val="-14"/>
        </w:rPr>
        <w:t xml:space="preserve"> </w:t>
      </w:r>
      <w:r>
        <w:t>or</w:t>
      </w:r>
      <w:r>
        <w:rPr>
          <w:spacing w:val="-14"/>
        </w:rPr>
        <w:t xml:space="preserve"> </w:t>
      </w:r>
      <w:r>
        <w:t>any</w:t>
      </w:r>
      <w:r>
        <w:rPr>
          <w:spacing w:val="-13"/>
        </w:rPr>
        <w:t xml:space="preserve"> </w:t>
      </w:r>
      <w:r>
        <w:t>other</w:t>
      </w:r>
      <w:r>
        <w:rPr>
          <w:spacing w:val="-10"/>
        </w:rPr>
        <w:t xml:space="preserve"> </w:t>
      </w:r>
      <w:r>
        <w:t>illegal</w:t>
      </w:r>
      <w:r>
        <w:rPr>
          <w:spacing w:val="-13"/>
        </w:rPr>
        <w:t xml:space="preserve"> </w:t>
      </w:r>
      <w:r>
        <w:t>activity affecting</w:t>
      </w:r>
      <w:r>
        <w:rPr>
          <w:spacing w:val="-8"/>
        </w:rPr>
        <w:t xml:space="preserve"> </w:t>
      </w:r>
      <w:r>
        <w:t>the</w:t>
      </w:r>
      <w:r>
        <w:rPr>
          <w:spacing w:val="-7"/>
        </w:rPr>
        <w:t xml:space="preserve"> </w:t>
      </w:r>
      <w:r>
        <w:t>financial</w:t>
      </w:r>
      <w:r>
        <w:rPr>
          <w:spacing w:val="-5"/>
        </w:rPr>
        <w:t xml:space="preserve"> </w:t>
      </w:r>
      <w:r>
        <w:t>interests</w:t>
      </w:r>
      <w:r>
        <w:rPr>
          <w:spacing w:val="-7"/>
        </w:rPr>
        <w:t xml:space="preserve"> </w:t>
      </w:r>
      <w:r>
        <w:t>of</w:t>
      </w:r>
      <w:r>
        <w:rPr>
          <w:spacing w:val="-5"/>
        </w:rPr>
        <w:t xml:space="preserve"> </w:t>
      </w:r>
      <w:r>
        <w:t>the</w:t>
      </w:r>
      <w:r>
        <w:rPr>
          <w:spacing w:val="-7"/>
        </w:rPr>
        <w:t xml:space="preserve"> </w:t>
      </w:r>
      <w:r>
        <w:t>Union</w:t>
      </w:r>
      <w:r>
        <w:rPr>
          <w:spacing w:val="-5"/>
        </w:rPr>
        <w:t xml:space="preserve"> </w:t>
      </w:r>
      <w:r>
        <w:t>in</w:t>
      </w:r>
      <w:r>
        <w:rPr>
          <w:spacing w:val="-6"/>
        </w:rPr>
        <w:t xml:space="preserve"> </w:t>
      </w:r>
      <w:r>
        <w:t>connection</w:t>
      </w:r>
      <w:r>
        <w:rPr>
          <w:spacing w:val="-4"/>
        </w:rPr>
        <w:t xml:space="preserve"> </w:t>
      </w:r>
      <w:r>
        <w:t>with</w:t>
      </w:r>
      <w:r>
        <w:rPr>
          <w:spacing w:val="-7"/>
        </w:rPr>
        <w:t xml:space="preserve"> </w:t>
      </w:r>
      <w:r>
        <w:t>a</w:t>
      </w:r>
      <w:r>
        <w:rPr>
          <w:spacing w:val="-6"/>
        </w:rPr>
        <w:t xml:space="preserve"> </w:t>
      </w:r>
      <w:r>
        <w:t>grant</w:t>
      </w:r>
      <w:r>
        <w:rPr>
          <w:spacing w:val="-5"/>
        </w:rPr>
        <w:t xml:space="preserve"> </w:t>
      </w:r>
      <w:r>
        <w:t>or</w:t>
      </w:r>
      <w:r>
        <w:rPr>
          <w:spacing w:val="-7"/>
        </w:rPr>
        <w:t xml:space="preserve"> </w:t>
      </w:r>
      <w:r>
        <w:t>a</w:t>
      </w:r>
      <w:r>
        <w:rPr>
          <w:spacing w:val="-6"/>
        </w:rPr>
        <w:t xml:space="preserve"> </w:t>
      </w:r>
      <w:r>
        <w:t>contract</w:t>
      </w:r>
      <w:r>
        <w:rPr>
          <w:spacing w:val="-5"/>
        </w:rPr>
        <w:t xml:space="preserve"> </w:t>
      </w:r>
      <w:r>
        <w:t>funded</w:t>
      </w:r>
      <w:r>
        <w:rPr>
          <w:spacing w:val="-7"/>
        </w:rPr>
        <w:t xml:space="preserve"> </w:t>
      </w:r>
      <w:r>
        <w:t>by the EUIPO. Where appropriate, OLAF findings may lead to the EUIPO recovering amounts from the IPO. Moreover, findings arising from an OLAF investigation may lead to criminal prosecutions under national</w:t>
      </w:r>
      <w:r>
        <w:rPr>
          <w:spacing w:val="-4"/>
        </w:rPr>
        <w:t xml:space="preserve"> </w:t>
      </w:r>
      <w:r>
        <w:t>law.</w:t>
      </w:r>
    </w:p>
    <w:p w14:paraId="501C7D6D" w14:textId="77777777" w:rsidR="00D757DA" w:rsidRDefault="00D757DA">
      <w:pPr>
        <w:pStyle w:val="Zkladntext"/>
        <w:rPr>
          <w:sz w:val="21"/>
        </w:rPr>
      </w:pPr>
    </w:p>
    <w:p w14:paraId="700497D6" w14:textId="77777777" w:rsidR="00D757DA" w:rsidRDefault="0033254E">
      <w:pPr>
        <w:pStyle w:val="Odstavecseseznamem"/>
        <w:numPr>
          <w:ilvl w:val="1"/>
          <w:numId w:val="51"/>
        </w:numPr>
        <w:tabs>
          <w:tab w:val="left" w:pos="841"/>
        </w:tabs>
        <w:ind w:right="1435" w:firstLine="0"/>
        <w:jc w:val="both"/>
      </w:pPr>
      <w:r>
        <w:t xml:space="preserve">The European Court of Auditors shall have the power of audit, </w:t>
      </w:r>
      <w:proofErr w:type="gramStart"/>
      <w:r>
        <w:t>on the basis of</w:t>
      </w:r>
      <w:proofErr w:type="gramEnd"/>
      <w:r>
        <w:t xml:space="preserve"> documents and on the spot, over all grant beneficiaries, contractors and subcontractors who have received funds from the EUIPO. The European Court of Auditors shall have the same rights as the EUIPO, notably right of access, for the purpose of checks and</w:t>
      </w:r>
      <w:r>
        <w:rPr>
          <w:spacing w:val="-23"/>
        </w:rPr>
        <w:t xml:space="preserve"> </w:t>
      </w:r>
      <w:r>
        <w:t>audits.</w:t>
      </w:r>
    </w:p>
    <w:p w14:paraId="7B41D364" w14:textId="77777777" w:rsidR="00D757DA" w:rsidRDefault="00D757DA">
      <w:pPr>
        <w:pStyle w:val="Zkladntext"/>
        <w:spacing w:before="2"/>
        <w:rPr>
          <w:sz w:val="31"/>
        </w:rPr>
      </w:pPr>
    </w:p>
    <w:p w14:paraId="27579DD6" w14:textId="77777777" w:rsidR="00D757DA" w:rsidRDefault="0033254E">
      <w:pPr>
        <w:pStyle w:val="Nadpis3"/>
        <w:spacing w:before="1"/>
      </w:pPr>
      <w:bookmarkStart w:id="24" w:name="ARTICLE_17_-_FINANCING"/>
      <w:bookmarkEnd w:id="24"/>
      <w:r>
        <w:t>ARTICLE 17 - FINANCING</w:t>
      </w:r>
    </w:p>
    <w:p w14:paraId="674EF3FB" w14:textId="77777777" w:rsidR="00D757DA" w:rsidRDefault="00D757DA">
      <w:pPr>
        <w:pStyle w:val="Zkladntext"/>
        <w:spacing w:before="11"/>
        <w:rPr>
          <w:b/>
          <w:sz w:val="20"/>
        </w:rPr>
      </w:pPr>
    </w:p>
    <w:p w14:paraId="5AF2CAD6" w14:textId="77777777" w:rsidR="00D757DA" w:rsidRDefault="0033254E">
      <w:pPr>
        <w:pStyle w:val="Odstavecseseznamem"/>
        <w:numPr>
          <w:ilvl w:val="1"/>
          <w:numId w:val="50"/>
        </w:numPr>
        <w:tabs>
          <w:tab w:val="left" w:pos="841"/>
        </w:tabs>
        <w:ind w:right="1441" w:firstLine="0"/>
        <w:jc w:val="both"/>
      </w:pPr>
      <w:r>
        <w:t>The EUIPO shall contribute 90% of the activity cost, in accordance with the principle of co-financing adopted by the Management</w:t>
      </w:r>
      <w:r>
        <w:rPr>
          <w:spacing w:val="-3"/>
        </w:rPr>
        <w:t xml:space="preserve"> </w:t>
      </w:r>
      <w:r>
        <w:t>Board.</w:t>
      </w:r>
    </w:p>
    <w:p w14:paraId="2F5C47BD" w14:textId="77777777" w:rsidR="00D757DA" w:rsidRDefault="00D757DA">
      <w:pPr>
        <w:pStyle w:val="Zkladntext"/>
        <w:spacing w:before="10"/>
        <w:rPr>
          <w:sz w:val="20"/>
        </w:rPr>
      </w:pPr>
    </w:p>
    <w:p w14:paraId="0238E8E4" w14:textId="77777777" w:rsidR="00D757DA" w:rsidRDefault="0033254E">
      <w:pPr>
        <w:pStyle w:val="Odstavecseseznamem"/>
        <w:numPr>
          <w:ilvl w:val="1"/>
          <w:numId w:val="50"/>
        </w:numPr>
        <w:tabs>
          <w:tab w:val="left" w:pos="841"/>
        </w:tabs>
        <w:spacing w:before="1"/>
        <w:ind w:right="1441" w:firstLine="0"/>
        <w:jc w:val="both"/>
      </w:pPr>
      <w:r>
        <w:t>The part of co-financing covered by the IPO may be made up entirely or in part of contributions in</w:t>
      </w:r>
      <w:r>
        <w:rPr>
          <w:spacing w:val="-3"/>
        </w:rPr>
        <w:t xml:space="preserve"> </w:t>
      </w:r>
      <w:r>
        <w:t>kind.</w:t>
      </w:r>
    </w:p>
    <w:p w14:paraId="5C4B3464" w14:textId="77777777" w:rsidR="00D757DA" w:rsidRDefault="00D757DA">
      <w:pPr>
        <w:pStyle w:val="Zkladntext"/>
        <w:spacing w:before="1"/>
        <w:rPr>
          <w:sz w:val="31"/>
        </w:rPr>
      </w:pPr>
    </w:p>
    <w:p w14:paraId="4C25B7B2" w14:textId="77777777" w:rsidR="00D757DA" w:rsidRDefault="0033254E">
      <w:pPr>
        <w:pStyle w:val="Nadpis3"/>
      </w:pPr>
      <w:bookmarkStart w:id="25" w:name="ARTICLE_18_-_ELIGIBLE_COSTS_AND_ACTIVITY"/>
      <w:bookmarkEnd w:id="25"/>
      <w:r>
        <w:t>ARTICLE 18 - ELIGIBLE COSTS AND ACTIVITY</w:t>
      </w:r>
    </w:p>
    <w:p w14:paraId="5E051090" w14:textId="77777777" w:rsidR="00D757DA" w:rsidRDefault="00D757DA">
      <w:pPr>
        <w:pStyle w:val="Zkladntext"/>
        <w:rPr>
          <w:b/>
          <w:sz w:val="21"/>
        </w:rPr>
      </w:pPr>
    </w:p>
    <w:p w14:paraId="0359498B" w14:textId="77777777" w:rsidR="00D757DA" w:rsidRDefault="0033254E">
      <w:pPr>
        <w:pStyle w:val="Odstavecseseznamem"/>
        <w:numPr>
          <w:ilvl w:val="1"/>
          <w:numId w:val="49"/>
        </w:numPr>
        <w:tabs>
          <w:tab w:val="left" w:pos="841"/>
        </w:tabs>
        <w:ind w:right="1436" w:firstLine="0"/>
        <w:jc w:val="both"/>
      </w:pPr>
      <w:r>
        <w:t>To be considered as eligible costs or activity of the project, both shall satisfy the following general</w:t>
      </w:r>
      <w:r>
        <w:rPr>
          <w:spacing w:val="-2"/>
        </w:rPr>
        <w:t xml:space="preserve"> </w:t>
      </w:r>
      <w:r>
        <w:t>criteria:</w:t>
      </w:r>
    </w:p>
    <w:p w14:paraId="13671C2F" w14:textId="77777777" w:rsidR="00D757DA" w:rsidRDefault="00D757DA">
      <w:pPr>
        <w:pStyle w:val="Zkladntext"/>
        <w:spacing w:before="11"/>
        <w:rPr>
          <w:sz w:val="20"/>
        </w:rPr>
      </w:pPr>
    </w:p>
    <w:p w14:paraId="75B103DF" w14:textId="77777777" w:rsidR="00D757DA" w:rsidRDefault="0033254E">
      <w:pPr>
        <w:pStyle w:val="Odstavecseseznamem"/>
        <w:numPr>
          <w:ilvl w:val="2"/>
          <w:numId w:val="49"/>
        </w:numPr>
        <w:tabs>
          <w:tab w:val="left" w:pos="1253"/>
          <w:tab w:val="left" w:pos="1254"/>
        </w:tabs>
        <w:ind w:right="1436"/>
      </w:pPr>
      <w:r>
        <w:t>must be connected with the subject of the Agreement and provided in the estimated budget included in Annex</w:t>
      </w:r>
      <w:r>
        <w:rPr>
          <w:spacing w:val="-2"/>
        </w:rPr>
        <w:t xml:space="preserve"> </w:t>
      </w:r>
      <w:proofErr w:type="gramStart"/>
      <w:r>
        <w:t>III;</w:t>
      </w:r>
      <w:proofErr w:type="gramEnd"/>
    </w:p>
    <w:p w14:paraId="22EE892F" w14:textId="77777777" w:rsidR="00D757DA" w:rsidRDefault="00D757DA">
      <w:pPr>
        <w:pStyle w:val="Zkladntext"/>
        <w:spacing w:before="8"/>
        <w:rPr>
          <w:sz w:val="20"/>
        </w:rPr>
      </w:pPr>
    </w:p>
    <w:p w14:paraId="34119DA0" w14:textId="77777777" w:rsidR="00D757DA" w:rsidRDefault="0033254E">
      <w:pPr>
        <w:pStyle w:val="Odstavecseseznamem"/>
        <w:numPr>
          <w:ilvl w:val="2"/>
          <w:numId w:val="49"/>
        </w:numPr>
        <w:tabs>
          <w:tab w:val="left" w:pos="1253"/>
          <w:tab w:val="left" w:pos="1254"/>
        </w:tabs>
        <w:ind w:right="1443"/>
      </w:pPr>
      <w:r>
        <w:t>must be necessary to ensure the effective participation of the IPO in the project covered by the</w:t>
      </w:r>
      <w:r>
        <w:rPr>
          <w:spacing w:val="-3"/>
        </w:rPr>
        <w:t xml:space="preserve"> </w:t>
      </w:r>
      <w:proofErr w:type="gramStart"/>
      <w:r>
        <w:t>Agreement;</w:t>
      </w:r>
      <w:proofErr w:type="gramEnd"/>
    </w:p>
    <w:p w14:paraId="22D8DCE4" w14:textId="77777777" w:rsidR="00D757DA" w:rsidRDefault="00D757DA">
      <w:pPr>
        <w:pStyle w:val="Zkladntext"/>
        <w:spacing w:before="10"/>
        <w:rPr>
          <w:sz w:val="20"/>
        </w:rPr>
      </w:pPr>
    </w:p>
    <w:p w14:paraId="749EE187" w14:textId="77777777" w:rsidR="00D757DA" w:rsidRDefault="0033254E">
      <w:pPr>
        <w:pStyle w:val="Odstavecseseznamem"/>
        <w:numPr>
          <w:ilvl w:val="2"/>
          <w:numId w:val="49"/>
        </w:numPr>
        <w:tabs>
          <w:tab w:val="left" w:pos="1253"/>
          <w:tab w:val="left" w:pos="1254"/>
        </w:tabs>
        <w:ind w:hanging="426"/>
      </w:pPr>
      <w:r>
        <w:t>must be agreed in advance with the EUIPO by being included in Annex</w:t>
      </w:r>
      <w:r>
        <w:rPr>
          <w:spacing w:val="-17"/>
        </w:rPr>
        <w:t xml:space="preserve"> </w:t>
      </w:r>
      <w:proofErr w:type="gramStart"/>
      <w:r>
        <w:t>III;</w:t>
      </w:r>
      <w:proofErr w:type="gramEnd"/>
    </w:p>
    <w:p w14:paraId="0E3EFBEC" w14:textId="77777777" w:rsidR="00D757DA" w:rsidRDefault="00D757DA">
      <w:pPr>
        <w:pStyle w:val="Zkladntext"/>
        <w:rPr>
          <w:sz w:val="21"/>
        </w:rPr>
      </w:pPr>
    </w:p>
    <w:p w14:paraId="21533439" w14:textId="77777777" w:rsidR="00D757DA" w:rsidRDefault="0033254E">
      <w:pPr>
        <w:pStyle w:val="Odstavecseseznamem"/>
        <w:numPr>
          <w:ilvl w:val="2"/>
          <w:numId w:val="49"/>
        </w:numPr>
        <w:tabs>
          <w:tab w:val="left" w:pos="1253"/>
          <w:tab w:val="left" w:pos="1254"/>
        </w:tabs>
        <w:ind w:hanging="426"/>
      </w:pPr>
      <w:r>
        <w:t>must be generated during the lifetime of the</w:t>
      </w:r>
      <w:r>
        <w:rPr>
          <w:spacing w:val="-11"/>
        </w:rPr>
        <w:t xml:space="preserve"> </w:t>
      </w:r>
      <w:proofErr w:type="gramStart"/>
      <w:r>
        <w:t>project;</w:t>
      </w:r>
      <w:proofErr w:type="gramEnd"/>
    </w:p>
    <w:p w14:paraId="10073DFC" w14:textId="77777777" w:rsidR="00D757DA" w:rsidRDefault="00D757DA">
      <w:pPr>
        <w:pStyle w:val="Zkladntext"/>
        <w:spacing w:before="9"/>
        <w:rPr>
          <w:sz w:val="20"/>
        </w:rPr>
      </w:pPr>
    </w:p>
    <w:p w14:paraId="00E1A6C5" w14:textId="77777777" w:rsidR="00D757DA" w:rsidRDefault="0033254E">
      <w:pPr>
        <w:pStyle w:val="Odstavecseseznamem"/>
        <w:numPr>
          <w:ilvl w:val="2"/>
          <w:numId w:val="49"/>
        </w:numPr>
        <w:tabs>
          <w:tab w:val="left" w:pos="1253"/>
          <w:tab w:val="left" w:pos="1254"/>
        </w:tabs>
        <w:ind w:hanging="426"/>
      </w:pPr>
      <w:r>
        <w:t>must be actually performed by the</w:t>
      </w:r>
      <w:r>
        <w:rPr>
          <w:spacing w:val="-5"/>
        </w:rPr>
        <w:t xml:space="preserve"> </w:t>
      </w:r>
      <w:proofErr w:type="gramStart"/>
      <w:r>
        <w:t>IPO;</w:t>
      </w:r>
      <w:proofErr w:type="gramEnd"/>
    </w:p>
    <w:p w14:paraId="6BC78C36" w14:textId="77777777" w:rsidR="00D757DA" w:rsidRDefault="00D757DA">
      <w:pPr>
        <w:pStyle w:val="Zkladntext"/>
        <w:spacing w:before="10"/>
        <w:rPr>
          <w:sz w:val="20"/>
        </w:rPr>
      </w:pPr>
    </w:p>
    <w:p w14:paraId="615AD9BE" w14:textId="77777777" w:rsidR="00D757DA" w:rsidRDefault="0033254E">
      <w:pPr>
        <w:pStyle w:val="Odstavecseseznamem"/>
        <w:numPr>
          <w:ilvl w:val="2"/>
          <w:numId w:val="49"/>
        </w:numPr>
        <w:tabs>
          <w:tab w:val="left" w:pos="1253"/>
          <w:tab w:val="left" w:pos="1254"/>
        </w:tabs>
        <w:ind w:hanging="426"/>
      </w:pPr>
      <w:r>
        <w:t>must be identifiable and</w:t>
      </w:r>
      <w:r>
        <w:rPr>
          <w:spacing w:val="-4"/>
        </w:rPr>
        <w:t xml:space="preserve"> </w:t>
      </w:r>
      <w:r>
        <w:t>verifiable.</w:t>
      </w:r>
    </w:p>
    <w:p w14:paraId="75604994" w14:textId="77777777" w:rsidR="00D757DA" w:rsidRDefault="00D757DA">
      <w:pPr>
        <w:pStyle w:val="Zkladntext"/>
        <w:rPr>
          <w:sz w:val="21"/>
        </w:rPr>
      </w:pPr>
    </w:p>
    <w:p w14:paraId="09F3A0C4" w14:textId="77777777" w:rsidR="00D757DA" w:rsidRDefault="0033254E">
      <w:pPr>
        <w:pStyle w:val="Odstavecseseznamem"/>
        <w:numPr>
          <w:ilvl w:val="1"/>
          <w:numId w:val="49"/>
        </w:numPr>
        <w:tabs>
          <w:tab w:val="left" w:pos="841"/>
        </w:tabs>
        <w:ind w:left="840" w:hanging="721"/>
        <w:jc w:val="both"/>
      </w:pPr>
      <w:r>
        <w:t>The IPO’s internal procedures must permit monitoring of their</w:t>
      </w:r>
      <w:r>
        <w:rPr>
          <w:spacing w:val="-10"/>
        </w:rPr>
        <w:t xml:space="preserve"> </w:t>
      </w:r>
      <w:r>
        <w:t>execution.</w:t>
      </w:r>
    </w:p>
    <w:p w14:paraId="626B2531" w14:textId="77777777" w:rsidR="00D757DA" w:rsidRDefault="00D757DA">
      <w:pPr>
        <w:pStyle w:val="Zkladntext"/>
      </w:pPr>
    </w:p>
    <w:p w14:paraId="437EA629" w14:textId="77777777" w:rsidR="00D757DA" w:rsidRDefault="0033254E">
      <w:pPr>
        <w:pStyle w:val="Odstavecseseznamem"/>
        <w:numPr>
          <w:ilvl w:val="1"/>
          <w:numId w:val="49"/>
        </w:numPr>
        <w:tabs>
          <w:tab w:val="left" w:pos="841"/>
        </w:tabs>
        <w:spacing w:line="252" w:lineRule="exact"/>
        <w:ind w:left="840" w:hanging="721"/>
        <w:jc w:val="both"/>
      </w:pPr>
      <w:r>
        <w:t>Articles</w:t>
      </w:r>
      <w:r>
        <w:rPr>
          <w:spacing w:val="29"/>
        </w:rPr>
        <w:t xml:space="preserve"> </w:t>
      </w:r>
      <w:r>
        <w:t>18.1</w:t>
      </w:r>
      <w:r>
        <w:rPr>
          <w:spacing w:val="30"/>
        </w:rPr>
        <w:t xml:space="preserve"> </w:t>
      </w:r>
      <w:r>
        <w:t>and</w:t>
      </w:r>
      <w:r>
        <w:rPr>
          <w:spacing w:val="30"/>
        </w:rPr>
        <w:t xml:space="preserve"> </w:t>
      </w:r>
      <w:r>
        <w:t>18.2</w:t>
      </w:r>
      <w:r>
        <w:rPr>
          <w:spacing w:val="30"/>
        </w:rPr>
        <w:t xml:space="preserve"> </w:t>
      </w:r>
      <w:r>
        <w:t>don’t</w:t>
      </w:r>
      <w:r>
        <w:rPr>
          <w:spacing w:val="32"/>
        </w:rPr>
        <w:t xml:space="preserve"> </w:t>
      </w:r>
      <w:r>
        <w:t>apply</w:t>
      </w:r>
      <w:r>
        <w:rPr>
          <w:spacing w:val="31"/>
        </w:rPr>
        <w:t xml:space="preserve"> </w:t>
      </w:r>
      <w:r>
        <w:t>to</w:t>
      </w:r>
      <w:r>
        <w:rPr>
          <w:spacing w:val="30"/>
        </w:rPr>
        <w:t xml:space="preserve"> </w:t>
      </w:r>
      <w:r>
        <w:t>the</w:t>
      </w:r>
      <w:r>
        <w:rPr>
          <w:spacing w:val="30"/>
        </w:rPr>
        <w:t xml:space="preserve"> </w:t>
      </w:r>
      <w:r>
        <w:t>financial</w:t>
      </w:r>
      <w:r>
        <w:rPr>
          <w:spacing w:val="29"/>
        </w:rPr>
        <w:t xml:space="preserve"> </w:t>
      </w:r>
      <w:r>
        <w:t>support</w:t>
      </w:r>
      <w:r>
        <w:rPr>
          <w:spacing w:val="29"/>
        </w:rPr>
        <w:t xml:space="preserve"> </w:t>
      </w:r>
      <w:r>
        <w:t>to</w:t>
      </w:r>
      <w:r>
        <w:rPr>
          <w:spacing w:val="30"/>
        </w:rPr>
        <w:t xml:space="preserve"> </w:t>
      </w:r>
      <w:proofErr w:type="spellStart"/>
      <w:r>
        <w:t>TMview</w:t>
      </w:r>
      <w:proofErr w:type="spellEnd"/>
      <w:r>
        <w:rPr>
          <w:spacing w:val="29"/>
        </w:rPr>
        <w:t xml:space="preserve"> </w:t>
      </w:r>
      <w:r>
        <w:t>and</w:t>
      </w:r>
      <w:r>
        <w:rPr>
          <w:spacing w:val="30"/>
        </w:rPr>
        <w:t xml:space="preserve"> </w:t>
      </w:r>
      <w:proofErr w:type="spellStart"/>
      <w:r>
        <w:t>DSview</w:t>
      </w:r>
      <w:proofErr w:type="spellEnd"/>
      <w:r>
        <w:t>,</w:t>
      </w:r>
    </w:p>
    <w:p w14:paraId="6CB9592B" w14:textId="77777777" w:rsidR="00D757DA" w:rsidRDefault="0033254E">
      <w:pPr>
        <w:pStyle w:val="Zkladntext"/>
        <w:spacing w:line="252" w:lineRule="exact"/>
        <w:ind w:left="120"/>
      </w:pPr>
      <w:r>
        <w:t>whose EUIPO contributions are based on financing not linked to costs (FNLC).</w:t>
      </w:r>
    </w:p>
    <w:p w14:paraId="1D9EC481" w14:textId="77777777" w:rsidR="00D757DA" w:rsidRDefault="00D757DA">
      <w:pPr>
        <w:pStyle w:val="Zkladntext"/>
        <w:spacing w:before="3"/>
        <w:rPr>
          <w:sz w:val="31"/>
        </w:rPr>
      </w:pPr>
    </w:p>
    <w:p w14:paraId="6EE54255" w14:textId="77777777" w:rsidR="00D757DA" w:rsidRDefault="0033254E">
      <w:pPr>
        <w:pStyle w:val="Nadpis3"/>
      </w:pPr>
      <w:bookmarkStart w:id="26" w:name="ARTICLE_19_-_PROVISIONS_ON_PAYMENTS_/_CU"/>
      <w:bookmarkEnd w:id="26"/>
      <w:r>
        <w:t>ARTICLE 19 - PROVISIONS ON PAYMENTS / CURRENCY CONVERSION RATES</w:t>
      </w:r>
    </w:p>
    <w:p w14:paraId="6C2E9CEE" w14:textId="77777777" w:rsidR="00D757DA" w:rsidRDefault="00D757DA">
      <w:pPr>
        <w:pStyle w:val="Zkladntext"/>
        <w:rPr>
          <w:b/>
          <w:sz w:val="21"/>
        </w:rPr>
      </w:pPr>
    </w:p>
    <w:p w14:paraId="53473F96" w14:textId="77777777" w:rsidR="00D757DA" w:rsidRDefault="0033254E">
      <w:pPr>
        <w:pStyle w:val="Odstavecseseznamem"/>
        <w:numPr>
          <w:ilvl w:val="1"/>
          <w:numId w:val="48"/>
        </w:numPr>
        <w:tabs>
          <w:tab w:val="left" w:pos="841"/>
        </w:tabs>
        <w:ind w:hanging="721"/>
        <w:jc w:val="both"/>
      </w:pPr>
      <w:r>
        <w:t>Payments shall be made by the EUIPO in</w:t>
      </w:r>
      <w:r>
        <w:rPr>
          <w:spacing w:val="-11"/>
        </w:rPr>
        <w:t xml:space="preserve"> </w:t>
      </w:r>
      <w:r>
        <w:t>Euros.</w:t>
      </w:r>
    </w:p>
    <w:p w14:paraId="6F5F3156" w14:textId="77777777" w:rsidR="00D757DA" w:rsidRDefault="00D757DA">
      <w:pPr>
        <w:pStyle w:val="Zkladntext"/>
        <w:spacing w:before="9"/>
        <w:rPr>
          <w:sz w:val="20"/>
        </w:rPr>
      </w:pPr>
    </w:p>
    <w:p w14:paraId="31F493E6" w14:textId="77777777" w:rsidR="00D757DA" w:rsidRDefault="0033254E">
      <w:pPr>
        <w:pStyle w:val="Odstavecseseznamem"/>
        <w:numPr>
          <w:ilvl w:val="1"/>
          <w:numId w:val="48"/>
        </w:numPr>
        <w:tabs>
          <w:tab w:val="left" w:pos="841"/>
        </w:tabs>
        <w:ind w:left="120" w:right="1434" w:firstLine="0"/>
        <w:jc w:val="both"/>
      </w:pPr>
      <w:r>
        <w:t>If the IPO holds general accounts in a currency other than the Euro, it must convert costs incurred in another currency into euros at the average of the daily rate published in the C series of the Official Journal of the European Union (available at</w:t>
      </w:r>
      <w:r>
        <w:rPr>
          <w:spacing w:val="26"/>
        </w:rPr>
        <w:t xml:space="preserve"> </w:t>
      </w:r>
      <w:r>
        <w:t>https://eur-</w:t>
      </w:r>
    </w:p>
    <w:p w14:paraId="0EDAA883" w14:textId="77777777" w:rsidR="00D757DA" w:rsidRDefault="00D757DA">
      <w:pPr>
        <w:jc w:val="both"/>
        <w:sectPr w:rsidR="00D757DA">
          <w:pgSz w:w="11910" w:h="16840"/>
          <w:pgMar w:top="1340" w:right="0" w:bottom="1160" w:left="1320" w:header="0" w:footer="881" w:gutter="0"/>
          <w:cols w:space="708"/>
        </w:sectPr>
      </w:pPr>
    </w:p>
    <w:p w14:paraId="757F67C7" w14:textId="77777777" w:rsidR="00D757DA" w:rsidRDefault="0033254E">
      <w:pPr>
        <w:pStyle w:val="Zkladntext"/>
        <w:spacing w:before="60"/>
        <w:ind w:left="120" w:right="1414"/>
      </w:pPr>
      <w:r>
        <w:lastRenderedPageBreak/>
        <w:t>lex.europa.eu/</w:t>
      </w:r>
      <w:proofErr w:type="spellStart"/>
      <w:r>
        <w:t>oj</w:t>
      </w:r>
      <w:proofErr w:type="spellEnd"/>
      <w:r>
        <w:t>/daily-view/C-series/</w:t>
      </w:r>
      <w:proofErr w:type="spellStart"/>
      <w:r>
        <w:t>default</w:t>
      </w:r>
      <w:r>
        <w:rPr>
          <w:rFonts w:ascii="Times New Roman"/>
          <w:sz w:val="24"/>
        </w:rPr>
        <w:t>.html</w:t>
      </w:r>
      <w:r>
        <w:t>determined</w:t>
      </w:r>
      <w:proofErr w:type="spellEnd"/>
      <w:r>
        <w:t xml:space="preserve"> over the corresponding reporting period.</w:t>
      </w:r>
    </w:p>
    <w:p w14:paraId="33BD345B" w14:textId="77777777" w:rsidR="00D757DA" w:rsidRDefault="00D757DA">
      <w:pPr>
        <w:pStyle w:val="Zkladntext"/>
        <w:spacing w:before="11"/>
        <w:rPr>
          <w:sz w:val="20"/>
        </w:rPr>
      </w:pPr>
    </w:p>
    <w:p w14:paraId="7C8E52A8" w14:textId="77777777" w:rsidR="00D757DA" w:rsidRDefault="0033254E">
      <w:pPr>
        <w:pStyle w:val="Odstavecseseznamem"/>
        <w:numPr>
          <w:ilvl w:val="1"/>
          <w:numId w:val="48"/>
        </w:numPr>
        <w:tabs>
          <w:tab w:val="left" w:pos="840"/>
          <w:tab w:val="left" w:pos="841"/>
          <w:tab w:val="left" w:pos="6351"/>
          <w:tab w:val="left" w:pos="7932"/>
          <w:tab w:val="left" w:pos="8841"/>
        </w:tabs>
        <w:ind w:left="120" w:right="1434" w:firstLine="0"/>
      </w:pPr>
      <w:r>
        <w:t>If</w:t>
      </w:r>
      <w:r>
        <w:rPr>
          <w:spacing w:val="-18"/>
        </w:rPr>
        <w:t xml:space="preserve"> </w:t>
      </w:r>
      <w:r>
        <w:t>no</w:t>
      </w:r>
      <w:r>
        <w:rPr>
          <w:spacing w:val="-16"/>
        </w:rPr>
        <w:t xml:space="preserve"> </w:t>
      </w:r>
      <w:r>
        <w:t>daily</w:t>
      </w:r>
      <w:r>
        <w:rPr>
          <w:spacing w:val="-16"/>
        </w:rPr>
        <w:t xml:space="preserve"> </w:t>
      </w:r>
      <w:r>
        <w:t>Euro</w:t>
      </w:r>
      <w:r>
        <w:rPr>
          <w:spacing w:val="-17"/>
        </w:rPr>
        <w:t xml:space="preserve"> </w:t>
      </w:r>
      <w:r>
        <w:t>exchange</w:t>
      </w:r>
      <w:r>
        <w:rPr>
          <w:spacing w:val="-19"/>
        </w:rPr>
        <w:t xml:space="preserve"> </w:t>
      </w:r>
      <w:r>
        <w:t>rate</w:t>
      </w:r>
      <w:r>
        <w:rPr>
          <w:spacing w:val="-16"/>
        </w:rPr>
        <w:t xml:space="preserve"> </w:t>
      </w:r>
      <w:r>
        <w:t>is</w:t>
      </w:r>
      <w:r>
        <w:rPr>
          <w:spacing w:val="-18"/>
        </w:rPr>
        <w:t xml:space="preserve"> </w:t>
      </w:r>
      <w:r>
        <w:t>published</w:t>
      </w:r>
      <w:r>
        <w:rPr>
          <w:spacing w:val="-17"/>
        </w:rPr>
        <w:t xml:space="preserve"> </w:t>
      </w:r>
      <w:r>
        <w:t>in</w:t>
      </w:r>
      <w:r>
        <w:rPr>
          <w:spacing w:val="-16"/>
        </w:rPr>
        <w:t xml:space="preserve"> </w:t>
      </w:r>
      <w:r>
        <w:t>the</w:t>
      </w:r>
      <w:r>
        <w:rPr>
          <w:spacing w:val="-18"/>
        </w:rPr>
        <w:t xml:space="preserve"> </w:t>
      </w:r>
      <w:r>
        <w:t>Official</w:t>
      </w:r>
      <w:r>
        <w:rPr>
          <w:spacing w:val="-17"/>
        </w:rPr>
        <w:t xml:space="preserve"> </w:t>
      </w:r>
      <w:r>
        <w:t>Journal</w:t>
      </w:r>
      <w:r>
        <w:rPr>
          <w:spacing w:val="-19"/>
        </w:rPr>
        <w:t xml:space="preserve"> </w:t>
      </w:r>
      <w:r>
        <w:t>of</w:t>
      </w:r>
      <w:r>
        <w:rPr>
          <w:spacing w:val="-18"/>
        </w:rPr>
        <w:t xml:space="preserve"> </w:t>
      </w:r>
      <w:r>
        <w:t>the</w:t>
      </w:r>
      <w:r>
        <w:rPr>
          <w:spacing w:val="-19"/>
        </w:rPr>
        <w:t xml:space="preserve"> </w:t>
      </w:r>
      <w:r>
        <w:t>European</w:t>
      </w:r>
      <w:r>
        <w:rPr>
          <w:spacing w:val="-16"/>
        </w:rPr>
        <w:t xml:space="preserve"> </w:t>
      </w:r>
      <w:r>
        <w:t>Union for the currency in question, conversion must be made at the average of the monthly accounting rates established by the European Commission and published on its website (</w:t>
      </w:r>
      <w:hyperlink r:id="rId11">
        <w:r>
          <w:rPr>
            <w:color w:val="0000FF"/>
            <w:u w:val="single" w:color="0000FF"/>
          </w:rPr>
          <w:t>https://ec.europa.eu/info/funding-tenders/procedures-guidelines-tenders/information-</w:t>
        </w:r>
      </w:hyperlink>
      <w:hyperlink r:id="rId12">
        <w:r>
          <w:rPr>
            <w:color w:val="0000FF"/>
            <w:u w:val="single" w:color="0000FF"/>
          </w:rPr>
          <w:t xml:space="preserve"> contractors-and-beneficiaries/exchange-rate-</w:t>
        </w:r>
        <w:proofErr w:type="spellStart"/>
        <w:r>
          <w:rPr>
            <w:color w:val="0000FF"/>
            <w:u w:val="single" w:color="0000FF"/>
          </w:rPr>
          <w:t>inforeuro_en</w:t>
        </w:r>
        <w:proofErr w:type="spellEnd"/>
      </w:hyperlink>
      <w:r>
        <w:t>),</w:t>
      </w:r>
      <w:r>
        <w:tab/>
        <w:t>determined</w:t>
      </w:r>
      <w:r>
        <w:tab/>
        <w:t>over</w:t>
      </w:r>
      <w:r>
        <w:tab/>
      </w:r>
      <w:r>
        <w:rPr>
          <w:spacing w:val="-6"/>
        </w:rPr>
        <w:t xml:space="preserve">the </w:t>
      </w:r>
      <w:r>
        <w:t>corresponding reporting</w:t>
      </w:r>
      <w:r>
        <w:rPr>
          <w:spacing w:val="-5"/>
        </w:rPr>
        <w:t xml:space="preserve"> </w:t>
      </w:r>
      <w:r>
        <w:t>period.</w:t>
      </w:r>
    </w:p>
    <w:p w14:paraId="7B0601CC" w14:textId="77777777" w:rsidR="00D757DA" w:rsidRDefault="00D757DA">
      <w:pPr>
        <w:pStyle w:val="Zkladntext"/>
        <w:spacing w:before="11"/>
        <w:rPr>
          <w:sz w:val="20"/>
        </w:rPr>
      </w:pPr>
    </w:p>
    <w:p w14:paraId="307FD83C" w14:textId="77777777" w:rsidR="00D757DA" w:rsidRDefault="0033254E">
      <w:pPr>
        <w:pStyle w:val="Odstavecseseznamem"/>
        <w:numPr>
          <w:ilvl w:val="1"/>
          <w:numId w:val="48"/>
        </w:numPr>
        <w:tabs>
          <w:tab w:val="left" w:pos="840"/>
          <w:tab w:val="left" w:pos="841"/>
        </w:tabs>
        <w:ind w:left="120" w:right="1441" w:firstLine="0"/>
      </w:pPr>
      <w:r>
        <w:t xml:space="preserve">Payments by the EUIPO shall be deemed to be </w:t>
      </w:r>
      <w:proofErr w:type="gramStart"/>
      <w:r>
        <w:t>effected</w:t>
      </w:r>
      <w:proofErr w:type="gramEnd"/>
      <w:r>
        <w:t xml:space="preserve"> on the date when they are debited to the EUIPO's</w:t>
      </w:r>
      <w:r>
        <w:rPr>
          <w:spacing w:val="-7"/>
        </w:rPr>
        <w:t xml:space="preserve"> </w:t>
      </w:r>
      <w:r>
        <w:t>account.</w:t>
      </w:r>
    </w:p>
    <w:p w14:paraId="339749A5" w14:textId="77777777" w:rsidR="00D757DA" w:rsidRDefault="00D757DA">
      <w:pPr>
        <w:pStyle w:val="Zkladntext"/>
        <w:spacing w:before="10"/>
        <w:rPr>
          <w:sz w:val="20"/>
        </w:rPr>
      </w:pPr>
    </w:p>
    <w:p w14:paraId="4DF0FC3B" w14:textId="77777777" w:rsidR="00D757DA" w:rsidRDefault="0033254E">
      <w:pPr>
        <w:pStyle w:val="Odstavecseseznamem"/>
        <w:numPr>
          <w:ilvl w:val="1"/>
          <w:numId w:val="48"/>
        </w:numPr>
        <w:tabs>
          <w:tab w:val="left" w:pos="841"/>
        </w:tabs>
        <w:spacing w:before="1"/>
        <w:ind w:left="120" w:right="1432" w:firstLine="0"/>
        <w:jc w:val="both"/>
      </w:pPr>
      <w:r>
        <w:t>The EUIPO may suspend the procedure for payment laid down in Article 21 at any time by notifying the IPO that its request for payment cannot be met, either because it does not comply with the provisions of the Agreement, or because the appropriate supporting documents have not been produced or because there is a suspicion that some of the deliverables or milestones have not been really</w:t>
      </w:r>
      <w:r>
        <w:rPr>
          <w:spacing w:val="-5"/>
        </w:rPr>
        <w:t xml:space="preserve"> </w:t>
      </w:r>
      <w:r>
        <w:t>met.</w:t>
      </w:r>
    </w:p>
    <w:p w14:paraId="3109539A" w14:textId="77777777" w:rsidR="00D757DA" w:rsidRDefault="00D757DA">
      <w:pPr>
        <w:pStyle w:val="Zkladntext"/>
        <w:spacing w:before="10"/>
        <w:rPr>
          <w:sz w:val="20"/>
        </w:rPr>
      </w:pPr>
    </w:p>
    <w:p w14:paraId="4DD91190" w14:textId="77777777" w:rsidR="00D757DA" w:rsidRDefault="0033254E">
      <w:pPr>
        <w:pStyle w:val="Odstavecseseznamem"/>
        <w:numPr>
          <w:ilvl w:val="1"/>
          <w:numId w:val="48"/>
        </w:numPr>
        <w:tabs>
          <w:tab w:val="left" w:pos="841"/>
        </w:tabs>
        <w:ind w:left="120" w:right="1437" w:firstLine="0"/>
        <w:jc w:val="both"/>
      </w:pPr>
      <w:r>
        <w:t>The</w:t>
      </w:r>
      <w:r>
        <w:rPr>
          <w:spacing w:val="-14"/>
        </w:rPr>
        <w:t xml:space="preserve"> </w:t>
      </w:r>
      <w:r>
        <w:t>EUIPO</w:t>
      </w:r>
      <w:r>
        <w:rPr>
          <w:spacing w:val="-15"/>
        </w:rPr>
        <w:t xml:space="preserve"> </w:t>
      </w:r>
      <w:r>
        <w:t>may</w:t>
      </w:r>
      <w:r>
        <w:rPr>
          <w:spacing w:val="-13"/>
        </w:rPr>
        <w:t xml:space="preserve"> </w:t>
      </w:r>
      <w:r>
        <w:t>also</w:t>
      </w:r>
      <w:r>
        <w:rPr>
          <w:spacing w:val="-15"/>
        </w:rPr>
        <w:t xml:space="preserve"> </w:t>
      </w:r>
      <w:r>
        <w:t>suspend</w:t>
      </w:r>
      <w:r>
        <w:rPr>
          <w:spacing w:val="-14"/>
        </w:rPr>
        <w:t xml:space="preserve"> </w:t>
      </w:r>
      <w:r>
        <w:t>its</w:t>
      </w:r>
      <w:r>
        <w:rPr>
          <w:spacing w:val="-13"/>
        </w:rPr>
        <w:t xml:space="preserve"> </w:t>
      </w:r>
      <w:r>
        <w:t>payments</w:t>
      </w:r>
      <w:r>
        <w:rPr>
          <w:spacing w:val="-16"/>
        </w:rPr>
        <w:t xml:space="preserve"> </w:t>
      </w:r>
      <w:r>
        <w:t>at</w:t>
      </w:r>
      <w:r>
        <w:rPr>
          <w:spacing w:val="-15"/>
        </w:rPr>
        <w:t xml:space="preserve"> </w:t>
      </w:r>
      <w:r>
        <w:t>any</w:t>
      </w:r>
      <w:r>
        <w:rPr>
          <w:spacing w:val="-15"/>
        </w:rPr>
        <w:t xml:space="preserve"> </w:t>
      </w:r>
      <w:r>
        <w:t>time</w:t>
      </w:r>
      <w:r>
        <w:rPr>
          <w:spacing w:val="-14"/>
        </w:rPr>
        <w:t xml:space="preserve"> </w:t>
      </w:r>
      <w:r>
        <w:t>if</w:t>
      </w:r>
      <w:r>
        <w:rPr>
          <w:spacing w:val="-15"/>
        </w:rPr>
        <w:t xml:space="preserve"> </w:t>
      </w:r>
      <w:r>
        <w:t>the</w:t>
      </w:r>
      <w:r>
        <w:rPr>
          <w:spacing w:val="-15"/>
        </w:rPr>
        <w:t xml:space="preserve"> </w:t>
      </w:r>
      <w:r>
        <w:t>IPO</w:t>
      </w:r>
      <w:r>
        <w:rPr>
          <w:spacing w:val="-15"/>
        </w:rPr>
        <w:t xml:space="preserve"> </w:t>
      </w:r>
      <w:r>
        <w:t>is</w:t>
      </w:r>
      <w:r>
        <w:rPr>
          <w:spacing w:val="-16"/>
        </w:rPr>
        <w:t xml:space="preserve"> </w:t>
      </w:r>
      <w:r>
        <w:t>found</w:t>
      </w:r>
      <w:r>
        <w:rPr>
          <w:spacing w:val="-14"/>
        </w:rPr>
        <w:t xml:space="preserve"> </w:t>
      </w:r>
      <w:r>
        <w:t>or</w:t>
      </w:r>
      <w:r>
        <w:rPr>
          <w:spacing w:val="-14"/>
        </w:rPr>
        <w:t xml:space="preserve"> </w:t>
      </w:r>
      <w:r>
        <w:t xml:space="preserve">presumed to have infringed the provisions of the Agreement, </w:t>
      </w:r>
      <w:proofErr w:type="gramStart"/>
      <w:r>
        <w:t>in particular in</w:t>
      </w:r>
      <w:proofErr w:type="gramEnd"/>
      <w:r>
        <w:t xml:space="preserve"> the wake of the audits and checks provided for in Article</w:t>
      </w:r>
      <w:r>
        <w:rPr>
          <w:spacing w:val="-3"/>
        </w:rPr>
        <w:t xml:space="preserve"> </w:t>
      </w:r>
      <w:r>
        <w:t>16.</w:t>
      </w:r>
    </w:p>
    <w:p w14:paraId="1B839A41" w14:textId="77777777" w:rsidR="00D757DA" w:rsidRDefault="00D757DA">
      <w:pPr>
        <w:pStyle w:val="Zkladntext"/>
        <w:spacing w:before="9"/>
        <w:rPr>
          <w:sz w:val="20"/>
        </w:rPr>
      </w:pPr>
    </w:p>
    <w:p w14:paraId="22C17A65" w14:textId="77777777" w:rsidR="00D757DA" w:rsidRDefault="0033254E">
      <w:pPr>
        <w:pStyle w:val="Odstavecseseznamem"/>
        <w:numPr>
          <w:ilvl w:val="1"/>
          <w:numId w:val="48"/>
        </w:numPr>
        <w:tabs>
          <w:tab w:val="left" w:pos="841"/>
        </w:tabs>
        <w:spacing w:before="1"/>
        <w:ind w:left="120" w:right="1438" w:firstLine="0"/>
        <w:jc w:val="both"/>
      </w:pPr>
      <w:r>
        <w:t>The</w:t>
      </w:r>
      <w:r>
        <w:rPr>
          <w:spacing w:val="-17"/>
        </w:rPr>
        <w:t xml:space="preserve"> </w:t>
      </w:r>
      <w:r>
        <w:t>EUIPO</w:t>
      </w:r>
      <w:r>
        <w:rPr>
          <w:spacing w:val="-17"/>
        </w:rPr>
        <w:t xml:space="preserve"> </w:t>
      </w:r>
      <w:r>
        <w:t>shall</w:t>
      </w:r>
      <w:r>
        <w:rPr>
          <w:spacing w:val="-17"/>
        </w:rPr>
        <w:t xml:space="preserve"> </w:t>
      </w:r>
      <w:r>
        <w:t>inform</w:t>
      </w:r>
      <w:r>
        <w:rPr>
          <w:spacing w:val="-19"/>
        </w:rPr>
        <w:t xml:space="preserve"> </w:t>
      </w:r>
      <w:r>
        <w:t>the</w:t>
      </w:r>
      <w:r>
        <w:rPr>
          <w:spacing w:val="-16"/>
        </w:rPr>
        <w:t xml:space="preserve"> </w:t>
      </w:r>
      <w:r>
        <w:t>IPO</w:t>
      </w:r>
      <w:r>
        <w:rPr>
          <w:spacing w:val="-15"/>
        </w:rPr>
        <w:t xml:space="preserve"> </w:t>
      </w:r>
      <w:r>
        <w:t>of</w:t>
      </w:r>
      <w:r>
        <w:rPr>
          <w:spacing w:val="-18"/>
        </w:rPr>
        <w:t xml:space="preserve"> </w:t>
      </w:r>
      <w:r>
        <w:t>any</w:t>
      </w:r>
      <w:r>
        <w:rPr>
          <w:spacing w:val="-18"/>
        </w:rPr>
        <w:t xml:space="preserve"> </w:t>
      </w:r>
      <w:r>
        <w:t>such</w:t>
      </w:r>
      <w:r>
        <w:rPr>
          <w:spacing w:val="-16"/>
        </w:rPr>
        <w:t xml:space="preserve"> </w:t>
      </w:r>
      <w:r>
        <w:t>suspension</w:t>
      </w:r>
      <w:r>
        <w:rPr>
          <w:spacing w:val="-16"/>
        </w:rPr>
        <w:t xml:space="preserve"> </w:t>
      </w:r>
      <w:r>
        <w:t>by</w:t>
      </w:r>
      <w:r>
        <w:rPr>
          <w:spacing w:val="-18"/>
        </w:rPr>
        <w:t xml:space="preserve"> </w:t>
      </w:r>
      <w:r>
        <w:t>registered</w:t>
      </w:r>
      <w:r>
        <w:rPr>
          <w:spacing w:val="-16"/>
        </w:rPr>
        <w:t xml:space="preserve"> </w:t>
      </w:r>
      <w:r>
        <w:t>letter</w:t>
      </w:r>
      <w:r>
        <w:rPr>
          <w:spacing w:val="-20"/>
        </w:rPr>
        <w:t xml:space="preserve"> </w:t>
      </w:r>
      <w:r>
        <w:t>with</w:t>
      </w:r>
      <w:r>
        <w:rPr>
          <w:spacing w:val="-17"/>
        </w:rPr>
        <w:t xml:space="preserve"> </w:t>
      </w:r>
      <w:r>
        <w:t>advice of delivery or</w:t>
      </w:r>
      <w:r>
        <w:rPr>
          <w:spacing w:val="-1"/>
        </w:rPr>
        <w:t xml:space="preserve"> </w:t>
      </w:r>
      <w:r>
        <w:t>equivalent.</w:t>
      </w:r>
    </w:p>
    <w:p w14:paraId="738132CE" w14:textId="77777777" w:rsidR="00D757DA" w:rsidRDefault="00D757DA">
      <w:pPr>
        <w:pStyle w:val="Zkladntext"/>
        <w:spacing w:before="10"/>
        <w:rPr>
          <w:sz w:val="20"/>
        </w:rPr>
      </w:pPr>
    </w:p>
    <w:p w14:paraId="3E86F8EE" w14:textId="77777777" w:rsidR="00D757DA" w:rsidRDefault="0033254E">
      <w:pPr>
        <w:pStyle w:val="Odstavecseseznamem"/>
        <w:numPr>
          <w:ilvl w:val="1"/>
          <w:numId w:val="48"/>
        </w:numPr>
        <w:tabs>
          <w:tab w:val="left" w:pos="841"/>
        </w:tabs>
        <w:ind w:left="120" w:right="1434" w:firstLine="0"/>
        <w:jc w:val="both"/>
      </w:pPr>
      <w:r>
        <w:t>Suspension shall take effect on the date when notice is sent by the EUIPO. The remaining payment period shall start to run again from the date when a properly constituted request</w:t>
      </w:r>
      <w:r>
        <w:rPr>
          <w:spacing w:val="-9"/>
        </w:rPr>
        <w:t xml:space="preserve"> </w:t>
      </w:r>
      <w:r>
        <w:t>for</w:t>
      </w:r>
      <w:r>
        <w:rPr>
          <w:spacing w:val="-6"/>
        </w:rPr>
        <w:t xml:space="preserve"> </w:t>
      </w:r>
      <w:r>
        <w:t>payment</w:t>
      </w:r>
      <w:r>
        <w:rPr>
          <w:spacing w:val="-7"/>
        </w:rPr>
        <w:t xml:space="preserve"> </w:t>
      </w:r>
      <w:r>
        <w:t>is</w:t>
      </w:r>
      <w:r>
        <w:rPr>
          <w:spacing w:val="-9"/>
        </w:rPr>
        <w:t xml:space="preserve"> </w:t>
      </w:r>
      <w:r>
        <w:t>registered,</w:t>
      </w:r>
      <w:r>
        <w:rPr>
          <w:spacing w:val="-9"/>
        </w:rPr>
        <w:t xml:space="preserve"> </w:t>
      </w:r>
      <w:r>
        <w:t>when</w:t>
      </w:r>
      <w:r>
        <w:rPr>
          <w:spacing w:val="-10"/>
        </w:rPr>
        <w:t xml:space="preserve"> </w:t>
      </w:r>
      <w:r>
        <w:t>the</w:t>
      </w:r>
      <w:r>
        <w:rPr>
          <w:spacing w:val="-10"/>
        </w:rPr>
        <w:t xml:space="preserve"> </w:t>
      </w:r>
      <w:r>
        <w:t>supporting</w:t>
      </w:r>
      <w:r>
        <w:rPr>
          <w:spacing w:val="-9"/>
        </w:rPr>
        <w:t xml:space="preserve"> </w:t>
      </w:r>
      <w:r>
        <w:t>documents</w:t>
      </w:r>
      <w:r>
        <w:rPr>
          <w:spacing w:val="-9"/>
        </w:rPr>
        <w:t xml:space="preserve"> </w:t>
      </w:r>
      <w:r>
        <w:t>requested</w:t>
      </w:r>
      <w:r>
        <w:rPr>
          <w:spacing w:val="-9"/>
        </w:rPr>
        <w:t xml:space="preserve"> </w:t>
      </w:r>
      <w:r>
        <w:t>are</w:t>
      </w:r>
      <w:r>
        <w:rPr>
          <w:spacing w:val="-9"/>
        </w:rPr>
        <w:t xml:space="preserve"> </w:t>
      </w:r>
      <w:r>
        <w:t>received,</w:t>
      </w:r>
      <w:r>
        <w:rPr>
          <w:spacing w:val="-7"/>
        </w:rPr>
        <w:t xml:space="preserve"> </w:t>
      </w:r>
      <w:r>
        <w:t>or at the end of the suspension period as notified by the</w:t>
      </w:r>
      <w:r>
        <w:rPr>
          <w:spacing w:val="-17"/>
        </w:rPr>
        <w:t xml:space="preserve"> </w:t>
      </w:r>
      <w:r>
        <w:t>EUIPO.</w:t>
      </w:r>
    </w:p>
    <w:p w14:paraId="5B08921C" w14:textId="77777777" w:rsidR="00D757DA" w:rsidRDefault="00D757DA">
      <w:pPr>
        <w:pStyle w:val="Zkladntext"/>
        <w:spacing w:before="9"/>
        <w:rPr>
          <w:sz w:val="20"/>
        </w:rPr>
      </w:pPr>
    </w:p>
    <w:p w14:paraId="72DA193B" w14:textId="77777777" w:rsidR="00D757DA" w:rsidRDefault="0033254E">
      <w:pPr>
        <w:pStyle w:val="Odstavecseseznamem"/>
        <w:numPr>
          <w:ilvl w:val="1"/>
          <w:numId w:val="48"/>
        </w:numPr>
        <w:tabs>
          <w:tab w:val="left" w:pos="841"/>
        </w:tabs>
        <w:ind w:left="120" w:right="1434" w:firstLine="0"/>
        <w:jc w:val="both"/>
      </w:pPr>
      <w:r>
        <w:t>The IPO shall have two months from the date of notification by the EUIPO of the final amount to be paid determining the amount of the payment of the balance or failing that of the date on which the payment of the balance was received, to request information in writing on the determination of the final amount, giving reasons for any disagreement. After this time such requests will no longer be considered. The EUIPO undertakes to reply in writing within two</w:t>
      </w:r>
      <w:r>
        <w:rPr>
          <w:spacing w:val="-10"/>
        </w:rPr>
        <w:t xml:space="preserve"> </w:t>
      </w:r>
      <w:r>
        <w:t>months</w:t>
      </w:r>
      <w:r>
        <w:rPr>
          <w:spacing w:val="-9"/>
        </w:rPr>
        <w:t xml:space="preserve"> </w:t>
      </w:r>
      <w:r>
        <w:t>following</w:t>
      </w:r>
      <w:r>
        <w:rPr>
          <w:spacing w:val="-9"/>
        </w:rPr>
        <w:t xml:space="preserve"> </w:t>
      </w:r>
      <w:r>
        <w:t>the</w:t>
      </w:r>
      <w:r>
        <w:rPr>
          <w:spacing w:val="-13"/>
        </w:rPr>
        <w:t xml:space="preserve"> </w:t>
      </w:r>
      <w:r>
        <w:t>date</w:t>
      </w:r>
      <w:r>
        <w:rPr>
          <w:spacing w:val="-9"/>
        </w:rPr>
        <w:t xml:space="preserve"> </w:t>
      </w:r>
      <w:r>
        <w:t>on</w:t>
      </w:r>
      <w:r>
        <w:rPr>
          <w:spacing w:val="-9"/>
        </w:rPr>
        <w:t xml:space="preserve"> </w:t>
      </w:r>
      <w:r>
        <w:t>which</w:t>
      </w:r>
      <w:r>
        <w:rPr>
          <w:spacing w:val="-10"/>
        </w:rPr>
        <w:t xml:space="preserve"> </w:t>
      </w:r>
      <w:r>
        <w:t>the</w:t>
      </w:r>
      <w:r>
        <w:rPr>
          <w:spacing w:val="-9"/>
        </w:rPr>
        <w:t xml:space="preserve"> </w:t>
      </w:r>
      <w:r>
        <w:t>request</w:t>
      </w:r>
      <w:r>
        <w:rPr>
          <w:spacing w:val="-7"/>
        </w:rPr>
        <w:t xml:space="preserve"> </w:t>
      </w:r>
      <w:r>
        <w:t>for</w:t>
      </w:r>
      <w:r>
        <w:rPr>
          <w:spacing w:val="-9"/>
        </w:rPr>
        <w:t xml:space="preserve"> </w:t>
      </w:r>
      <w:r>
        <w:t>information</w:t>
      </w:r>
      <w:r>
        <w:rPr>
          <w:spacing w:val="-9"/>
        </w:rPr>
        <w:t xml:space="preserve"> </w:t>
      </w:r>
      <w:r>
        <w:t>is</w:t>
      </w:r>
      <w:r>
        <w:rPr>
          <w:spacing w:val="-11"/>
        </w:rPr>
        <w:t xml:space="preserve"> </w:t>
      </w:r>
      <w:r>
        <w:t>received,</w:t>
      </w:r>
      <w:r>
        <w:rPr>
          <w:spacing w:val="-8"/>
        </w:rPr>
        <w:t xml:space="preserve"> </w:t>
      </w:r>
      <w:r>
        <w:t>giving</w:t>
      </w:r>
      <w:r>
        <w:rPr>
          <w:spacing w:val="-9"/>
        </w:rPr>
        <w:t xml:space="preserve"> </w:t>
      </w:r>
      <w:r>
        <w:t>reasons for its</w:t>
      </w:r>
      <w:r>
        <w:rPr>
          <w:spacing w:val="-4"/>
        </w:rPr>
        <w:t xml:space="preserve"> </w:t>
      </w:r>
      <w:r>
        <w:t>reply.</w:t>
      </w:r>
    </w:p>
    <w:p w14:paraId="3406DD34" w14:textId="77777777" w:rsidR="00D757DA" w:rsidRDefault="00D757DA">
      <w:pPr>
        <w:pStyle w:val="Zkladntext"/>
        <w:spacing w:before="4"/>
        <w:rPr>
          <w:sz w:val="31"/>
        </w:rPr>
      </w:pPr>
    </w:p>
    <w:p w14:paraId="0660D59B" w14:textId="77777777" w:rsidR="00D757DA" w:rsidRDefault="0033254E">
      <w:pPr>
        <w:pStyle w:val="Nadpis3"/>
        <w:spacing w:line="242" w:lineRule="auto"/>
        <w:ind w:right="1339"/>
      </w:pPr>
      <w:bookmarkStart w:id="27" w:name="ARTICLE_20_-_CALCULATION_OF_THE_FINAL_AM"/>
      <w:bookmarkEnd w:id="27"/>
      <w:r>
        <w:t>ARTICLE 20 - CALCULATION OF THE FINAL AMOUNT OF THE CONTRIBUTION TO BE PAID BY THE EUIPO</w:t>
      </w:r>
    </w:p>
    <w:p w14:paraId="4BEF5A3F" w14:textId="77777777" w:rsidR="00D757DA" w:rsidRDefault="00D757DA">
      <w:pPr>
        <w:pStyle w:val="Zkladntext"/>
        <w:spacing w:before="6"/>
        <w:rPr>
          <w:b/>
          <w:sz w:val="20"/>
        </w:rPr>
      </w:pPr>
    </w:p>
    <w:p w14:paraId="386612E8" w14:textId="77777777" w:rsidR="00D757DA" w:rsidRDefault="0033254E">
      <w:pPr>
        <w:pStyle w:val="Odstavecseseznamem"/>
        <w:numPr>
          <w:ilvl w:val="1"/>
          <w:numId w:val="47"/>
        </w:numPr>
        <w:tabs>
          <w:tab w:val="left" w:pos="841"/>
        </w:tabs>
        <w:ind w:right="1438" w:firstLine="0"/>
        <w:jc w:val="both"/>
      </w:pPr>
      <w:r>
        <w:t xml:space="preserve">The EUIPO shall determine the amount of the final payment to be granted to the IPO </w:t>
      </w:r>
      <w:proofErr w:type="gramStart"/>
      <w:r>
        <w:t>on the basis of</w:t>
      </w:r>
      <w:proofErr w:type="gramEnd"/>
      <w:r>
        <w:t xml:space="preserve"> the approved Execution</w:t>
      </w:r>
      <w:r>
        <w:rPr>
          <w:spacing w:val="-6"/>
        </w:rPr>
        <w:t xml:space="preserve"> </w:t>
      </w:r>
      <w:r>
        <w:t>Reports.</w:t>
      </w:r>
    </w:p>
    <w:p w14:paraId="3EF016F6" w14:textId="77777777" w:rsidR="00D757DA" w:rsidRDefault="00D757DA">
      <w:pPr>
        <w:pStyle w:val="Zkladntext"/>
        <w:spacing w:before="10"/>
        <w:rPr>
          <w:sz w:val="20"/>
        </w:rPr>
      </w:pPr>
    </w:p>
    <w:p w14:paraId="1BADBC8D" w14:textId="77777777" w:rsidR="00D757DA" w:rsidRDefault="0033254E">
      <w:pPr>
        <w:pStyle w:val="Odstavecseseznamem"/>
        <w:numPr>
          <w:ilvl w:val="1"/>
          <w:numId w:val="47"/>
        </w:numPr>
        <w:tabs>
          <w:tab w:val="left" w:pos="841"/>
        </w:tabs>
        <w:ind w:right="1440" w:firstLine="0"/>
        <w:jc w:val="both"/>
      </w:pPr>
      <w:r>
        <w:t>The</w:t>
      </w:r>
      <w:r>
        <w:rPr>
          <w:spacing w:val="-2"/>
        </w:rPr>
        <w:t xml:space="preserve"> </w:t>
      </w:r>
      <w:r>
        <w:t>total</w:t>
      </w:r>
      <w:r>
        <w:rPr>
          <w:spacing w:val="-3"/>
        </w:rPr>
        <w:t xml:space="preserve"> </w:t>
      </w:r>
      <w:r>
        <w:t>amount paid</w:t>
      </w:r>
      <w:r>
        <w:rPr>
          <w:spacing w:val="-4"/>
        </w:rPr>
        <w:t xml:space="preserve"> </w:t>
      </w:r>
      <w:r>
        <w:t>to</w:t>
      </w:r>
      <w:r>
        <w:rPr>
          <w:spacing w:val="-6"/>
        </w:rPr>
        <w:t xml:space="preserve"> </w:t>
      </w:r>
      <w:r>
        <w:t>the</w:t>
      </w:r>
      <w:r>
        <w:rPr>
          <w:spacing w:val="-4"/>
        </w:rPr>
        <w:t xml:space="preserve"> </w:t>
      </w:r>
      <w:r>
        <w:t>IPO</w:t>
      </w:r>
      <w:r>
        <w:rPr>
          <w:spacing w:val="-2"/>
        </w:rPr>
        <w:t xml:space="preserve"> </w:t>
      </w:r>
      <w:r>
        <w:t>by</w:t>
      </w:r>
      <w:r>
        <w:rPr>
          <w:spacing w:val="-6"/>
        </w:rPr>
        <w:t xml:space="preserve"> </w:t>
      </w:r>
      <w:r>
        <w:t>the</w:t>
      </w:r>
      <w:r>
        <w:rPr>
          <w:spacing w:val="-4"/>
        </w:rPr>
        <w:t xml:space="preserve"> </w:t>
      </w:r>
      <w:r>
        <w:t>EUIPO</w:t>
      </w:r>
      <w:r>
        <w:rPr>
          <w:spacing w:val="-5"/>
        </w:rPr>
        <w:t xml:space="preserve"> </w:t>
      </w:r>
      <w:r>
        <w:t>may</w:t>
      </w:r>
      <w:r>
        <w:rPr>
          <w:spacing w:val="-2"/>
        </w:rPr>
        <w:t xml:space="preserve"> </w:t>
      </w:r>
      <w:r>
        <w:t>not in</w:t>
      </w:r>
      <w:r>
        <w:rPr>
          <w:spacing w:val="-4"/>
        </w:rPr>
        <w:t xml:space="preserve"> </w:t>
      </w:r>
      <w:r>
        <w:t>any</w:t>
      </w:r>
      <w:r>
        <w:rPr>
          <w:spacing w:val="-3"/>
        </w:rPr>
        <w:t xml:space="preserve"> </w:t>
      </w:r>
      <w:r>
        <w:t>circumstances</w:t>
      </w:r>
      <w:r>
        <w:rPr>
          <w:spacing w:val="-2"/>
        </w:rPr>
        <w:t xml:space="preserve"> </w:t>
      </w:r>
      <w:r>
        <w:t>exceed the maximum amount referred to in Article 3 of the Special Conditions of the</w:t>
      </w:r>
      <w:r>
        <w:rPr>
          <w:spacing w:val="-31"/>
        </w:rPr>
        <w:t xml:space="preserve"> </w:t>
      </w:r>
      <w:r>
        <w:t>Agreement.</w:t>
      </w:r>
    </w:p>
    <w:p w14:paraId="73273740" w14:textId="77777777" w:rsidR="00D757DA" w:rsidRDefault="00D757DA">
      <w:pPr>
        <w:pStyle w:val="Zkladntext"/>
        <w:spacing w:before="11"/>
        <w:rPr>
          <w:sz w:val="20"/>
        </w:rPr>
      </w:pPr>
    </w:p>
    <w:p w14:paraId="427F7DC6" w14:textId="77777777" w:rsidR="00D757DA" w:rsidRDefault="0033254E">
      <w:pPr>
        <w:pStyle w:val="Odstavecseseznamem"/>
        <w:numPr>
          <w:ilvl w:val="1"/>
          <w:numId w:val="47"/>
        </w:numPr>
        <w:tabs>
          <w:tab w:val="left" w:pos="841"/>
        </w:tabs>
        <w:ind w:right="1437" w:firstLine="0"/>
        <w:jc w:val="both"/>
      </w:pPr>
      <w:r>
        <w:t>Without</w:t>
      </w:r>
      <w:r>
        <w:rPr>
          <w:spacing w:val="-4"/>
        </w:rPr>
        <w:t xml:space="preserve"> </w:t>
      </w:r>
      <w:r>
        <w:t>prejudice</w:t>
      </w:r>
      <w:r>
        <w:rPr>
          <w:spacing w:val="-5"/>
        </w:rPr>
        <w:t xml:space="preserve"> </w:t>
      </w:r>
      <w:r>
        <w:t>to</w:t>
      </w:r>
      <w:r>
        <w:rPr>
          <w:spacing w:val="-6"/>
        </w:rPr>
        <w:t xml:space="preserve"> </w:t>
      </w:r>
      <w:r>
        <w:t>the</w:t>
      </w:r>
      <w:r>
        <w:rPr>
          <w:spacing w:val="-5"/>
        </w:rPr>
        <w:t xml:space="preserve"> </w:t>
      </w:r>
      <w:r>
        <w:t>right</w:t>
      </w:r>
      <w:r>
        <w:rPr>
          <w:spacing w:val="-4"/>
        </w:rPr>
        <w:t xml:space="preserve"> </w:t>
      </w:r>
      <w:r>
        <w:t>to</w:t>
      </w:r>
      <w:r>
        <w:rPr>
          <w:spacing w:val="-6"/>
        </w:rPr>
        <w:t xml:space="preserve"> </w:t>
      </w:r>
      <w:r>
        <w:t>terminate</w:t>
      </w:r>
      <w:r>
        <w:rPr>
          <w:spacing w:val="-7"/>
        </w:rPr>
        <w:t xml:space="preserve"> </w:t>
      </w:r>
      <w:r>
        <w:t>the</w:t>
      </w:r>
      <w:r>
        <w:rPr>
          <w:spacing w:val="-5"/>
        </w:rPr>
        <w:t xml:space="preserve"> </w:t>
      </w:r>
      <w:r>
        <w:t>Agreement</w:t>
      </w:r>
      <w:r>
        <w:rPr>
          <w:spacing w:val="-3"/>
        </w:rPr>
        <w:t xml:space="preserve"> </w:t>
      </w:r>
      <w:r>
        <w:t>under</w:t>
      </w:r>
      <w:r>
        <w:rPr>
          <w:spacing w:val="-4"/>
        </w:rPr>
        <w:t xml:space="preserve"> </w:t>
      </w:r>
      <w:r>
        <w:t>Article</w:t>
      </w:r>
      <w:r>
        <w:rPr>
          <w:spacing w:val="-5"/>
        </w:rPr>
        <w:t xml:space="preserve"> </w:t>
      </w:r>
      <w:r>
        <w:t>4,</w:t>
      </w:r>
      <w:r>
        <w:rPr>
          <w:spacing w:val="-4"/>
        </w:rPr>
        <w:t xml:space="preserve"> </w:t>
      </w:r>
      <w:r>
        <w:t>if</w:t>
      </w:r>
      <w:r>
        <w:rPr>
          <w:spacing w:val="-5"/>
        </w:rPr>
        <w:t xml:space="preserve"> </w:t>
      </w:r>
      <w:r>
        <w:t>the</w:t>
      </w:r>
      <w:r>
        <w:rPr>
          <w:spacing w:val="-5"/>
        </w:rPr>
        <w:t xml:space="preserve"> </w:t>
      </w:r>
      <w:r>
        <w:t>project is not implemented or is implemented poorly, partially or late, the EUIPO may reduce the amount initially provided for in line with the actual implementation of the project on the terms laid</w:t>
      </w:r>
      <w:r>
        <w:rPr>
          <w:spacing w:val="-10"/>
        </w:rPr>
        <w:t xml:space="preserve"> </w:t>
      </w:r>
      <w:r>
        <w:t>down</w:t>
      </w:r>
      <w:r>
        <w:rPr>
          <w:spacing w:val="-10"/>
        </w:rPr>
        <w:t xml:space="preserve"> </w:t>
      </w:r>
      <w:r>
        <w:t>in</w:t>
      </w:r>
      <w:r>
        <w:rPr>
          <w:spacing w:val="-10"/>
        </w:rPr>
        <w:t xml:space="preserve"> </w:t>
      </w:r>
      <w:r>
        <w:t>this</w:t>
      </w:r>
      <w:r>
        <w:rPr>
          <w:spacing w:val="-9"/>
        </w:rPr>
        <w:t xml:space="preserve"> </w:t>
      </w:r>
      <w:r>
        <w:t>Agreement.</w:t>
      </w:r>
      <w:r>
        <w:rPr>
          <w:spacing w:val="-9"/>
        </w:rPr>
        <w:t xml:space="preserve"> </w:t>
      </w:r>
      <w:r>
        <w:t>The</w:t>
      </w:r>
      <w:r>
        <w:rPr>
          <w:spacing w:val="-11"/>
        </w:rPr>
        <w:t xml:space="preserve"> </w:t>
      </w:r>
      <w:r>
        <w:t>exact</w:t>
      </w:r>
      <w:r>
        <w:rPr>
          <w:spacing w:val="-11"/>
        </w:rPr>
        <w:t xml:space="preserve"> </w:t>
      </w:r>
      <w:r>
        <w:t>implementation</w:t>
      </w:r>
      <w:r>
        <w:rPr>
          <w:spacing w:val="-10"/>
        </w:rPr>
        <w:t xml:space="preserve"> </w:t>
      </w:r>
      <w:r>
        <w:t>conditions</w:t>
      </w:r>
      <w:r>
        <w:rPr>
          <w:spacing w:val="-9"/>
        </w:rPr>
        <w:t xml:space="preserve"> </w:t>
      </w:r>
      <w:r>
        <w:t>are</w:t>
      </w:r>
      <w:r>
        <w:rPr>
          <w:spacing w:val="-12"/>
        </w:rPr>
        <w:t xml:space="preserve"> </w:t>
      </w:r>
      <w:r>
        <w:t>referenced</w:t>
      </w:r>
      <w:r>
        <w:rPr>
          <w:spacing w:val="-10"/>
        </w:rPr>
        <w:t xml:space="preserve"> </w:t>
      </w:r>
      <w:r>
        <w:t>in</w:t>
      </w:r>
      <w:r>
        <w:rPr>
          <w:spacing w:val="-10"/>
        </w:rPr>
        <w:t xml:space="preserve"> </w:t>
      </w:r>
      <w:r>
        <w:t>Annex</w:t>
      </w:r>
      <w:r>
        <w:rPr>
          <w:spacing w:val="-10"/>
        </w:rPr>
        <w:t xml:space="preserve"> </w:t>
      </w:r>
      <w:r>
        <w:t>III.</w:t>
      </w:r>
    </w:p>
    <w:p w14:paraId="3008E195" w14:textId="77777777" w:rsidR="00D757DA" w:rsidRDefault="00D757DA">
      <w:pPr>
        <w:pStyle w:val="Zkladntext"/>
        <w:spacing w:before="8"/>
        <w:rPr>
          <w:sz w:val="20"/>
        </w:rPr>
      </w:pPr>
    </w:p>
    <w:p w14:paraId="5FC2E3FF" w14:textId="77777777" w:rsidR="00D757DA" w:rsidRDefault="0033254E">
      <w:pPr>
        <w:pStyle w:val="Odstavecseseznamem"/>
        <w:numPr>
          <w:ilvl w:val="1"/>
          <w:numId w:val="47"/>
        </w:numPr>
        <w:tabs>
          <w:tab w:val="left" w:pos="841"/>
        </w:tabs>
        <w:ind w:right="1438" w:firstLine="0"/>
        <w:jc w:val="both"/>
      </w:pPr>
      <w:proofErr w:type="gramStart"/>
      <w:r>
        <w:t>On the basis of</w:t>
      </w:r>
      <w:proofErr w:type="gramEnd"/>
      <w:r>
        <w:t xml:space="preserve"> the amount of the final payment determined in this way and of the aggregate</w:t>
      </w:r>
      <w:r>
        <w:rPr>
          <w:spacing w:val="29"/>
        </w:rPr>
        <w:t xml:space="preserve"> </w:t>
      </w:r>
      <w:r>
        <w:t>amount</w:t>
      </w:r>
      <w:r>
        <w:rPr>
          <w:spacing w:val="32"/>
        </w:rPr>
        <w:t xml:space="preserve"> </w:t>
      </w:r>
      <w:r>
        <w:t>of</w:t>
      </w:r>
      <w:r>
        <w:rPr>
          <w:spacing w:val="30"/>
        </w:rPr>
        <w:t xml:space="preserve"> </w:t>
      </w:r>
      <w:r>
        <w:t>the</w:t>
      </w:r>
      <w:r>
        <w:rPr>
          <w:spacing w:val="32"/>
        </w:rPr>
        <w:t xml:space="preserve"> </w:t>
      </w:r>
      <w:r>
        <w:t>payments</w:t>
      </w:r>
      <w:r>
        <w:rPr>
          <w:spacing w:val="31"/>
        </w:rPr>
        <w:t xml:space="preserve"> </w:t>
      </w:r>
      <w:r>
        <w:t>already</w:t>
      </w:r>
      <w:r>
        <w:rPr>
          <w:spacing w:val="28"/>
        </w:rPr>
        <w:t xml:space="preserve"> </w:t>
      </w:r>
      <w:r>
        <w:t>made</w:t>
      </w:r>
      <w:r>
        <w:rPr>
          <w:spacing w:val="30"/>
        </w:rPr>
        <w:t xml:space="preserve"> </w:t>
      </w:r>
      <w:r>
        <w:t>under</w:t>
      </w:r>
      <w:r>
        <w:rPr>
          <w:spacing w:val="30"/>
        </w:rPr>
        <w:t xml:space="preserve"> </w:t>
      </w:r>
      <w:r>
        <w:t>the</w:t>
      </w:r>
      <w:r>
        <w:rPr>
          <w:spacing w:val="28"/>
        </w:rPr>
        <w:t xml:space="preserve"> </w:t>
      </w:r>
      <w:r>
        <w:t>terms</w:t>
      </w:r>
      <w:r>
        <w:rPr>
          <w:spacing w:val="29"/>
        </w:rPr>
        <w:t xml:space="preserve"> </w:t>
      </w:r>
      <w:r>
        <w:t>of</w:t>
      </w:r>
      <w:r>
        <w:rPr>
          <w:spacing w:val="31"/>
        </w:rPr>
        <w:t xml:space="preserve"> </w:t>
      </w:r>
      <w:r>
        <w:t>the</w:t>
      </w:r>
      <w:r>
        <w:rPr>
          <w:spacing w:val="30"/>
        </w:rPr>
        <w:t xml:space="preserve"> </w:t>
      </w:r>
      <w:r>
        <w:t>Agreement,</w:t>
      </w:r>
      <w:r>
        <w:rPr>
          <w:spacing w:val="32"/>
        </w:rPr>
        <w:t xml:space="preserve"> </w:t>
      </w:r>
      <w:r>
        <w:t>the</w:t>
      </w:r>
    </w:p>
    <w:p w14:paraId="52B1A9CB" w14:textId="77777777" w:rsidR="00D757DA" w:rsidRDefault="00D757DA">
      <w:pPr>
        <w:jc w:val="both"/>
        <w:sectPr w:rsidR="00D757DA">
          <w:pgSz w:w="11910" w:h="16840"/>
          <w:pgMar w:top="1360" w:right="0" w:bottom="1160" w:left="1320" w:header="0" w:footer="881" w:gutter="0"/>
          <w:cols w:space="708"/>
        </w:sectPr>
      </w:pPr>
    </w:p>
    <w:p w14:paraId="04CBA9C4" w14:textId="77777777" w:rsidR="00D757DA" w:rsidRDefault="0033254E">
      <w:pPr>
        <w:pStyle w:val="Zkladntext"/>
        <w:spacing w:before="81"/>
        <w:ind w:left="120" w:right="1439"/>
        <w:jc w:val="both"/>
      </w:pPr>
      <w:r>
        <w:lastRenderedPageBreak/>
        <w:t>EUIPO shall set the amount of the payment of the balance as being the amount still owing to the</w:t>
      </w:r>
      <w:r>
        <w:rPr>
          <w:spacing w:val="-5"/>
        </w:rPr>
        <w:t xml:space="preserve"> </w:t>
      </w:r>
      <w:r>
        <w:t>IPO.</w:t>
      </w:r>
      <w:r>
        <w:rPr>
          <w:spacing w:val="-4"/>
        </w:rPr>
        <w:t xml:space="preserve"> </w:t>
      </w:r>
      <w:r>
        <w:t>Where</w:t>
      </w:r>
      <w:r>
        <w:rPr>
          <w:spacing w:val="-4"/>
        </w:rPr>
        <w:t xml:space="preserve"> </w:t>
      </w:r>
      <w:r>
        <w:t>the</w:t>
      </w:r>
      <w:r>
        <w:rPr>
          <w:spacing w:val="-5"/>
        </w:rPr>
        <w:t xml:space="preserve"> </w:t>
      </w:r>
      <w:r>
        <w:t>aggregate</w:t>
      </w:r>
      <w:r>
        <w:rPr>
          <w:spacing w:val="-2"/>
        </w:rPr>
        <w:t xml:space="preserve"> </w:t>
      </w:r>
      <w:r>
        <w:t>amount</w:t>
      </w:r>
      <w:r>
        <w:rPr>
          <w:spacing w:val="-3"/>
        </w:rPr>
        <w:t xml:space="preserve"> </w:t>
      </w:r>
      <w:r>
        <w:t>of</w:t>
      </w:r>
      <w:r>
        <w:rPr>
          <w:spacing w:val="-6"/>
        </w:rPr>
        <w:t xml:space="preserve"> </w:t>
      </w:r>
      <w:r>
        <w:t>the</w:t>
      </w:r>
      <w:r>
        <w:rPr>
          <w:spacing w:val="-3"/>
        </w:rPr>
        <w:t xml:space="preserve"> </w:t>
      </w:r>
      <w:r>
        <w:t>payments</w:t>
      </w:r>
      <w:r>
        <w:rPr>
          <w:spacing w:val="-4"/>
        </w:rPr>
        <w:t xml:space="preserve"> </w:t>
      </w:r>
      <w:r>
        <w:t>already</w:t>
      </w:r>
      <w:r>
        <w:rPr>
          <w:spacing w:val="-5"/>
        </w:rPr>
        <w:t xml:space="preserve"> </w:t>
      </w:r>
      <w:r>
        <w:t>made</w:t>
      </w:r>
      <w:r>
        <w:rPr>
          <w:spacing w:val="-4"/>
        </w:rPr>
        <w:t xml:space="preserve"> </w:t>
      </w:r>
      <w:r>
        <w:t>exceeds</w:t>
      </w:r>
      <w:r>
        <w:rPr>
          <w:spacing w:val="-5"/>
        </w:rPr>
        <w:t xml:space="preserve"> </w:t>
      </w:r>
      <w:r>
        <w:t>the</w:t>
      </w:r>
      <w:r>
        <w:rPr>
          <w:spacing w:val="-5"/>
        </w:rPr>
        <w:t xml:space="preserve"> </w:t>
      </w:r>
      <w:r>
        <w:t>amount</w:t>
      </w:r>
      <w:r>
        <w:rPr>
          <w:spacing w:val="-3"/>
        </w:rPr>
        <w:t xml:space="preserve"> </w:t>
      </w:r>
      <w:r>
        <w:t>of the final amount to be paid, the EUIPO shall issue a recovery order for the</w:t>
      </w:r>
      <w:r>
        <w:rPr>
          <w:spacing w:val="-23"/>
        </w:rPr>
        <w:t xml:space="preserve"> </w:t>
      </w:r>
      <w:r>
        <w:t>surplus.</w:t>
      </w:r>
    </w:p>
    <w:p w14:paraId="143C6F97" w14:textId="77777777" w:rsidR="00D757DA" w:rsidRDefault="00D757DA">
      <w:pPr>
        <w:pStyle w:val="Zkladntext"/>
        <w:spacing w:before="1"/>
      </w:pPr>
    </w:p>
    <w:p w14:paraId="6D91ADD9" w14:textId="77777777" w:rsidR="00D757DA" w:rsidRDefault="0033254E">
      <w:pPr>
        <w:pStyle w:val="Nadpis3"/>
        <w:spacing w:before="1"/>
      </w:pPr>
      <w:bookmarkStart w:id="28" w:name="ARTICLE_21_-_PAYMENT_ARRANGEMENTS"/>
      <w:bookmarkEnd w:id="28"/>
      <w:r>
        <w:t>ARTICLE 21 - PAYMENT ARRANGEMENTS</w:t>
      </w:r>
    </w:p>
    <w:p w14:paraId="08C74E4E" w14:textId="77777777" w:rsidR="00D757DA" w:rsidRDefault="00D757DA">
      <w:pPr>
        <w:pStyle w:val="Zkladntext"/>
        <w:spacing w:before="8"/>
        <w:rPr>
          <w:b/>
          <w:sz w:val="20"/>
        </w:rPr>
      </w:pPr>
    </w:p>
    <w:p w14:paraId="6113AC2C" w14:textId="77777777" w:rsidR="00D757DA" w:rsidRDefault="0033254E">
      <w:pPr>
        <w:pStyle w:val="Odstavecseseznamem"/>
        <w:numPr>
          <w:ilvl w:val="1"/>
          <w:numId w:val="46"/>
        </w:numPr>
        <w:tabs>
          <w:tab w:val="left" w:pos="841"/>
        </w:tabs>
        <w:spacing w:before="1"/>
        <w:ind w:right="1435" w:firstLine="0"/>
        <w:jc w:val="both"/>
      </w:pPr>
      <w:r>
        <w:t>Upon signature of the Agreement by the two Parties, the EUIPO shall make an advance payment of 75% of the estimated activity cost except for the European Cooperation Projects implementations referred to in Article 1, item 2.1.a) of the Special Conditions which will follow the payment arrangements described in Article 27 Specific</w:t>
      </w:r>
      <w:r>
        <w:rPr>
          <w:spacing w:val="-12"/>
        </w:rPr>
        <w:t xml:space="preserve"> </w:t>
      </w:r>
      <w:r>
        <w:t>Provisions.</w:t>
      </w:r>
    </w:p>
    <w:p w14:paraId="4AC109C5" w14:textId="77777777" w:rsidR="00D757DA" w:rsidRDefault="00D757DA">
      <w:pPr>
        <w:pStyle w:val="Zkladntext"/>
        <w:spacing w:before="11"/>
        <w:rPr>
          <w:sz w:val="21"/>
        </w:rPr>
      </w:pPr>
    </w:p>
    <w:p w14:paraId="6AA0B915" w14:textId="77777777" w:rsidR="00D757DA" w:rsidRDefault="0033254E">
      <w:pPr>
        <w:pStyle w:val="Odstavecseseznamem"/>
        <w:numPr>
          <w:ilvl w:val="1"/>
          <w:numId w:val="46"/>
        </w:numPr>
        <w:tabs>
          <w:tab w:val="left" w:pos="841"/>
        </w:tabs>
        <w:ind w:right="1432" w:firstLine="0"/>
        <w:jc w:val="both"/>
      </w:pPr>
      <w:r>
        <w:t>Within</w:t>
      </w:r>
      <w:r>
        <w:rPr>
          <w:spacing w:val="-3"/>
        </w:rPr>
        <w:t xml:space="preserve"> </w:t>
      </w:r>
      <w:r>
        <w:t>30</w:t>
      </w:r>
      <w:r>
        <w:rPr>
          <w:spacing w:val="-4"/>
        </w:rPr>
        <w:t xml:space="preserve"> </w:t>
      </w:r>
      <w:r>
        <w:t>calendar</w:t>
      </w:r>
      <w:r>
        <w:rPr>
          <w:spacing w:val="-3"/>
        </w:rPr>
        <w:t xml:space="preserve"> </w:t>
      </w:r>
      <w:r>
        <w:t>days</w:t>
      </w:r>
      <w:r>
        <w:rPr>
          <w:spacing w:val="-6"/>
        </w:rPr>
        <w:t xml:space="preserve"> </w:t>
      </w:r>
      <w:r>
        <w:t>following</w:t>
      </w:r>
      <w:r>
        <w:rPr>
          <w:spacing w:val="-2"/>
        </w:rPr>
        <w:t xml:space="preserve"> </w:t>
      </w:r>
      <w:r>
        <w:t>the</w:t>
      </w:r>
      <w:r>
        <w:rPr>
          <w:spacing w:val="-2"/>
        </w:rPr>
        <w:t xml:space="preserve"> </w:t>
      </w:r>
      <w:r>
        <w:t>end</w:t>
      </w:r>
      <w:r>
        <w:rPr>
          <w:spacing w:val="-2"/>
        </w:rPr>
        <w:t xml:space="preserve"> </w:t>
      </w:r>
      <w:r>
        <w:t>of</w:t>
      </w:r>
      <w:r>
        <w:rPr>
          <w:spacing w:val="-3"/>
        </w:rPr>
        <w:t xml:space="preserve"> </w:t>
      </w:r>
      <w:r>
        <w:t>the</w:t>
      </w:r>
      <w:r>
        <w:rPr>
          <w:spacing w:val="-4"/>
        </w:rPr>
        <w:t xml:space="preserve"> </w:t>
      </w:r>
      <w:r>
        <w:t>period</w:t>
      </w:r>
      <w:r>
        <w:rPr>
          <w:spacing w:val="-2"/>
        </w:rPr>
        <w:t xml:space="preserve"> </w:t>
      </w:r>
      <w:r>
        <w:t>mentioned</w:t>
      </w:r>
      <w:r>
        <w:rPr>
          <w:spacing w:val="-4"/>
        </w:rPr>
        <w:t xml:space="preserve"> </w:t>
      </w:r>
      <w:r>
        <w:t>in</w:t>
      </w:r>
      <w:r>
        <w:rPr>
          <w:spacing w:val="-3"/>
        </w:rPr>
        <w:t xml:space="preserve"> </w:t>
      </w:r>
      <w:r>
        <w:t>Article</w:t>
      </w:r>
      <w:r>
        <w:rPr>
          <w:spacing w:val="-2"/>
        </w:rPr>
        <w:t xml:space="preserve"> </w:t>
      </w:r>
      <w:r>
        <w:t>4.2</w:t>
      </w:r>
      <w:r>
        <w:rPr>
          <w:spacing w:val="-4"/>
        </w:rPr>
        <w:t xml:space="preserve"> </w:t>
      </w:r>
      <w:r>
        <w:t>of</w:t>
      </w:r>
      <w:r>
        <w:rPr>
          <w:spacing w:val="-3"/>
        </w:rPr>
        <w:t xml:space="preserve"> </w:t>
      </w:r>
      <w:r>
        <w:t>the Special</w:t>
      </w:r>
      <w:r>
        <w:rPr>
          <w:spacing w:val="-9"/>
        </w:rPr>
        <w:t xml:space="preserve"> </w:t>
      </w:r>
      <w:r>
        <w:t>Conditions</w:t>
      </w:r>
      <w:r>
        <w:rPr>
          <w:spacing w:val="-8"/>
        </w:rPr>
        <w:t xml:space="preserve"> </w:t>
      </w:r>
      <w:r>
        <w:t>or</w:t>
      </w:r>
      <w:r>
        <w:rPr>
          <w:spacing w:val="-8"/>
        </w:rPr>
        <w:t xml:space="preserve"> </w:t>
      </w:r>
      <w:r>
        <w:t>following</w:t>
      </w:r>
      <w:r>
        <w:rPr>
          <w:spacing w:val="-8"/>
        </w:rPr>
        <w:t xml:space="preserve"> </w:t>
      </w:r>
      <w:r>
        <w:t>the</w:t>
      </w:r>
      <w:r>
        <w:rPr>
          <w:spacing w:val="-9"/>
        </w:rPr>
        <w:t xml:space="preserve"> </w:t>
      </w:r>
      <w:r>
        <w:t>time</w:t>
      </w:r>
      <w:r>
        <w:rPr>
          <w:spacing w:val="-10"/>
        </w:rPr>
        <w:t xml:space="preserve"> </w:t>
      </w:r>
      <w:r>
        <w:t>that</w:t>
      </w:r>
      <w:r>
        <w:rPr>
          <w:spacing w:val="-9"/>
        </w:rPr>
        <w:t xml:space="preserve"> </w:t>
      </w:r>
      <w:r>
        <w:t>implementation</w:t>
      </w:r>
      <w:r>
        <w:rPr>
          <w:spacing w:val="-9"/>
        </w:rPr>
        <w:t xml:space="preserve"> </w:t>
      </w:r>
      <w:r>
        <w:t>of</w:t>
      </w:r>
      <w:r>
        <w:rPr>
          <w:spacing w:val="-7"/>
        </w:rPr>
        <w:t xml:space="preserve"> </w:t>
      </w:r>
      <w:r>
        <w:t>an</w:t>
      </w:r>
      <w:r>
        <w:rPr>
          <w:spacing w:val="-10"/>
        </w:rPr>
        <w:t xml:space="preserve"> </w:t>
      </w:r>
      <w:r>
        <w:t>activity/project</w:t>
      </w:r>
      <w:r>
        <w:rPr>
          <w:spacing w:val="-9"/>
        </w:rPr>
        <w:t xml:space="preserve"> </w:t>
      </w:r>
      <w:r>
        <w:t>takes</w:t>
      </w:r>
      <w:r>
        <w:rPr>
          <w:spacing w:val="-7"/>
        </w:rPr>
        <w:t xml:space="preserve"> </w:t>
      </w:r>
      <w:r>
        <w:t>effect, a</w:t>
      </w:r>
      <w:r>
        <w:rPr>
          <w:spacing w:val="-9"/>
        </w:rPr>
        <w:t xml:space="preserve"> </w:t>
      </w:r>
      <w:r>
        <w:t>corresponding</w:t>
      </w:r>
      <w:r>
        <w:rPr>
          <w:spacing w:val="-9"/>
        </w:rPr>
        <w:t xml:space="preserve"> </w:t>
      </w:r>
      <w:r>
        <w:t>claim</w:t>
      </w:r>
      <w:r>
        <w:rPr>
          <w:spacing w:val="-9"/>
        </w:rPr>
        <w:t xml:space="preserve"> </w:t>
      </w:r>
      <w:r>
        <w:t>for</w:t>
      </w:r>
      <w:r>
        <w:rPr>
          <w:spacing w:val="-10"/>
        </w:rPr>
        <w:t xml:space="preserve"> </w:t>
      </w:r>
      <w:r>
        <w:t>payment</w:t>
      </w:r>
      <w:r>
        <w:rPr>
          <w:spacing w:val="-9"/>
        </w:rPr>
        <w:t xml:space="preserve"> </w:t>
      </w:r>
      <w:r>
        <w:t>(payment</w:t>
      </w:r>
      <w:r>
        <w:rPr>
          <w:spacing w:val="-7"/>
        </w:rPr>
        <w:t xml:space="preserve"> </w:t>
      </w:r>
      <w:r>
        <w:t>of</w:t>
      </w:r>
      <w:r>
        <w:rPr>
          <w:spacing w:val="-9"/>
        </w:rPr>
        <w:t xml:space="preserve"> </w:t>
      </w:r>
      <w:r>
        <w:t>the</w:t>
      </w:r>
      <w:r>
        <w:rPr>
          <w:spacing w:val="-9"/>
        </w:rPr>
        <w:t xml:space="preserve"> </w:t>
      </w:r>
      <w:r>
        <w:t>balance)</w:t>
      </w:r>
      <w:r>
        <w:rPr>
          <w:spacing w:val="-7"/>
        </w:rPr>
        <w:t xml:space="preserve"> </w:t>
      </w:r>
      <w:r>
        <w:t>must</w:t>
      </w:r>
      <w:r>
        <w:rPr>
          <w:spacing w:val="-7"/>
        </w:rPr>
        <w:t xml:space="preserve"> </w:t>
      </w:r>
      <w:r>
        <w:t>be</w:t>
      </w:r>
      <w:r>
        <w:rPr>
          <w:spacing w:val="-9"/>
        </w:rPr>
        <w:t xml:space="preserve"> </w:t>
      </w:r>
      <w:r>
        <w:t>issued</w:t>
      </w:r>
      <w:r>
        <w:rPr>
          <w:spacing w:val="-8"/>
        </w:rPr>
        <w:t xml:space="preserve"> </w:t>
      </w:r>
      <w:r>
        <w:t>by</w:t>
      </w:r>
      <w:r>
        <w:rPr>
          <w:spacing w:val="-9"/>
        </w:rPr>
        <w:t xml:space="preserve"> </w:t>
      </w:r>
      <w:r>
        <w:t>the</w:t>
      </w:r>
      <w:r>
        <w:rPr>
          <w:spacing w:val="-8"/>
        </w:rPr>
        <w:t xml:space="preserve"> </w:t>
      </w:r>
      <w:r>
        <w:t>IPO</w:t>
      </w:r>
      <w:r>
        <w:rPr>
          <w:spacing w:val="-10"/>
        </w:rPr>
        <w:t xml:space="preserve"> </w:t>
      </w:r>
      <w:r>
        <w:t>to</w:t>
      </w:r>
      <w:r>
        <w:rPr>
          <w:spacing w:val="-8"/>
        </w:rPr>
        <w:t xml:space="preserve"> </w:t>
      </w:r>
      <w:r>
        <w:t>the EUIPO. The claim for payment shall contain an Execution Report, which specifies the results and achieved key performance indicators as indicated in the Annex III, extracted from the Cooperation platform, that forms integral part of this</w:t>
      </w:r>
      <w:r>
        <w:rPr>
          <w:spacing w:val="-10"/>
        </w:rPr>
        <w:t xml:space="preserve"> </w:t>
      </w:r>
      <w:r>
        <w:t>Agreement.</w:t>
      </w:r>
    </w:p>
    <w:p w14:paraId="32E957C3" w14:textId="77777777" w:rsidR="00D757DA" w:rsidRDefault="00D757DA">
      <w:pPr>
        <w:pStyle w:val="Zkladntext"/>
        <w:rPr>
          <w:sz w:val="21"/>
        </w:rPr>
      </w:pPr>
    </w:p>
    <w:p w14:paraId="3CD8945B" w14:textId="77777777" w:rsidR="00D757DA" w:rsidRDefault="0033254E">
      <w:pPr>
        <w:pStyle w:val="Zkladntext"/>
        <w:spacing w:before="1"/>
        <w:ind w:left="120" w:right="1439"/>
        <w:jc w:val="both"/>
      </w:pPr>
      <w:r>
        <w:t>The payment request shall specify the concept of payment, the beneficiary, the amount, the date of issuing the request and the bank details.</w:t>
      </w:r>
    </w:p>
    <w:p w14:paraId="5BC02998" w14:textId="77777777" w:rsidR="00D757DA" w:rsidRDefault="00D757DA">
      <w:pPr>
        <w:pStyle w:val="Zkladntext"/>
        <w:spacing w:before="10"/>
        <w:rPr>
          <w:sz w:val="21"/>
        </w:rPr>
      </w:pPr>
    </w:p>
    <w:p w14:paraId="76089172" w14:textId="77777777" w:rsidR="00D757DA" w:rsidRDefault="0033254E">
      <w:pPr>
        <w:pStyle w:val="Odstavecseseznamem"/>
        <w:numPr>
          <w:ilvl w:val="1"/>
          <w:numId w:val="46"/>
        </w:numPr>
        <w:tabs>
          <w:tab w:val="left" w:pos="841"/>
        </w:tabs>
        <w:ind w:right="1436" w:firstLine="0"/>
        <w:jc w:val="both"/>
      </w:pPr>
      <w:r>
        <w:t>The IPO may request, with an interim Execution Report, the reimbursement up to the remaining</w:t>
      </w:r>
      <w:r>
        <w:rPr>
          <w:spacing w:val="-13"/>
        </w:rPr>
        <w:t xml:space="preserve"> </w:t>
      </w:r>
      <w:r>
        <w:t>25%</w:t>
      </w:r>
      <w:r>
        <w:rPr>
          <w:spacing w:val="-11"/>
        </w:rPr>
        <w:t xml:space="preserve"> </w:t>
      </w:r>
      <w:r>
        <w:t>activity</w:t>
      </w:r>
      <w:r>
        <w:rPr>
          <w:spacing w:val="-13"/>
        </w:rPr>
        <w:t xml:space="preserve"> </w:t>
      </w:r>
      <w:r>
        <w:t>cost</w:t>
      </w:r>
      <w:r>
        <w:rPr>
          <w:spacing w:val="-11"/>
        </w:rPr>
        <w:t xml:space="preserve"> </w:t>
      </w:r>
      <w:r>
        <w:t>before</w:t>
      </w:r>
      <w:r>
        <w:rPr>
          <w:spacing w:val="-16"/>
        </w:rPr>
        <w:t xml:space="preserve"> </w:t>
      </w:r>
      <w:r>
        <w:t>the</w:t>
      </w:r>
      <w:r>
        <w:rPr>
          <w:spacing w:val="-13"/>
        </w:rPr>
        <w:t xml:space="preserve"> </w:t>
      </w:r>
      <w:r>
        <w:t>end</w:t>
      </w:r>
      <w:r>
        <w:rPr>
          <w:spacing w:val="-14"/>
        </w:rPr>
        <w:t xml:space="preserve"> </w:t>
      </w:r>
      <w:r>
        <w:t>of</w:t>
      </w:r>
      <w:r>
        <w:rPr>
          <w:spacing w:val="-13"/>
        </w:rPr>
        <w:t xml:space="preserve"> </w:t>
      </w:r>
      <w:r>
        <w:t>the</w:t>
      </w:r>
      <w:r>
        <w:rPr>
          <w:spacing w:val="-15"/>
        </w:rPr>
        <w:t xml:space="preserve"> </w:t>
      </w:r>
      <w:r>
        <w:t>period</w:t>
      </w:r>
      <w:r>
        <w:rPr>
          <w:spacing w:val="-12"/>
        </w:rPr>
        <w:t xml:space="preserve"> </w:t>
      </w:r>
      <w:r>
        <w:t>mentioned</w:t>
      </w:r>
      <w:r>
        <w:rPr>
          <w:spacing w:val="-13"/>
        </w:rPr>
        <w:t xml:space="preserve"> </w:t>
      </w:r>
      <w:r>
        <w:t>in</w:t>
      </w:r>
      <w:r>
        <w:rPr>
          <w:spacing w:val="-14"/>
        </w:rPr>
        <w:t xml:space="preserve"> </w:t>
      </w:r>
      <w:r>
        <w:t>Article</w:t>
      </w:r>
      <w:r>
        <w:rPr>
          <w:spacing w:val="-12"/>
        </w:rPr>
        <w:t xml:space="preserve"> </w:t>
      </w:r>
      <w:r>
        <w:t>4.2</w:t>
      </w:r>
      <w:r>
        <w:rPr>
          <w:spacing w:val="-13"/>
        </w:rPr>
        <w:t xml:space="preserve"> </w:t>
      </w:r>
      <w:r>
        <w:t>of</w:t>
      </w:r>
      <w:r>
        <w:rPr>
          <w:spacing w:val="-16"/>
        </w:rPr>
        <w:t xml:space="preserve"> </w:t>
      </w:r>
      <w:r>
        <w:t>the</w:t>
      </w:r>
      <w:r>
        <w:rPr>
          <w:spacing w:val="-12"/>
        </w:rPr>
        <w:t xml:space="preserve"> </w:t>
      </w:r>
      <w:r>
        <w:t xml:space="preserve">Special Conditions. Articles 22 and 23 apply </w:t>
      </w:r>
      <w:r>
        <w:rPr>
          <w:i/>
        </w:rPr>
        <w:t>mutatis</w:t>
      </w:r>
      <w:r>
        <w:rPr>
          <w:i/>
          <w:spacing w:val="-3"/>
        </w:rPr>
        <w:t xml:space="preserve"> </w:t>
      </w:r>
      <w:proofErr w:type="spellStart"/>
      <w:r>
        <w:rPr>
          <w:i/>
        </w:rPr>
        <w:t>mutandi</w:t>
      </w:r>
      <w:proofErr w:type="spellEnd"/>
      <w:r>
        <w:t>.</w:t>
      </w:r>
    </w:p>
    <w:p w14:paraId="41C0AB77" w14:textId="77777777" w:rsidR="00D757DA" w:rsidRDefault="00D757DA">
      <w:pPr>
        <w:pStyle w:val="Zkladntext"/>
        <w:spacing w:before="3"/>
        <w:rPr>
          <w:sz w:val="31"/>
        </w:rPr>
      </w:pPr>
    </w:p>
    <w:p w14:paraId="177EC12F" w14:textId="77777777" w:rsidR="00D757DA" w:rsidRDefault="0033254E">
      <w:pPr>
        <w:pStyle w:val="Nadpis3"/>
      </w:pPr>
      <w:bookmarkStart w:id="29" w:name="ARTICLE_22_-_SUBMISSION_OF_REPORTS_AND_O"/>
      <w:bookmarkEnd w:id="29"/>
      <w:r>
        <w:t>ARTICLE 22 - SUBMISSION OF REPORTS AND OTHER DOCUMENTS</w:t>
      </w:r>
    </w:p>
    <w:p w14:paraId="74C5F074" w14:textId="77777777" w:rsidR="00D757DA" w:rsidRDefault="00D757DA">
      <w:pPr>
        <w:pStyle w:val="Zkladntext"/>
        <w:spacing w:before="10"/>
        <w:rPr>
          <w:b/>
          <w:sz w:val="20"/>
        </w:rPr>
      </w:pPr>
    </w:p>
    <w:p w14:paraId="68A67DCF" w14:textId="77777777" w:rsidR="00D757DA" w:rsidRDefault="0033254E">
      <w:pPr>
        <w:pStyle w:val="Odstavecseseznamem"/>
        <w:numPr>
          <w:ilvl w:val="1"/>
          <w:numId w:val="45"/>
        </w:numPr>
        <w:tabs>
          <w:tab w:val="left" w:pos="841"/>
        </w:tabs>
        <w:ind w:right="1434" w:firstLine="0"/>
        <w:jc w:val="both"/>
      </w:pPr>
      <w:r>
        <w:t>Within</w:t>
      </w:r>
      <w:r>
        <w:rPr>
          <w:spacing w:val="-3"/>
        </w:rPr>
        <w:t xml:space="preserve"> </w:t>
      </w:r>
      <w:r>
        <w:t>30</w:t>
      </w:r>
      <w:r>
        <w:rPr>
          <w:spacing w:val="-4"/>
        </w:rPr>
        <w:t xml:space="preserve"> </w:t>
      </w:r>
      <w:r>
        <w:t>calendar</w:t>
      </w:r>
      <w:r>
        <w:rPr>
          <w:spacing w:val="-3"/>
        </w:rPr>
        <w:t xml:space="preserve"> </w:t>
      </w:r>
      <w:r>
        <w:t>days</w:t>
      </w:r>
      <w:r>
        <w:rPr>
          <w:spacing w:val="-6"/>
        </w:rPr>
        <w:t xml:space="preserve"> </w:t>
      </w:r>
      <w:r>
        <w:t>following</w:t>
      </w:r>
      <w:r>
        <w:rPr>
          <w:spacing w:val="-2"/>
        </w:rPr>
        <w:t xml:space="preserve"> </w:t>
      </w:r>
      <w:r>
        <w:t>the</w:t>
      </w:r>
      <w:r>
        <w:rPr>
          <w:spacing w:val="-2"/>
        </w:rPr>
        <w:t xml:space="preserve"> </w:t>
      </w:r>
      <w:r>
        <w:t>end</w:t>
      </w:r>
      <w:r>
        <w:rPr>
          <w:spacing w:val="-2"/>
        </w:rPr>
        <w:t xml:space="preserve"> </w:t>
      </w:r>
      <w:r>
        <w:t>of</w:t>
      </w:r>
      <w:r>
        <w:rPr>
          <w:spacing w:val="-3"/>
        </w:rPr>
        <w:t xml:space="preserve"> </w:t>
      </w:r>
      <w:r>
        <w:t>the</w:t>
      </w:r>
      <w:r>
        <w:rPr>
          <w:spacing w:val="-4"/>
        </w:rPr>
        <w:t xml:space="preserve"> </w:t>
      </w:r>
      <w:r>
        <w:t>period</w:t>
      </w:r>
      <w:r>
        <w:rPr>
          <w:spacing w:val="-4"/>
        </w:rPr>
        <w:t xml:space="preserve"> </w:t>
      </w:r>
      <w:r>
        <w:t>mentioned</w:t>
      </w:r>
      <w:r>
        <w:rPr>
          <w:spacing w:val="-4"/>
        </w:rPr>
        <w:t xml:space="preserve"> </w:t>
      </w:r>
      <w:r>
        <w:t>in</w:t>
      </w:r>
      <w:r>
        <w:rPr>
          <w:spacing w:val="-3"/>
        </w:rPr>
        <w:t xml:space="preserve"> </w:t>
      </w:r>
      <w:r>
        <w:t>Article</w:t>
      </w:r>
      <w:r>
        <w:rPr>
          <w:spacing w:val="-2"/>
        </w:rPr>
        <w:t xml:space="preserve"> </w:t>
      </w:r>
      <w:r>
        <w:t>4.2</w:t>
      </w:r>
      <w:r>
        <w:rPr>
          <w:spacing w:val="-4"/>
        </w:rPr>
        <w:t xml:space="preserve"> </w:t>
      </w:r>
      <w:r>
        <w:t>of</w:t>
      </w:r>
      <w:r>
        <w:rPr>
          <w:spacing w:val="-3"/>
        </w:rPr>
        <w:t xml:space="preserve"> </w:t>
      </w:r>
      <w:r>
        <w:t>the Special</w:t>
      </w:r>
      <w:r>
        <w:rPr>
          <w:spacing w:val="-12"/>
        </w:rPr>
        <w:t xml:space="preserve"> </w:t>
      </w:r>
      <w:r>
        <w:t>Conditions</w:t>
      </w:r>
      <w:r>
        <w:rPr>
          <w:spacing w:val="38"/>
        </w:rPr>
        <w:t xml:space="preserve"> </w:t>
      </w:r>
      <w:r>
        <w:t>or</w:t>
      </w:r>
      <w:r>
        <w:rPr>
          <w:spacing w:val="-12"/>
        </w:rPr>
        <w:t xml:space="preserve"> </w:t>
      </w:r>
      <w:r>
        <w:t>following</w:t>
      </w:r>
      <w:r>
        <w:rPr>
          <w:spacing w:val="-11"/>
        </w:rPr>
        <w:t xml:space="preserve"> </w:t>
      </w:r>
      <w:r>
        <w:t>the</w:t>
      </w:r>
      <w:r>
        <w:rPr>
          <w:spacing w:val="-16"/>
        </w:rPr>
        <w:t xml:space="preserve"> </w:t>
      </w:r>
      <w:r>
        <w:t>time</w:t>
      </w:r>
      <w:r>
        <w:rPr>
          <w:spacing w:val="-13"/>
        </w:rPr>
        <w:t xml:space="preserve"> </w:t>
      </w:r>
      <w:r>
        <w:t>that</w:t>
      </w:r>
      <w:r>
        <w:rPr>
          <w:spacing w:val="-12"/>
        </w:rPr>
        <w:t xml:space="preserve"> </w:t>
      </w:r>
      <w:r>
        <w:t>implementation</w:t>
      </w:r>
      <w:r>
        <w:rPr>
          <w:spacing w:val="-11"/>
        </w:rPr>
        <w:t xml:space="preserve"> </w:t>
      </w:r>
      <w:r>
        <w:t>of</w:t>
      </w:r>
      <w:r>
        <w:rPr>
          <w:spacing w:val="-12"/>
        </w:rPr>
        <w:t xml:space="preserve"> </w:t>
      </w:r>
      <w:r>
        <w:t>an</w:t>
      </w:r>
      <w:r>
        <w:rPr>
          <w:spacing w:val="-13"/>
        </w:rPr>
        <w:t xml:space="preserve"> </w:t>
      </w:r>
      <w:r>
        <w:t>activity/project</w:t>
      </w:r>
      <w:r>
        <w:rPr>
          <w:spacing w:val="-12"/>
        </w:rPr>
        <w:t xml:space="preserve"> </w:t>
      </w:r>
      <w:r>
        <w:t>takes</w:t>
      </w:r>
      <w:r>
        <w:rPr>
          <w:spacing w:val="-13"/>
        </w:rPr>
        <w:t xml:space="preserve"> </w:t>
      </w:r>
      <w:r>
        <w:t>effect, one copy of the Execution Report indicating the achieved key performance indicators and a corresponding</w:t>
      </w:r>
      <w:r>
        <w:rPr>
          <w:spacing w:val="-9"/>
        </w:rPr>
        <w:t xml:space="preserve"> </w:t>
      </w:r>
      <w:r>
        <w:t>claim</w:t>
      </w:r>
      <w:r>
        <w:rPr>
          <w:spacing w:val="-8"/>
        </w:rPr>
        <w:t xml:space="preserve"> </w:t>
      </w:r>
      <w:r>
        <w:t>for</w:t>
      </w:r>
      <w:r>
        <w:rPr>
          <w:spacing w:val="-8"/>
        </w:rPr>
        <w:t xml:space="preserve"> </w:t>
      </w:r>
      <w:r>
        <w:t>payment</w:t>
      </w:r>
      <w:r>
        <w:rPr>
          <w:spacing w:val="-10"/>
        </w:rPr>
        <w:t xml:space="preserve"> </w:t>
      </w:r>
      <w:r>
        <w:t>(payment</w:t>
      </w:r>
      <w:r>
        <w:rPr>
          <w:spacing w:val="-7"/>
        </w:rPr>
        <w:t xml:space="preserve"> </w:t>
      </w:r>
      <w:r>
        <w:t>of</w:t>
      </w:r>
      <w:r>
        <w:rPr>
          <w:spacing w:val="-7"/>
        </w:rPr>
        <w:t xml:space="preserve"> </w:t>
      </w:r>
      <w:r>
        <w:t>the</w:t>
      </w:r>
      <w:r>
        <w:rPr>
          <w:spacing w:val="-12"/>
        </w:rPr>
        <w:t xml:space="preserve"> </w:t>
      </w:r>
      <w:r>
        <w:t>balance)</w:t>
      </w:r>
      <w:r>
        <w:rPr>
          <w:spacing w:val="-6"/>
        </w:rPr>
        <w:t xml:space="preserve"> </w:t>
      </w:r>
      <w:r>
        <w:t>as</w:t>
      </w:r>
      <w:r>
        <w:rPr>
          <w:spacing w:val="-11"/>
        </w:rPr>
        <w:t xml:space="preserve"> </w:t>
      </w:r>
      <w:r>
        <w:t>referred</w:t>
      </w:r>
      <w:r>
        <w:rPr>
          <w:spacing w:val="-12"/>
        </w:rPr>
        <w:t xml:space="preserve"> </w:t>
      </w:r>
      <w:r>
        <w:t>to</w:t>
      </w:r>
      <w:r>
        <w:rPr>
          <w:spacing w:val="-9"/>
        </w:rPr>
        <w:t xml:space="preserve"> </w:t>
      </w:r>
      <w:r>
        <w:t>in</w:t>
      </w:r>
      <w:r>
        <w:rPr>
          <w:spacing w:val="-6"/>
        </w:rPr>
        <w:t xml:space="preserve"> </w:t>
      </w:r>
      <w:r>
        <w:t>Article</w:t>
      </w:r>
      <w:r>
        <w:rPr>
          <w:spacing w:val="-6"/>
        </w:rPr>
        <w:t xml:space="preserve"> </w:t>
      </w:r>
      <w:r>
        <w:t>21</w:t>
      </w:r>
      <w:r>
        <w:rPr>
          <w:spacing w:val="-12"/>
        </w:rPr>
        <w:t xml:space="preserve"> </w:t>
      </w:r>
      <w:r>
        <w:t>must</w:t>
      </w:r>
      <w:r>
        <w:rPr>
          <w:spacing w:val="-8"/>
        </w:rPr>
        <w:t xml:space="preserve"> </w:t>
      </w:r>
      <w:r>
        <w:t>be submitted</w:t>
      </w:r>
      <w:r>
        <w:rPr>
          <w:spacing w:val="-17"/>
        </w:rPr>
        <w:t xml:space="preserve"> </w:t>
      </w:r>
      <w:r>
        <w:t>in</w:t>
      </w:r>
      <w:r>
        <w:rPr>
          <w:spacing w:val="-20"/>
        </w:rPr>
        <w:t xml:space="preserve"> </w:t>
      </w:r>
      <w:r>
        <w:t>any</w:t>
      </w:r>
      <w:r>
        <w:rPr>
          <w:spacing w:val="-17"/>
        </w:rPr>
        <w:t xml:space="preserve"> </w:t>
      </w:r>
      <w:r>
        <w:t>of</w:t>
      </w:r>
      <w:r>
        <w:rPr>
          <w:spacing w:val="-17"/>
        </w:rPr>
        <w:t xml:space="preserve"> </w:t>
      </w:r>
      <w:r>
        <w:t>the</w:t>
      </w:r>
      <w:r>
        <w:rPr>
          <w:spacing w:val="-20"/>
        </w:rPr>
        <w:t xml:space="preserve"> </w:t>
      </w:r>
      <w:r>
        <w:t>five</w:t>
      </w:r>
      <w:r>
        <w:rPr>
          <w:spacing w:val="-17"/>
        </w:rPr>
        <w:t xml:space="preserve"> </w:t>
      </w:r>
      <w:r>
        <w:t>official</w:t>
      </w:r>
      <w:r>
        <w:rPr>
          <w:spacing w:val="-18"/>
        </w:rPr>
        <w:t xml:space="preserve"> </w:t>
      </w:r>
      <w:r>
        <w:t>languages</w:t>
      </w:r>
      <w:r>
        <w:rPr>
          <w:spacing w:val="-16"/>
        </w:rPr>
        <w:t xml:space="preserve"> </w:t>
      </w:r>
      <w:r>
        <w:t>of</w:t>
      </w:r>
      <w:r>
        <w:rPr>
          <w:spacing w:val="-18"/>
        </w:rPr>
        <w:t xml:space="preserve"> </w:t>
      </w:r>
      <w:r>
        <w:t>the</w:t>
      </w:r>
      <w:r>
        <w:rPr>
          <w:spacing w:val="-20"/>
        </w:rPr>
        <w:t xml:space="preserve"> </w:t>
      </w:r>
      <w:r>
        <w:t>EUIPO</w:t>
      </w:r>
      <w:r>
        <w:rPr>
          <w:spacing w:val="-19"/>
        </w:rPr>
        <w:t xml:space="preserve"> </w:t>
      </w:r>
      <w:r>
        <w:t>(English,</w:t>
      </w:r>
      <w:r>
        <w:rPr>
          <w:spacing w:val="-16"/>
        </w:rPr>
        <w:t xml:space="preserve"> </w:t>
      </w:r>
      <w:r>
        <w:t>Spanish,</w:t>
      </w:r>
      <w:r>
        <w:rPr>
          <w:spacing w:val="-16"/>
        </w:rPr>
        <w:t xml:space="preserve"> </w:t>
      </w:r>
      <w:r>
        <w:t>French,</w:t>
      </w:r>
      <w:r>
        <w:rPr>
          <w:spacing w:val="-20"/>
        </w:rPr>
        <w:t xml:space="preserve"> </w:t>
      </w:r>
      <w:r>
        <w:t>German or Italian) via the Cooperation</w:t>
      </w:r>
      <w:r>
        <w:rPr>
          <w:spacing w:val="-5"/>
        </w:rPr>
        <w:t xml:space="preserve"> </w:t>
      </w:r>
      <w:r>
        <w:t>Platform.</w:t>
      </w:r>
    </w:p>
    <w:p w14:paraId="56356F26" w14:textId="77777777" w:rsidR="00D757DA" w:rsidRDefault="00D757DA">
      <w:pPr>
        <w:pStyle w:val="Zkladntext"/>
        <w:rPr>
          <w:sz w:val="21"/>
        </w:rPr>
      </w:pPr>
    </w:p>
    <w:p w14:paraId="5AF5F5CC" w14:textId="77777777" w:rsidR="00D757DA" w:rsidRDefault="0033254E">
      <w:pPr>
        <w:pStyle w:val="Odstavecseseznamem"/>
        <w:numPr>
          <w:ilvl w:val="1"/>
          <w:numId w:val="45"/>
        </w:numPr>
        <w:tabs>
          <w:tab w:val="left" w:pos="841"/>
        </w:tabs>
        <w:ind w:right="1431" w:firstLine="0"/>
        <w:jc w:val="both"/>
      </w:pPr>
      <w:r>
        <w:t>These deadlines may be exceptionally derogated from, subject to the prior written approval</w:t>
      </w:r>
      <w:r>
        <w:rPr>
          <w:spacing w:val="-6"/>
        </w:rPr>
        <w:t xml:space="preserve"> </w:t>
      </w:r>
      <w:r>
        <w:t>of</w:t>
      </w:r>
      <w:r>
        <w:rPr>
          <w:spacing w:val="-5"/>
        </w:rPr>
        <w:t xml:space="preserve"> </w:t>
      </w:r>
      <w:r>
        <w:t>the</w:t>
      </w:r>
      <w:r>
        <w:rPr>
          <w:spacing w:val="-4"/>
        </w:rPr>
        <w:t xml:space="preserve"> </w:t>
      </w:r>
      <w:proofErr w:type="spellStart"/>
      <w:r>
        <w:t>Authorising</w:t>
      </w:r>
      <w:proofErr w:type="spellEnd"/>
      <w:r>
        <w:rPr>
          <w:spacing w:val="-4"/>
        </w:rPr>
        <w:t xml:space="preserve"> </w:t>
      </w:r>
      <w:r>
        <w:t>Officer,</w:t>
      </w:r>
      <w:r>
        <w:rPr>
          <w:spacing w:val="-2"/>
        </w:rPr>
        <w:t xml:space="preserve"> </w:t>
      </w:r>
      <w:r>
        <w:t>upon</w:t>
      </w:r>
      <w:r>
        <w:rPr>
          <w:spacing w:val="-7"/>
        </w:rPr>
        <w:t xml:space="preserve"> </w:t>
      </w:r>
      <w:r>
        <w:t>receipt</w:t>
      </w:r>
      <w:r>
        <w:rPr>
          <w:spacing w:val="-5"/>
        </w:rPr>
        <w:t xml:space="preserve"> </w:t>
      </w:r>
      <w:r>
        <w:t>of</w:t>
      </w:r>
      <w:r>
        <w:rPr>
          <w:spacing w:val="-4"/>
        </w:rPr>
        <w:t xml:space="preserve"> </w:t>
      </w:r>
      <w:r>
        <w:t>a</w:t>
      </w:r>
      <w:r>
        <w:rPr>
          <w:spacing w:val="-4"/>
        </w:rPr>
        <w:t xml:space="preserve"> </w:t>
      </w:r>
      <w:r>
        <w:t>written</w:t>
      </w:r>
      <w:r>
        <w:rPr>
          <w:spacing w:val="-7"/>
        </w:rPr>
        <w:t xml:space="preserve"> </w:t>
      </w:r>
      <w:r>
        <w:t>request</w:t>
      </w:r>
      <w:r>
        <w:rPr>
          <w:spacing w:val="-5"/>
        </w:rPr>
        <w:t xml:space="preserve"> </w:t>
      </w:r>
      <w:r>
        <w:t>justifying</w:t>
      </w:r>
      <w:r>
        <w:rPr>
          <w:spacing w:val="-4"/>
        </w:rPr>
        <w:t xml:space="preserve"> </w:t>
      </w:r>
      <w:r>
        <w:t>the</w:t>
      </w:r>
      <w:r>
        <w:rPr>
          <w:spacing w:val="-4"/>
        </w:rPr>
        <w:t xml:space="preserve"> </w:t>
      </w:r>
      <w:r>
        <w:t>need</w:t>
      </w:r>
      <w:r>
        <w:rPr>
          <w:spacing w:val="-7"/>
        </w:rPr>
        <w:t xml:space="preserve"> </w:t>
      </w:r>
      <w:r>
        <w:t>for</w:t>
      </w:r>
      <w:r>
        <w:rPr>
          <w:spacing w:val="-4"/>
        </w:rPr>
        <w:t xml:space="preserve"> </w:t>
      </w:r>
      <w:r>
        <w:t>an extension.</w:t>
      </w:r>
    </w:p>
    <w:p w14:paraId="28E369A7" w14:textId="77777777" w:rsidR="00D757DA" w:rsidRDefault="00D757DA">
      <w:pPr>
        <w:pStyle w:val="Zkladntext"/>
        <w:spacing w:before="9"/>
        <w:rPr>
          <w:sz w:val="20"/>
        </w:rPr>
      </w:pPr>
    </w:p>
    <w:p w14:paraId="3758FDA4" w14:textId="77777777" w:rsidR="00D757DA" w:rsidRDefault="0033254E">
      <w:pPr>
        <w:pStyle w:val="Odstavecseseznamem"/>
        <w:numPr>
          <w:ilvl w:val="1"/>
          <w:numId w:val="45"/>
        </w:numPr>
        <w:tabs>
          <w:tab w:val="left" w:pos="829"/>
        </w:tabs>
        <w:ind w:right="1433" w:firstLine="0"/>
        <w:jc w:val="both"/>
      </w:pPr>
      <w:r>
        <w:t>Upon</w:t>
      </w:r>
      <w:r>
        <w:rPr>
          <w:spacing w:val="-12"/>
        </w:rPr>
        <w:t xml:space="preserve"> </w:t>
      </w:r>
      <w:r>
        <w:t>receipt</w:t>
      </w:r>
      <w:r>
        <w:rPr>
          <w:spacing w:val="-12"/>
        </w:rPr>
        <w:t xml:space="preserve"> </w:t>
      </w:r>
      <w:r>
        <w:t>of</w:t>
      </w:r>
      <w:r>
        <w:rPr>
          <w:spacing w:val="-13"/>
        </w:rPr>
        <w:t xml:space="preserve"> </w:t>
      </w:r>
      <w:r>
        <w:t>the</w:t>
      </w:r>
      <w:r>
        <w:rPr>
          <w:spacing w:val="-14"/>
        </w:rPr>
        <w:t xml:space="preserve"> </w:t>
      </w:r>
      <w:r>
        <w:t>request</w:t>
      </w:r>
      <w:r>
        <w:rPr>
          <w:spacing w:val="-13"/>
        </w:rPr>
        <w:t xml:space="preserve"> </w:t>
      </w:r>
      <w:r>
        <w:t>for</w:t>
      </w:r>
      <w:r>
        <w:rPr>
          <w:spacing w:val="-13"/>
        </w:rPr>
        <w:t xml:space="preserve"> </w:t>
      </w:r>
      <w:r>
        <w:t>payment</w:t>
      </w:r>
      <w:r>
        <w:rPr>
          <w:spacing w:val="-10"/>
        </w:rPr>
        <w:t xml:space="preserve"> </w:t>
      </w:r>
      <w:r>
        <w:t>of</w:t>
      </w:r>
      <w:r>
        <w:rPr>
          <w:spacing w:val="-13"/>
        </w:rPr>
        <w:t xml:space="preserve"> </w:t>
      </w:r>
      <w:r>
        <w:t>the</w:t>
      </w:r>
      <w:r>
        <w:rPr>
          <w:spacing w:val="-12"/>
        </w:rPr>
        <w:t xml:space="preserve"> </w:t>
      </w:r>
      <w:r>
        <w:t>balance,</w:t>
      </w:r>
      <w:r>
        <w:rPr>
          <w:spacing w:val="-11"/>
        </w:rPr>
        <w:t xml:space="preserve"> </w:t>
      </w:r>
      <w:r>
        <w:t>accompanied</w:t>
      </w:r>
      <w:r>
        <w:rPr>
          <w:spacing w:val="-12"/>
        </w:rPr>
        <w:t xml:space="preserve"> </w:t>
      </w:r>
      <w:r>
        <w:t>by</w:t>
      </w:r>
      <w:r>
        <w:rPr>
          <w:spacing w:val="-15"/>
        </w:rPr>
        <w:t xml:space="preserve"> </w:t>
      </w:r>
      <w:r>
        <w:t>the</w:t>
      </w:r>
      <w:r>
        <w:rPr>
          <w:spacing w:val="-14"/>
        </w:rPr>
        <w:t xml:space="preserve"> </w:t>
      </w:r>
      <w:r>
        <w:t>Execution Report</w:t>
      </w:r>
      <w:r>
        <w:rPr>
          <w:spacing w:val="-10"/>
        </w:rPr>
        <w:t xml:space="preserve"> </w:t>
      </w:r>
      <w:r>
        <w:t>with</w:t>
      </w:r>
      <w:r>
        <w:rPr>
          <w:spacing w:val="-10"/>
        </w:rPr>
        <w:t xml:space="preserve"> </w:t>
      </w:r>
      <w:r>
        <w:t>a</w:t>
      </w:r>
      <w:r>
        <w:rPr>
          <w:spacing w:val="-11"/>
        </w:rPr>
        <w:t xml:space="preserve"> </w:t>
      </w:r>
      <w:r>
        <w:t>clear</w:t>
      </w:r>
      <w:r>
        <w:rPr>
          <w:spacing w:val="-13"/>
        </w:rPr>
        <w:t xml:space="preserve"> </w:t>
      </w:r>
      <w:r>
        <w:t>the</w:t>
      </w:r>
      <w:r>
        <w:rPr>
          <w:spacing w:val="-12"/>
        </w:rPr>
        <w:t xml:space="preserve"> </w:t>
      </w:r>
      <w:r>
        <w:t>indication</w:t>
      </w:r>
      <w:r>
        <w:rPr>
          <w:spacing w:val="-10"/>
        </w:rPr>
        <w:t xml:space="preserve"> </w:t>
      </w:r>
      <w:r>
        <w:t>of</w:t>
      </w:r>
      <w:r>
        <w:rPr>
          <w:spacing w:val="-12"/>
        </w:rPr>
        <w:t xml:space="preserve"> </w:t>
      </w:r>
      <w:r>
        <w:t>the</w:t>
      </w:r>
      <w:r>
        <w:rPr>
          <w:spacing w:val="-10"/>
        </w:rPr>
        <w:t xml:space="preserve"> </w:t>
      </w:r>
      <w:r>
        <w:t>achieved</w:t>
      </w:r>
      <w:r>
        <w:rPr>
          <w:spacing w:val="-10"/>
        </w:rPr>
        <w:t xml:space="preserve"> </w:t>
      </w:r>
      <w:r>
        <w:t>key</w:t>
      </w:r>
      <w:r>
        <w:rPr>
          <w:spacing w:val="-9"/>
        </w:rPr>
        <w:t xml:space="preserve"> </w:t>
      </w:r>
      <w:r>
        <w:t>performance</w:t>
      </w:r>
      <w:r>
        <w:rPr>
          <w:spacing w:val="-12"/>
        </w:rPr>
        <w:t xml:space="preserve"> </w:t>
      </w:r>
      <w:r>
        <w:t>indicators,</w:t>
      </w:r>
      <w:r>
        <w:rPr>
          <w:spacing w:val="-10"/>
        </w:rPr>
        <w:t xml:space="preserve"> </w:t>
      </w:r>
      <w:r>
        <w:t>the</w:t>
      </w:r>
      <w:r>
        <w:rPr>
          <w:spacing w:val="-13"/>
        </w:rPr>
        <w:t xml:space="preserve"> </w:t>
      </w:r>
      <w:r>
        <w:t>EUIPO</w:t>
      </w:r>
      <w:r>
        <w:rPr>
          <w:spacing w:val="-8"/>
        </w:rPr>
        <w:t xml:space="preserve"> </w:t>
      </w:r>
      <w:r>
        <w:t>shall have</w:t>
      </w:r>
      <w:r>
        <w:rPr>
          <w:spacing w:val="-7"/>
        </w:rPr>
        <w:t xml:space="preserve"> </w:t>
      </w:r>
      <w:r>
        <w:t>30</w:t>
      </w:r>
      <w:r>
        <w:rPr>
          <w:spacing w:val="-9"/>
        </w:rPr>
        <w:t xml:space="preserve"> </w:t>
      </w:r>
      <w:r>
        <w:t>calendar</w:t>
      </w:r>
      <w:r>
        <w:rPr>
          <w:spacing w:val="-5"/>
        </w:rPr>
        <w:t xml:space="preserve"> </w:t>
      </w:r>
      <w:r>
        <w:t>days</w:t>
      </w:r>
      <w:r>
        <w:rPr>
          <w:spacing w:val="-8"/>
        </w:rPr>
        <w:t xml:space="preserve"> </w:t>
      </w:r>
      <w:r>
        <w:t>to</w:t>
      </w:r>
      <w:r>
        <w:rPr>
          <w:spacing w:val="-9"/>
        </w:rPr>
        <w:t xml:space="preserve"> </w:t>
      </w:r>
      <w:r>
        <w:t>approve</w:t>
      </w:r>
      <w:r>
        <w:rPr>
          <w:spacing w:val="-9"/>
        </w:rPr>
        <w:t xml:space="preserve"> </w:t>
      </w:r>
      <w:r>
        <w:t>or</w:t>
      </w:r>
      <w:r>
        <w:rPr>
          <w:spacing w:val="-8"/>
        </w:rPr>
        <w:t xml:space="preserve"> </w:t>
      </w:r>
      <w:r>
        <w:t>reject</w:t>
      </w:r>
      <w:r>
        <w:rPr>
          <w:spacing w:val="-7"/>
        </w:rPr>
        <w:t xml:space="preserve"> </w:t>
      </w:r>
      <w:r>
        <w:t>the</w:t>
      </w:r>
      <w:r>
        <w:rPr>
          <w:spacing w:val="-7"/>
        </w:rPr>
        <w:t xml:space="preserve"> </w:t>
      </w:r>
      <w:r>
        <w:t>Execution</w:t>
      </w:r>
      <w:r>
        <w:rPr>
          <w:spacing w:val="-7"/>
        </w:rPr>
        <w:t xml:space="preserve"> </w:t>
      </w:r>
      <w:r>
        <w:t>Report,</w:t>
      </w:r>
      <w:r>
        <w:rPr>
          <w:spacing w:val="-7"/>
        </w:rPr>
        <w:t xml:space="preserve"> </w:t>
      </w:r>
      <w:r>
        <w:t>or</w:t>
      </w:r>
      <w:r>
        <w:rPr>
          <w:spacing w:val="-8"/>
        </w:rPr>
        <w:t xml:space="preserve"> </w:t>
      </w:r>
      <w:r>
        <w:t>to</w:t>
      </w:r>
      <w:r>
        <w:rPr>
          <w:spacing w:val="-9"/>
        </w:rPr>
        <w:t xml:space="preserve"> </w:t>
      </w:r>
      <w:r>
        <w:t>require</w:t>
      </w:r>
      <w:r>
        <w:rPr>
          <w:spacing w:val="-7"/>
        </w:rPr>
        <w:t xml:space="preserve"> </w:t>
      </w:r>
      <w:r>
        <w:t>any</w:t>
      </w:r>
      <w:r>
        <w:rPr>
          <w:spacing w:val="-8"/>
        </w:rPr>
        <w:t xml:space="preserve"> </w:t>
      </w:r>
      <w:r>
        <w:t>supporting document</w:t>
      </w:r>
      <w:r>
        <w:rPr>
          <w:spacing w:val="-10"/>
        </w:rPr>
        <w:t xml:space="preserve"> </w:t>
      </w:r>
      <w:r>
        <w:t>or</w:t>
      </w:r>
      <w:r>
        <w:rPr>
          <w:spacing w:val="-9"/>
        </w:rPr>
        <w:t xml:space="preserve"> </w:t>
      </w:r>
      <w:r>
        <w:t>additional</w:t>
      </w:r>
      <w:r>
        <w:rPr>
          <w:spacing w:val="-11"/>
        </w:rPr>
        <w:t xml:space="preserve"> </w:t>
      </w:r>
      <w:r>
        <w:t>information,</w:t>
      </w:r>
      <w:r>
        <w:rPr>
          <w:spacing w:val="-9"/>
        </w:rPr>
        <w:t xml:space="preserve"> </w:t>
      </w:r>
      <w:r>
        <w:t>in</w:t>
      </w:r>
      <w:r>
        <w:rPr>
          <w:spacing w:val="-10"/>
        </w:rPr>
        <w:t xml:space="preserve"> </w:t>
      </w:r>
      <w:r>
        <w:t>accordance</w:t>
      </w:r>
      <w:r>
        <w:rPr>
          <w:spacing w:val="-13"/>
        </w:rPr>
        <w:t xml:space="preserve"> </w:t>
      </w:r>
      <w:r>
        <w:t>with</w:t>
      </w:r>
      <w:r>
        <w:rPr>
          <w:spacing w:val="-10"/>
        </w:rPr>
        <w:t xml:space="preserve"> </w:t>
      </w:r>
      <w:r>
        <w:t>the</w:t>
      </w:r>
      <w:r>
        <w:rPr>
          <w:spacing w:val="-10"/>
        </w:rPr>
        <w:t xml:space="preserve"> </w:t>
      </w:r>
      <w:r>
        <w:t>procedure</w:t>
      </w:r>
      <w:r>
        <w:rPr>
          <w:spacing w:val="-12"/>
        </w:rPr>
        <w:t xml:space="preserve"> </w:t>
      </w:r>
      <w:r>
        <w:t>mentioned</w:t>
      </w:r>
      <w:r>
        <w:rPr>
          <w:spacing w:val="-10"/>
        </w:rPr>
        <w:t xml:space="preserve"> </w:t>
      </w:r>
      <w:r>
        <w:t>in</w:t>
      </w:r>
      <w:r>
        <w:rPr>
          <w:spacing w:val="-10"/>
        </w:rPr>
        <w:t xml:space="preserve"> </w:t>
      </w:r>
      <w:r>
        <w:t>Article</w:t>
      </w:r>
      <w:r>
        <w:rPr>
          <w:spacing w:val="-10"/>
        </w:rPr>
        <w:t xml:space="preserve"> </w:t>
      </w:r>
      <w:r>
        <w:t>25. If necessary, the IPO has 30 calendar days as from the date of the request of the EUIPO to submit the additional information or a new</w:t>
      </w:r>
      <w:r>
        <w:rPr>
          <w:spacing w:val="-10"/>
        </w:rPr>
        <w:t xml:space="preserve"> </w:t>
      </w:r>
      <w:r>
        <w:t>report.</w:t>
      </w:r>
    </w:p>
    <w:p w14:paraId="6C074B7A" w14:textId="77777777" w:rsidR="00D757DA" w:rsidRDefault="00D757DA">
      <w:pPr>
        <w:pStyle w:val="Zkladntext"/>
        <w:spacing w:before="3"/>
        <w:rPr>
          <w:sz w:val="31"/>
        </w:rPr>
      </w:pPr>
    </w:p>
    <w:p w14:paraId="6EE76B6C" w14:textId="77777777" w:rsidR="00D757DA" w:rsidRDefault="0033254E">
      <w:pPr>
        <w:pStyle w:val="Nadpis3"/>
      </w:pPr>
      <w:bookmarkStart w:id="30" w:name="ARTICLE_23_-_REQUESTS_FOR_PAYMENT"/>
      <w:bookmarkEnd w:id="30"/>
      <w:r>
        <w:t>ARTICLE 23 - REQUESTS FOR PAYMENT</w:t>
      </w:r>
    </w:p>
    <w:p w14:paraId="3F1101D9" w14:textId="77777777" w:rsidR="00D757DA" w:rsidRDefault="00D757DA">
      <w:pPr>
        <w:pStyle w:val="Zkladntext"/>
        <w:rPr>
          <w:b/>
          <w:sz w:val="21"/>
        </w:rPr>
      </w:pPr>
    </w:p>
    <w:p w14:paraId="0A80C62A" w14:textId="77777777" w:rsidR="00D757DA" w:rsidRDefault="0033254E">
      <w:pPr>
        <w:pStyle w:val="Odstavecseseznamem"/>
        <w:numPr>
          <w:ilvl w:val="1"/>
          <w:numId w:val="44"/>
        </w:numPr>
        <w:tabs>
          <w:tab w:val="left" w:pos="829"/>
        </w:tabs>
        <w:ind w:hanging="709"/>
        <w:jc w:val="both"/>
      </w:pPr>
      <w:r>
        <w:t>Payments shall be made in accordance with Articles 19, 21 and</w:t>
      </w:r>
      <w:r>
        <w:rPr>
          <w:spacing w:val="-15"/>
        </w:rPr>
        <w:t xml:space="preserve"> </w:t>
      </w:r>
      <w:r>
        <w:t>22.</w:t>
      </w:r>
    </w:p>
    <w:p w14:paraId="093EF50E" w14:textId="77777777" w:rsidR="00D757DA" w:rsidRDefault="00D757DA">
      <w:pPr>
        <w:pStyle w:val="Zkladntext"/>
        <w:spacing w:before="9"/>
        <w:rPr>
          <w:sz w:val="20"/>
        </w:rPr>
      </w:pPr>
    </w:p>
    <w:p w14:paraId="4F4BCB9D" w14:textId="77777777" w:rsidR="00D757DA" w:rsidRDefault="0033254E">
      <w:pPr>
        <w:pStyle w:val="Odstavecseseznamem"/>
        <w:numPr>
          <w:ilvl w:val="1"/>
          <w:numId w:val="44"/>
        </w:numPr>
        <w:tabs>
          <w:tab w:val="left" w:pos="841"/>
        </w:tabs>
        <w:ind w:left="120" w:right="1436" w:firstLine="0"/>
        <w:jc w:val="both"/>
      </w:pPr>
      <w:r>
        <w:t>Requests for additional information shall be notified to the IPO via the Cooperation Platform. The IPO shall have the period laid down in Article 22 to submit the information. If additional information is requested, the time limit for scrutiny shall be extended by the time it takes to obtain this information. In the event of renewed rejection, the EUIPO reserves the right to terminate the Agreement by invoking Article</w:t>
      </w:r>
      <w:r>
        <w:rPr>
          <w:spacing w:val="-13"/>
        </w:rPr>
        <w:t xml:space="preserve"> </w:t>
      </w:r>
      <w:r>
        <w:t>4.5.</w:t>
      </w:r>
    </w:p>
    <w:p w14:paraId="29CF2259" w14:textId="77777777" w:rsidR="00D757DA" w:rsidRDefault="00D757DA">
      <w:pPr>
        <w:jc w:val="both"/>
        <w:sectPr w:rsidR="00D757DA">
          <w:pgSz w:w="11910" w:h="16840"/>
          <w:pgMar w:top="1340" w:right="0" w:bottom="1160" w:left="1320" w:header="0" w:footer="881" w:gutter="0"/>
          <w:cols w:space="708"/>
        </w:sectPr>
      </w:pPr>
    </w:p>
    <w:p w14:paraId="0A6581C8" w14:textId="77777777" w:rsidR="00D757DA" w:rsidRDefault="0033254E">
      <w:pPr>
        <w:pStyle w:val="Nadpis3"/>
        <w:spacing w:before="81"/>
      </w:pPr>
      <w:bookmarkStart w:id="31" w:name="ARTICLE_24_-_RECOVERY"/>
      <w:bookmarkEnd w:id="31"/>
      <w:r>
        <w:lastRenderedPageBreak/>
        <w:t>ARTICLE 24 - RECOVERY</w:t>
      </w:r>
    </w:p>
    <w:p w14:paraId="73309A23" w14:textId="77777777" w:rsidR="00D757DA" w:rsidRDefault="00D757DA">
      <w:pPr>
        <w:pStyle w:val="Zkladntext"/>
        <w:spacing w:before="10"/>
        <w:rPr>
          <w:b/>
          <w:sz w:val="20"/>
        </w:rPr>
      </w:pPr>
    </w:p>
    <w:p w14:paraId="2A9631AB" w14:textId="77777777" w:rsidR="00D757DA" w:rsidRDefault="0033254E">
      <w:pPr>
        <w:pStyle w:val="Odstavecseseznamem"/>
        <w:numPr>
          <w:ilvl w:val="1"/>
          <w:numId w:val="43"/>
        </w:numPr>
        <w:tabs>
          <w:tab w:val="left" w:pos="841"/>
        </w:tabs>
        <w:ind w:right="1438" w:firstLine="0"/>
        <w:jc w:val="both"/>
      </w:pPr>
      <w:r>
        <w:t>If</w:t>
      </w:r>
      <w:r>
        <w:rPr>
          <w:spacing w:val="-6"/>
        </w:rPr>
        <w:t xml:space="preserve"> </w:t>
      </w:r>
      <w:r>
        <w:t>any</w:t>
      </w:r>
      <w:r>
        <w:rPr>
          <w:spacing w:val="-6"/>
        </w:rPr>
        <w:t xml:space="preserve"> </w:t>
      </w:r>
      <w:r>
        <w:t>amount</w:t>
      </w:r>
      <w:r>
        <w:rPr>
          <w:spacing w:val="-5"/>
        </w:rPr>
        <w:t xml:space="preserve"> </w:t>
      </w:r>
      <w:r>
        <w:t>is</w:t>
      </w:r>
      <w:r>
        <w:rPr>
          <w:spacing w:val="-6"/>
        </w:rPr>
        <w:t xml:space="preserve"> </w:t>
      </w:r>
      <w:r>
        <w:t>unduly</w:t>
      </w:r>
      <w:r>
        <w:rPr>
          <w:spacing w:val="-6"/>
        </w:rPr>
        <w:t xml:space="preserve"> </w:t>
      </w:r>
      <w:r>
        <w:t>paid</w:t>
      </w:r>
      <w:r>
        <w:rPr>
          <w:spacing w:val="-5"/>
        </w:rPr>
        <w:t xml:space="preserve"> </w:t>
      </w:r>
      <w:r>
        <w:t>to</w:t>
      </w:r>
      <w:r>
        <w:rPr>
          <w:spacing w:val="-6"/>
        </w:rPr>
        <w:t xml:space="preserve"> </w:t>
      </w:r>
      <w:r>
        <w:t>the</w:t>
      </w:r>
      <w:r>
        <w:rPr>
          <w:spacing w:val="-7"/>
        </w:rPr>
        <w:t xml:space="preserve"> </w:t>
      </w:r>
      <w:r>
        <w:t>IPO</w:t>
      </w:r>
      <w:r>
        <w:rPr>
          <w:spacing w:val="-5"/>
        </w:rPr>
        <w:t xml:space="preserve"> </w:t>
      </w:r>
      <w:r>
        <w:t>or</w:t>
      </w:r>
      <w:r>
        <w:rPr>
          <w:spacing w:val="-5"/>
        </w:rPr>
        <w:t xml:space="preserve"> </w:t>
      </w:r>
      <w:r>
        <w:t>if</w:t>
      </w:r>
      <w:r>
        <w:rPr>
          <w:spacing w:val="-6"/>
        </w:rPr>
        <w:t xml:space="preserve"> </w:t>
      </w:r>
      <w:r>
        <w:t>recovery</w:t>
      </w:r>
      <w:r>
        <w:rPr>
          <w:spacing w:val="-6"/>
        </w:rPr>
        <w:t xml:space="preserve"> </w:t>
      </w:r>
      <w:r>
        <w:t>is</w:t>
      </w:r>
      <w:r>
        <w:rPr>
          <w:spacing w:val="-6"/>
        </w:rPr>
        <w:t xml:space="preserve"> </w:t>
      </w:r>
      <w:r>
        <w:t>justified</w:t>
      </w:r>
      <w:r>
        <w:rPr>
          <w:spacing w:val="-4"/>
        </w:rPr>
        <w:t xml:space="preserve"> </w:t>
      </w:r>
      <w:r>
        <w:t>under</w:t>
      </w:r>
      <w:r>
        <w:rPr>
          <w:spacing w:val="-6"/>
        </w:rPr>
        <w:t xml:space="preserve"> </w:t>
      </w:r>
      <w:r>
        <w:t>the</w:t>
      </w:r>
      <w:r>
        <w:rPr>
          <w:spacing w:val="-9"/>
        </w:rPr>
        <w:t xml:space="preserve"> </w:t>
      </w:r>
      <w:r>
        <w:t>terms</w:t>
      </w:r>
      <w:r>
        <w:rPr>
          <w:spacing w:val="-6"/>
        </w:rPr>
        <w:t xml:space="preserve"> </w:t>
      </w:r>
      <w:r>
        <w:t>of</w:t>
      </w:r>
      <w:r>
        <w:rPr>
          <w:spacing w:val="-5"/>
        </w:rPr>
        <w:t xml:space="preserve"> </w:t>
      </w:r>
      <w:r>
        <w:t>the Agreement, the IPO undertakes to repay the EUIPO the sum in question on whatever terms and by whatever date the latter may</w:t>
      </w:r>
      <w:r>
        <w:rPr>
          <w:spacing w:val="-7"/>
        </w:rPr>
        <w:t xml:space="preserve"> </w:t>
      </w:r>
      <w:r>
        <w:t>specify.</w:t>
      </w:r>
    </w:p>
    <w:p w14:paraId="5EFC37D3" w14:textId="77777777" w:rsidR="00D757DA" w:rsidRDefault="00D757DA">
      <w:pPr>
        <w:pStyle w:val="Zkladntext"/>
        <w:rPr>
          <w:sz w:val="21"/>
        </w:rPr>
      </w:pPr>
    </w:p>
    <w:p w14:paraId="0CF6772B" w14:textId="77777777" w:rsidR="00D757DA" w:rsidRDefault="0033254E">
      <w:pPr>
        <w:pStyle w:val="Odstavecseseznamem"/>
        <w:numPr>
          <w:ilvl w:val="1"/>
          <w:numId w:val="43"/>
        </w:numPr>
        <w:tabs>
          <w:tab w:val="left" w:pos="841"/>
        </w:tabs>
        <w:ind w:right="1440" w:firstLine="0"/>
        <w:jc w:val="both"/>
      </w:pPr>
      <w:r>
        <w:t>If payment has not been made by the due date, sums owed to the EUIPO may be recovered</w:t>
      </w:r>
      <w:r>
        <w:rPr>
          <w:spacing w:val="-7"/>
        </w:rPr>
        <w:t xml:space="preserve"> </w:t>
      </w:r>
      <w:r>
        <w:t>by</w:t>
      </w:r>
      <w:r>
        <w:rPr>
          <w:spacing w:val="-7"/>
        </w:rPr>
        <w:t xml:space="preserve"> </w:t>
      </w:r>
      <w:r>
        <w:t>offsetting</w:t>
      </w:r>
      <w:r>
        <w:rPr>
          <w:spacing w:val="-8"/>
        </w:rPr>
        <w:t xml:space="preserve"> </w:t>
      </w:r>
      <w:r>
        <w:t>them</w:t>
      </w:r>
      <w:r>
        <w:rPr>
          <w:spacing w:val="-4"/>
        </w:rPr>
        <w:t xml:space="preserve"> </w:t>
      </w:r>
      <w:r>
        <w:t>against</w:t>
      </w:r>
      <w:r>
        <w:rPr>
          <w:spacing w:val="-4"/>
        </w:rPr>
        <w:t xml:space="preserve"> </w:t>
      </w:r>
      <w:r>
        <w:t>any</w:t>
      </w:r>
      <w:r>
        <w:rPr>
          <w:spacing w:val="-6"/>
        </w:rPr>
        <w:t xml:space="preserve"> </w:t>
      </w:r>
      <w:r>
        <w:t>sums</w:t>
      </w:r>
      <w:r>
        <w:rPr>
          <w:spacing w:val="-7"/>
        </w:rPr>
        <w:t xml:space="preserve"> </w:t>
      </w:r>
      <w:r>
        <w:t>owed</w:t>
      </w:r>
      <w:r>
        <w:rPr>
          <w:spacing w:val="-5"/>
        </w:rPr>
        <w:t xml:space="preserve"> </w:t>
      </w:r>
      <w:r>
        <w:t>to</w:t>
      </w:r>
      <w:r>
        <w:rPr>
          <w:spacing w:val="-7"/>
        </w:rPr>
        <w:t xml:space="preserve"> </w:t>
      </w:r>
      <w:r>
        <w:t>the</w:t>
      </w:r>
      <w:r>
        <w:rPr>
          <w:spacing w:val="-8"/>
        </w:rPr>
        <w:t xml:space="preserve"> </w:t>
      </w:r>
      <w:r>
        <w:t>IPO,</w:t>
      </w:r>
      <w:r>
        <w:rPr>
          <w:spacing w:val="-5"/>
        </w:rPr>
        <w:t xml:space="preserve"> </w:t>
      </w:r>
      <w:r>
        <w:t>after</w:t>
      </w:r>
      <w:r>
        <w:rPr>
          <w:spacing w:val="-7"/>
        </w:rPr>
        <w:t xml:space="preserve"> </w:t>
      </w:r>
      <w:r>
        <w:t>informing</w:t>
      </w:r>
      <w:r>
        <w:rPr>
          <w:spacing w:val="-5"/>
        </w:rPr>
        <w:t xml:space="preserve"> </w:t>
      </w:r>
      <w:r>
        <w:t>it</w:t>
      </w:r>
      <w:r>
        <w:rPr>
          <w:spacing w:val="-4"/>
        </w:rPr>
        <w:t xml:space="preserve"> </w:t>
      </w:r>
      <w:r>
        <w:t>accordingly by registered letter with advice of delivery or</w:t>
      </w:r>
      <w:r>
        <w:rPr>
          <w:spacing w:val="-7"/>
        </w:rPr>
        <w:t xml:space="preserve"> </w:t>
      </w:r>
      <w:r>
        <w:t>equivalent.</w:t>
      </w:r>
    </w:p>
    <w:p w14:paraId="6646541B" w14:textId="77777777" w:rsidR="00D757DA" w:rsidRDefault="00D757DA">
      <w:pPr>
        <w:pStyle w:val="Zkladntext"/>
        <w:spacing w:before="9"/>
        <w:rPr>
          <w:sz w:val="20"/>
        </w:rPr>
      </w:pPr>
    </w:p>
    <w:p w14:paraId="33158572" w14:textId="77777777" w:rsidR="00D757DA" w:rsidRDefault="0033254E">
      <w:pPr>
        <w:pStyle w:val="Odstavecseseznamem"/>
        <w:numPr>
          <w:ilvl w:val="1"/>
          <w:numId w:val="43"/>
        </w:numPr>
        <w:tabs>
          <w:tab w:val="left" w:pos="841"/>
        </w:tabs>
        <w:spacing w:before="1"/>
        <w:ind w:right="1437" w:firstLine="0"/>
        <w:jc w:val="both"/>
      </w:pPr>
      <w:r>
        <w:t>Bank charges occasioned by the recovery of the sums owed to the EUIPO shall be borne solely by the</w:t>
      </w:r>
      <w:r>
        <w:rPr>
          <w:spacing w:val="-7"/>
        </w:rPr>
        <w:t xml:space="preserve"> </w:t>
      </w:r>
      <w:r>
        <w:t>IPO.</w:t>
      </w:r>
    </w:p>
    <w:p w14:paraId="5BAD46FF" w14:textId="77777777" w:rsidR="00D757DA" w:rsidRDefault="00D757DA">
      <w:pPr>
        <w:pStyle w:val="Zkladntext"/>
        <w:spacing w:before="3"/>
        <w:rPr>
          <w:sz w:val="31"/>
        </w:rPr>
      </w:pPr>
    </w:p>
    <w:p w14:paraId="218983A6" w14:textId="77777777" w:rsidR="00D757DA" w:rsidRDefault="0033254E">
      <w:pPr>
        <w:pStyle w:val="Nadpis3"/>
        <w:spacing w:before="1"/>
      </w:pPr>
      <w:bookmarkStart w:id="32" w:name="ARTICLE_25_-_IMPUTATION_OF_PAYMENTS"/>
      <w:bookmarkEnd w:id="32"/>
      <w:r>
        <w:t>ARTICLE 25 - IMPUTATION OF PAYMENTS</w:t>
      </w:r>
    </w:p>
    <w:p w14:paraId="338C3712" w14:textId="77777777" w:rsidR="00D757DA" w:rsidRDefault="00D757DA">
      <w:pPr>
        <w:pStyle w:val="Zkladntext"/>
        <w:spacing w:before="9"/>
        <w:rPr>
          <w:b/>
          <w:sz w:val="20"/>
        </w:rPr>
      </w:pPr>
    </w:p>
    <w:p w14:paraId="2529771F" w14:textId="77777777" w:rsidR="00D757DA" w:rsidRDefault="0033254E">
      <w:pPr>
        <w:pStyle w:val="Odstavecseseznamem"/>
        <w:numPr>
          <w:ilvl w:val="1"/>
          <w:numId w:val="42"/>
        </w:numPr>
        <w:tabs>
          <w:tab w:val="left" w:pos="829"/>
        </w:tabs>
        <w:ind w:right="1443" w:firstLine="0"/>
        <w:jc w:val="both"/>
      </w:pPr>
      <w:r>
        <w:t>Any amount paid to the IPO shall be appropriated for financing the activity by the IPO in the fulfilment of its obligations derived from this</w:t>
      </w:r>
      <w:r>
        <w:rPr>
          <w:spacing w:val="-9"/>
        </w:rPr>
        <w:t xml:space="preserve"> </w:t>
      </w:r>
      <w:r>
        <w:t>Agreement.</w:t>
      </w:r>
    </w:p>
    <w:p w14:paraId="42CBA1F9" w14:textId="77777777" w:rsidR="00D757DA" w:rsidRDefault="00D757DA">
      <w:pPr>
        <w:pStyle w:val="Zkladntext"/>
        <w:spacing w:before="11"/>
        <w:rPr>
          <w:sz w:val="20"/>
        </w:rPr>
      </w:pPr>
    </w:p>
    <w:p w14:paraId="1911B2C3" w14:textId="77777777" w:rsidR="00D757DA" w:rsidRDefault="0033254E">
      <w:pPr>
        <w:pStyle w:val="Odstavecseseznamem"/>
        <w:numPr>
          <w:ilvl w:val="1"/>
          <w:numId w:val="42"/>
        </w:numPr>
        <w:tabs>
          <w:tab w:val="left" w:pos="841"/>
        </w:tabs>
        <w:ind w:right="1439" w:firstLine="0"/>
        <w:jc w:val="both"/>
      </w:pPr>
      <w:r>
        <w:t>Upon written request by the IPO, the EUIPO shall proceed to reimburse costs in equivalent non-financial contributions in kind such as the supply of consultancy and/or expertise services by the</w:t>
      </w:r>
      <w:r>
        <w:rPr>
          <w:spacing w:val="-9"/>
        </w:rPr>
        <w:t xml:space="preserve"> </w:t>
      </w:r>
      <w:r>
        <w:t>EUIPO.</w:t>
      </w:r>
    </w:p>
    <w:p w14:paraId="5703AC7E" w14:textId="77777777" w:rsidR="00D757DA" w:rsidRDefault="00D757DA">
      <w:pPr>
        <w:pStyle w:val="Zkladntext"/>
        <w:spacing w:before="3"/>
        <w:rPr>
          <w:sz w:val="31"/>
        </w:rPr>
      </w:pPr>
    </w:p>
    <w:p w14:paraId="42FD4CD1" w14:textId="77777777" w:rsidR="00D757DA" w:rsidRDefault="0033254E">
      <w:pPr>
        <w:pStyle w:val="Nadpis3"/>
      </w:pPr>
      <w:bookmarkStart w:id="33" w:name="ARTICLE_26_-_TASKS_AND_RESPONSIBILITIES"/>
      <w:bookmarkEnd w:id="33"/>
      <w:r>
        <w:t>ARTICLE 26 - TASKS AND RESPONSIBILITIES</w:t>
      </w:r>
    </w:p>
    <w:p w14:paraId="0A78CF1D" w14:textId="77777777" w:rsidR="00D757DA" w:rsidRDefault="00D757DA">
      <w:pPr>
        <w:pStyle w:val="Zkladntext"/>
        <w:spacing w:before="11"/>
        <w:rPr>
          <w:b/>
          <w:sz w:val="20"/>
        </w:rPr>
      </w:pPr>
    </w:p>
    <w:p w14:paraId="57AE2F33" w14:textId="77777777" w:rsidR="00D757DA" w:rsidRDefault="0033254E">
      <w:pPr>
        <w:pStyle w:val="Odstavecseseznamem"/>
        <w:numPr>
          <w:ilvl w:val="1"/>
          <w:numId w:val="41"/>
        </w:numPr>
        <w:tabs>
          <w:tab w:val="left" w:pos="829"/>
        </w:tabs>
        <w:ind w:right="1436" w:firstLine="0"/>
        <w:jc w:val="both"/>
      </w:pPr>
      <w:r>
        <w:t>The EUIPO and the IPO will perform their tasks and have specific obligations and responsibilities</w:t>
      </w:r>
      <w:r>
        <w:rPr>
          <w:spacing w:val="-4"/>
        </w:rPr>
        <w:t xml:space="preserve"> </w:t>
      </w:r>
      <w:r>
        <w:t>as</w:t>
      </w:r>
      <w:r>
        <w:rPr>
          <w:spacing w:val="-5"/>
        </w:rPr>
        <w:t xml:space="preserve"> </w:t>
      </w:r>
      <w:r>
        <w:t>described</w:t>
      </w:r>
      <w:r>
        <w:rPr>
          <w:spacing w:val="-4"/>
        </w:rPr>
        <w:t xml:space="preserve"> </w:t>
      </w:r>
      <w:r>
        <w:t>in</w:t>
      </w:r>
      <w:r>
        <w:rPr>
          <w:spacing w:val="-5"/>
        </w:rPr>
        <w:t xml:space="preserve"> </w:t>
      </w:r>
      <w:r>
        <w:t>the</w:t>
      </w:r>
      <w:r>
        <w:rPr>
          <w:spacing w:val="-5"/>
        </w:rPr>
        <w:t xml:space="preserve"> </w:t>
      </w:r>
      <w:r>
        <w:t>decision</w:t>
      </w:r>
      <w:r>
        <w:rPr>
          <w:spacing w:val="-5"/>
        </w:rPr>
        <w:t xml:space="preserve"> </w:t>
      </w:r>
      <w:r>
        <w:t>of</w:t>
      </w:r>
      <w:r>
        <w:rPr>
          <w:spacing w:val="-7"/>
        </w:rPr>
        <w:t xml:space="preserve"> </w:t>
      </w:r>
      <w:r>
        <w:t>the</w:t>
      </w:r>
      <w:r>
        <w:rPr>
          <w:spacing w:val="-8"/>
        </w:rPr>
        <w:t xml:space="preserve"> </w:t>
      </w:r>
      <w:r>
        <w:t>Management</w:t>
      </w:r>
      <w:r>
        <w:rPr>
          <w:spacing w:val="-4"/>
        </w:rPr>
        <w:t xml:space="preserve"> </w:t>
      </w:r>
      <w:r>
        <w:t>Board</w:t>
      </w:r>
      <w:r>
        <w:rPr>
          <w:spacing w:val="-5"/>
        </w:rPr>
        <w:t xml:space="preserve"> </w:t>
      </w:r>
      <w:r>
        <w:t>defining</w:t>
      </w:r>
      <w:r>
        <w:rPr>
          <w:spacing w:val="-4"/>
        </w:rPr>
        <w:t xml:space="preserve"> </w:t>
      </w:r>
      <w:r>
        <w:t>the</w:t>
      </w:r>
      <w:r>
        <w:rPr>
          <w:spacing w:val="-5"/>
        </w:rPr>
        <w:t xml:space="preserve"> </w:t>
      </w:r>
      <w:r>
        <w:t>European Cooperation Projects (MBBC-24-13 of 19-20 November</w:t>
      </w:r>
      <w:r>
        <w:rPr>
          <w:spacing w:val="-5"/>
        </w:rPr>
        <w:t xml:space="preserve"> </w:t>
      </w:r>
      <w:r>
        <w:t>2024).</w:t>
      </w:r>
    </w:p>
    <w:p w14:paraId="5055A30C" w14:textId="77777777" w:rsidR="00D757DA" w:rsidRDefault="00D757DA">
      <w:pPr>
        <w:pStyle w:val="Zkladntext"/>
        <w:spacing w:before="10"/>
        <w:rPr>
          <w:sz w:val="21"/>
        </w:rPr>
      </w:pPr>
    </w:p>
    <w:p w14:paraId="005CF64E" w14:textId="77777777" w:rsidR="00D757DA" w:rsidRDefault="0033254E">
      <w:pPr>
        <w:pStyle w:val="Odstavecseseznamem"/>
        <w:numPr>
          <w:ilvl w:val="1"/>
          <w:numId w:val="41"/>
        </w:numPr>
        <w:tabs>
          <w:tab w:val="left" w:pos="841"/>
        </w:tabs>
        <w:spacing w:before="1"/>
        <w:ind w:right="1437" w:firstLine="0"/>
        <w:jc w:val="both"/>
      </w:pPr>
      <w:r>
        <w:t>Upon request of the IPO, the EUIPO may facilitate the IPO’s access to software development resources for the fulfilment of tasks foreseen in those projects as part of ECP5. In such a case, such facility will be funded as a part of the implementation effort of the IPO and,</w:t>
      </w:r>
      <w:r>
        <w:rPr>
          <w:spacing w:val="-9"/>
        </w:rPr>
        <w:t xml:space="preserve"> </w:t>
      </w:r>
      <w:r>
        <w:t>where</w:t>
      </w:r>
      <w:r>
        <w:rPr>
          <w:spacing w:val="-9"/>
        </w:rPr>
        <w:t xml:space="preserve"> </w:t>
      </w:r>
      <w:r>
        <w:t>necessary,</w:t>
      </w:r>
      <w:r>
        <w:rPr>
          <w:spacing w:val="-7"/>
        </w:rPr>
        <w:t xml:space="preserve"> </w:t>
      </w:r>
      <w:r>
        <w:t>deducted</w:t>
      </w:r>
      <w:r>
        <w:rPr>
          <w:spacing w:val="-8"/>
        </w:rPr>
        <w:t xml:space="preserve"> </w:t>
      </w:r>
      <w:r>
        <w:t>from</w:t>
      </w:r>
      <w:r>
        <w:rPr>
          <w:spacing w:val="-11"/>
        </w:rPr>
        <w:t xml:space="preserve"> </w:t>
      </w:r>
      <w:r>
        <w:t>the</w:t>
      </w:r>
      <w:r>
        <w:rPr>
          <w:spacing w:val="-9"/>
        </w:rPr>
        <w:t xml:space="preserve"> </w:t>
      </w:r>
      <w:r>
        <w:t>committed</w:t>
      </w:r>
      <w:r>
        <w:rPr>
          <w:spacing w:val="-9"/>
        </w:rPr>
        <w:t xml:space="preserve"> </w:t>
      </w:r>
      <w:r>
        <w:t>funding</w:t>
      </w:r>
      <w:r>
        <w:rPr>
          <w:spacing w:val="-9"/>
        </w:rPr>
        <w:t xml:space="preserve"> </w:t>
      </w:r>
      <w:r>
        <w:t>of</w:t>
      </w:r>
      <w:r>
        <w:rPr>
          <w:spacing w:val="-10"/>
        </w:rPr>
        <w:t xml:space="preserve"> </w:t>
      </w:r>
      <w:r>
        <w:t>the</w:t>
      </w:r>
      <w:r>
        <w:rPr>
          <w:spacing w:val="-10"/>
        </w:rPr>
        <w:t xml:space="preserve"> </w:t>
      </w:r>
      <w:r>
        <w:t>specific</w:t>
      </w:r>
      <w:r>
        <w:rPr>
          <w:spacing w:val="-8"/>
        </w:rPr>
        <w:t xml:space="preserve"> </w:t>
      </w:r>
      <w:r>
        <w:t>project.</w:t>
      </w:r>
      <w:r>
        <w:rPr>
          <w:spacing w:val="-7"/>
        </w:rPr>
        <w:t xml:space="preserve"> </w:t>
      </w:r>
      <w:r>
        <w:t>In</w:t>
      </w:r>
      <w:r>
        <w:rPr>
          <w:spacing w:val="-9"/>
        </w:rPr>
        <w:t xml:space="preserve"> </w:t>
      </w:r>
      <w:r>
        <w:t>case</w:t>
      </w:r>
      <w:r>
        <w:rPr>
          <w:spacing w:val="-9"/>
        </w:rPr>
        <w:t xml:space="preserve"> </w:t>
      </w:r>
      <w:r>
        <w:t>of deployment, the responsibility of the outcomes lies within the</w:t>
      </w:r>
      <w:r>
        <w:rPr>
          <w:spacing w:val="-12"/>
        </w:rPr>
        <w:t xml:space="preserve"> </w:t>
      </w:r>
      <w:r>
        <w:t>IPO.</w:t>
      </w:r>
    </w:p>
    <w:p w14:paraId="0961B3E1" w14:textId="77777777" w:rsidR="00D757DA" w:rsidRDefault="00D757DA">
      <w:pPr>
        <w:pStyle w:val="Zkladntext"/>
        <w:spacing w:before="3"/>
        <w:rPr>
          <w:sz w:val="31"/>
        </w:rPr>
      </w:pPr>
    </w:p>
    <w:p w14:paraId="043E724B" w14:textId="77777777" w:rsidR="00D757DA" w:rsidRDefault="0033254E">
      <w:pPr>
        <w:ind w:left="120"/>
        <w:rPr>
          <w:b/>
          <w:sz w:val="26"/>
        </w:rPr>
      </w:pPr>
      <w:bookmarkStart w:id="34" w:name="Annex_II_-_Specific_Provisions"/>
      <w:bookmarkEnd w:id="34"/>
      <w:r>
        <w:rPr>
          <w:b/>
          <w:sz w:val="32"/>
        </w:rPr>
        <w:t>A</w:t>
      </w:r>
      <w:r>
        <w:rPr>
          <w:b/>
          <w:sz w:val="26"/>
        </w:rPr>
        <w:t xml:space="preserve">NNEX </w:t>
      </w:r>
      <w:r>
        <w:rPr>
          <w:b/>
          <w:sz w:val="32"/>
        </w:rPr>
        <w:t>II - S</w:t>
      </w:r>
      <w:r>
        <w:rPr>
          <w:b/>
          <w:sz w:val="26"/>
        </w:rPr>
        <w:t xml:space="preserve">PECIFIC </w:t>
      </w:r>
      <w:r>
        <w:rPr>
          <w:b/>
          <w:sz w:val="32"/>
        </w:rPr>
        <w:t>P</w:t>
      </w:r>
      <w:r>
        <w:rPr>
          <w:b/>
          <w:sz w:val="26"/>
        </w:rPr>
        <w:t>ROVISIONS</w:t>
      </w:r>
    </w:p>
    <w:p w14:paraId="6AB367E6" w14:textId="77777777" w:rsidR="00D757DA" w:rsidRDefault="00D757DA">
      <w:pPr>
        <w:pStyle w:val="Zkladntext"/>
        <w:spacing w:before="5"/>
        <w:rPr>
          <w:b/>
          <w:sz w:val="31"/>
        </w:rPr>
      </w:pPr>
    </w:p>
    <w:p w14:paraId="7FA5CA21" w14:textId="77777777" w:rsidR="00D757DA" w:rsidRDefault="0033254E">
      <w:pPr>
        <w:pStyle w:val="Nadpis3"/>
      </w:pPr>
      <w:bookmarkStart w:id="35" w:name="ARTICLE_27_-_PROVISION_ON_EUROPEAN_COOPE"/>
      <w:bookmarkEnd w:id="35"/>
      <w:r>
        <w:t>ARTICLE 27 - PROVISION ON EUROPEAN COOPERATION PROJECTS</w:t>
      </w:r>
    </w:p>
    <w:p w14:paraId="16485CA9" w14:textId="77777777" w:rsidR="00D757DA" w:rsidRDefault="00D757DA">
      <w:pPr>
        <w:pStyle w:val="Zkladntext"/>
        <w:spacing w:before="9"/>
        <w:rPr>
          <w:b/>
          <w:sz w:val="20"/>
        </w:rPr>
      </w:pPr>
    </w:p>
    <w:p w14:paraId="71177EDB" w14:textId="77777777" w:rsidR="00D757DA" w:rsidRDefault="0033254E">
      <w:pPr>
        <w:pStyle w:val="Odstavecseseznamem"/>
        <w:numPr>
          <w:ilvl w:val="1"/>
          <w:numId w:val="40"/>
        </w:numPr>
        <w:tabs>
          <w:tab w:val="left" w:pos="841"/>
        </w:tabs>
        <w:ind w:right="1435" w:firstLine="0"/>
        <w:jc w:val="both"/>
      </w:pPr>
      <w:r>
        <w:t>This provision applies only to the implementation of the European Cooperation Projects</w:t>
      </w:r>
      <w:r>
        <w:rPr>
          <w:spacing w:val="-7"/>
        </w:rPr>
        <w:t xml:space="preserve"> </w:t>
      </w:r>
      <w:r>
        <w:t>referred</w:t>
      </w:r>
      <w:r>
        <w:rPr>
          <w:spacing w:val="-7"/>
        </w:rPr>
        <w:t xml:space="preserve"> </w:t>
      </w:r>
      <w:r>
        <w:t>to</w:t>
      </w:r>
      <w:r>
        <w:rPr>
          <w:spacing w:val="-6"/>
        </w:rPr>
        <w:t xml:space="preserve"> </w:t>
      </w:r>
      <w:r>
        <w:t>by</w:t>
      </w:r>
      <w:r>
        <w:rPr>
          <w:spacing w:val="-6"/>
        </w:rPr>
        <w:t xml:space="preserve"> </w:t>
      </w:r>
      <w:r>
        <w:t>Article</w:t>
      </w:r>
      <w:r>
        <w:rPr>
          <w:spacing w:val="-5"/>
        </w:rPr>
        <w:t xml:space="preserve"> </w:t>
      </w:r>
      <w:r>
        <w:t>1,</w:t>
      </w:r>
      <w:r>
        <w:rPr>
          <w:spacing w:val="-5"/>
        </w:rPr>
        <w:t xml:space="preserve"> </w:t>
      </w:r>
      <w:r>
        <w:t>item</w:t>
      </w:r>
      <w:r>
        <w:rPr>
          <w:spacing w:val="-6"/>
        </w:rPr>
        <w:t xml:space="preserve"> </w:t>
      </w:r>
      <w:r>
        <w:t>2.1.a)</w:t>
      </w:r>
      <w:r>
        <w:rPr>
          <w:spacing w:val="-6"/>
        </w:rPr>
        <w:t xml:space="preserve"> </w:t>
      </w:r>
      <w:r>
        <w:t>of</w:t>
      </w:r>
      <w:r>
        <w:rPr>
          <w:spacing w:val="-9"/>
        </w:rPr>
        <w:t xml:space="preserve"> </w:t>
      </w:r>
      <w:r>
        <w:t>the</w:t>
      </w:r>
      <w:r>
        <w:rPr>
          <w:spacing w:val="-7"/>
        </w:rPr>
        <w:t xml:space="preserve"> </w:t>
      </w:r>
      <w:r>
        <w:t>Special</w:t>
      </w:r>
      <w:r>
        <w:rPr>
          <w:spacing w:val="-5"/>
        </w:rPr>
        <w:t xml:space="preserve"> </w:t>
      </w:r>
      <w:r>
        <w:t>Conditions.</w:t>
      </w:r>
      <w:r>
        <w:rPr>
          <w:spacing w:val="-1"/>
        </w:rPr>
        <w:t xml:space="preserve"> </w:t>
      </w:r>
      <w:r>
        <w:t>This</w:t>
      </w:r>
      <w:r>
        <w:rPr>
          <w:spacing w:val="-6"/>
        </w:rPr>
        <w:t xml:space="preserve"> </w:t>
      </w:r>
      <w:r>
        <w:t>provision</w:t>
      </w:r>
      <w:r>
        <w:rPr>
          <w:spacing w:val="-4"/>
        </w:rPr>
        <w:t xml:space="preserve"> </w:t>
      </w:r>
      <w:r>
        <w:t>does</w:t>
      </w:r>
      <w:r>
        <w:rPr>
          <w:spacing w:val="-4"/>
        </w:rPr>
        <w:t xml:space="preserve"> </w:t>
      </w:r>
      <w:r>
        <w:t xml:space="preserve">not apply to </w:t>
      </w:r>
      <w:proofErr w:type="spellStart"/>
      <w:r>
        <w:t>TMview</w:t>
      </w:r>
      <w:proofErr w:type="spellEnd"/>
      <w:r>
        <w:t xml:space="preserve"> and</w:t>
      </w:r>
      <w:r>
        <w:rPr>
          <w:spacing w:val="-3"/>
        </w:rPr>
        <w:t xml:space="preserve"> </w:t>
      </w:r>
      <w:proofErr w:type="spellStart"/>
      <w:r>
        <w:t>DSview</w:t>
      </w:r>
      <w:proofErr w:type="spellEnd"/>
      <w:r>
        <w:t>.</w:t>
      </w:r>
    </w:p>
    <w:p w14:paraId="2D6A91FE" w14:textId="77777777" w:rsidR="00D757DA" w:rsidRDefault="00D757DA">
      <w:pPr>
        <w:pStyle w:val="Zkladntext"/>
        <w:spacing w:before="10"/>
        <w:rPr>
          <w:sz w:val="20"/>
        </w:rPr>
      </w:pPr>
    </w:p>
    <w:p w14:paraId="6C6F8F9E" w14:textId="77777777" w:rsidR="00D757DA" w:rsidRDefault="0033254E">
      <w:pPr>
        <w:pStyle w:val="Odstavecseseznamem"/>
        <w:numPr>
          <w:ilvl w:val="1"/>
          <w:numId w:val="40"/>
        </w:numPr>
        <w:tabs>
          <w:tab w:val="left" w:pos="841"/>
        </w:tabs>
        <w:ind w:right="1436" w:firstLine="0"/>
        <w:jc w:val="both"/>
      </w:pPr>
      <w:r>
        <w:t>Determination of the final amount to be paid by EUIPO: The EUIPO shall adopt the amount</w:t>
      </w:r>
      <w:r>
        <w:rPr>
          <w:spacing w:val="-13"/>
        </w:rPr>
        <w:t xml:space="preserve"> </w:t>
      </w:r>
      <w:r>
        <w:t>of</w:t>
      </w:r>
      <w:r>
        <w:rPr>
          <w:spacing w:val="-12"/>
        </w:rPr>
        <w:t xml:space="preserve"> </w:t>
      </w:r>
      <w:r>
        <w:t>the</w:t>
      </w:r>
      <w:r>
        <w:rPr>
          <w:spacing w:val="-15"/>
        </w:rPr>
        <w:t xml:space="preserve"> </w:t>
      </w:r>
      <w:r>
        <w:t>final</w:t>
      </w:r>
      <w:r>
        <w:rPr>
          <w:spacing w:val="-13"/>
        </w:rPr>
        <w:t xml:space="preserve"> </w:t>
      </w:r>
      <w:r>
        <w:t>payment</w:t>
      </w:r>
      <w:r>
        <w:rPr>
          <w:spacing w:val="-12"/>
        </w:rPr>
        <w:t xml:space="preserve"> </w:t>
      </w:r>
      <w:r>
        <w:t>to</w:t>
      </w:r>
      <w:r>
        <w:rPr>
          <w:spacing w:val="-13"/>
        </w:rPr>
        <w:t xml:space="preserve"> </w:t>
      </w:r>
      <w:r>
        <w:t>be</w:t>
      </w:r>
      <w:r>
        <w:rPr>
          <w:spacing w:val="-14"/>
        </w:rPr>
        <w:t xml:space="preserve"> </w:t>
      </w:r>
      <w:r>
        <w:t>granted</w:t>
      </w:r>
      <w:r>
        <w:rPr>
          <w:spacing w:val="-15"/>
        </w:rPr>
        <w:t xml:space="preserve"> </w:t>
      </w:r>
      <w:r>
        <w:t>to</w:t>
      </w:r>
      <w:r>
        <w:rPr>
          <w:spacing w:val="-16"/>
        </w:rPr>
        <w:t xml:space="preserve"> </w:t>
      </w:r>
      <w:r>
        <w:t>the</w:t>
      </w:r>
      <w:r>
        <w:rPr>
          <w:spacing w:val="-13"/>
        </w:rPr>
        <w:t xml:space="preserve"> </w:t>
      </w:r>
      <w:r>
        <w:t>IPO</w:t>
      </w:r>
      <w:r>
        <w:rPr>
          <w:spacing w:val="-12"/>
        </w:rPr>
        <w:t xml:space="preserve"> </w:t>
      </w:r>
      <w:proofErr w:type="gramStart"/>
      <w:r>
        <w:t>on</w:t>
      </w:r>
      <w:r>
        <w:rPr>
          <w:spacing w:val="-13"/>
        </w:rPr>
        <w:t xml:space="preserve"> </w:t>
      </w:r>
      <w:r>
        <w:t>the</w:t>
      </w:r>
      <w:r>
        <w:rPr>
          <w:spacing w:val="-14"/>
        </w:rPr>
        <w:t xml:space="preserve"> </w:t>
      </w:r>
      <w:r>
        <w:t>basis</w:t>
      </w:r>
      <w:r>
        <w:rPr>
          <w:spacing w:val="-12"/>
        </w:rPr>
        <w:t xml:space="preserve"> </w:t>
      </w:r>
      <w:r>
        <w:t>of</w:t>
      </w:r>
      <w:proofErr w:type="gramEnd"/>
      <w:r>
        <w:rPr>
          <w:spacing w:val="-12"/>
        </w:rPr>
        <w:t xml:space="preserve"> </w:t>
      </w:r>
      <w:r>
        <w:t>and</w:t>
      </w:r>
      <w:r>
        <w:rPr>
          <w:spacing w:val="-13"/>
        </w:rPr>
        <w:t xml:space="preserve"> </w:t>
      </w:r>
      <w:r>
        <w:t>subject</w:t>
      </w:r>
      <w:r>
        <w:rPr>
          <w:spacing w:val="-15"/>
        </w:rPr>
        <w:t xml:space="preserve"> </w:t>
      </w:r>
      <w:r>
        <w:t>to</w:t>
      </w:r>
      <w:r>
        <w:rPr>
          <w:spacing w:val="-13"/>
        </w:rPr>
        <w:t xml:space="preserve"> </w:t>
      </w:r>
      <w:r>
        <w:t>its</w:t>
      </w:r>
      <w:r>
        <w:rPr>
          <w:spacing w:val="-15"/>
        </w:rPr>
        <w:t xml:space="preserve"> </w:t>
      </w:r>
      <w:r>
        <w:t>approval of the documents referred to in Article 22 General</w:t>
      </w:r>
      <w:r>
        <w:rPr>
          <w:spacing w:val="-11"/>
        </w:rPr>
        <w:t xml:space="preserve"> </w:t>
      </w:r>
      <w:r>
        <w:t>Conditions.</w:t>
      </w:r>
    </w:p>
    <w:p w14:paraId="0EE59225" w14:textId="77777777" w:rsidR="00D757DA" w:rsidRDefault="00D757DA">
      <w:pPr>
        <w:pStyle w:val="Zkladntext"/>
        <w:spacing w:before="10"/>
        <w:rPr>
          <w:sz w:val="20"/>
        </w:rPr>
      </w:pPr>
    </w:p>
    <w:p w14:paraId="18243EBB" w14:textId="77777777" w:rsidR="00D757DA" w:rsidRDefault="0033254E">
      <w:pPr>
        <w:pStyle w:val="Odstavecseseznamem"/>
        <w:numPr>
          <w:ilvl w:val="1"/>
          <w:numId w:val="40"/>
        </w:numPr>
        <w:tabs>
          <w:tab w:val="left" w:pos="841"/>
        </w:tabs>
        <w:ind w:right="1433" w:firstLine="0"/>
        <w:jc w:val="both"/>
      </w:pPr>
      <w:r>
        <w:t>Without prejudice to the specific provisions applicable to the financing not linked to costs., the eligible direct costs for the project are those costs which satisfy the conditions of eligibility</w:t>
      </w:r>
      <w:r>
        <w:rPr>
          <w:spacing w:val="-9"/>
        </w:rPr>
        <w:t xml:space="preserve"> </w:t>
      </w:r>
      <w:r>
        <w:t>set</w:t>
      </w:r>
      <w:r>
        <w:rPr>
          <w:spacing w:val="-9"/>
        </w:rPr>
        <w:t xml:space="preserve"> </w:t>
      </w:r>
      <w:r>
        <w:t>out</w:t>
      </w:r>
      <w:r>
        <w:rPr>
          <w:spacing w:val="-8"/>
        </w:rPr>
        <w:t xml:space="preserve"> </w:t>
      </w:r>
      <w:r>
        <w:t>in</w:t>
      </w:r>
      <w:r>
        <w:rPr>
          <w:spacing w:val="-10"/>
        </w:rPr>
        <w:t xml:space="preserve"> </w:t>
      </w:r>
      <w:r>
        <w:t>Article</w:t>
      </w:r>
      <w:r>
        <w:rPr>
          <w:spacing w:val="-12"/>
        </w:rPr>
        <w:t xml:space="preserve"> </w:t>
      </w:r>
      <w:r>
        <w:t>18.1</w:t>
      </w:r>
      <w:r>
        <w:rPr>
          <w:spacing w:val="-8"/>
        </w:rPr>
        <w:t xml:space="preserve"> </w:t>
      </w:r>
      <w:r>
        <w:t>General</w:t>
      </w:r>
      <w:r>
        <w:rPr>
          <w:spacing w:val="-10"/>
        </w:rPr>
        <w:t xml:space="preserve"> </w:t>
      </w:r>
      <w:r>
        <w:t>Conditions</w:t>
      </w:r>
      <w:r>
        <w:rPr>
          <w:spacing w:val="-9"/>
        </w:rPr>
        <w:t xml:space="preserve"> </w:t>
      </w:r>
      <w:r>
        <w:t>and</w:t>
      </w:r>
      <w:r>
        <w:rPr>
          <w:spacing w:val="-10"/>
        </w:rPr>
        <w:t xml:space="preserve"> </w:t>
      </w:r>
      <w:r>
        <w:t>are</w:t>
      </w:r>
      <w:r>
        <w:rPr>
          <w:spacing w:val="-9"/>
        </w:rPr>
        <w:t xml:space="preserve"> </w:t>
      </w:r>
      <w:r>
        <w:t>identifiable</w:t>
      </w:r>
      <w:r>
        <w:rPr>
          <w:spacing w:val="-10"/>
        </w:rPr>
        <w:t xml:space="preserve"> </w:t>
      </w:r>
      <w:r>
        <w:t>as</w:t>
      </w:r>
      <w:r>
        <w:rPr>
          <w:spacing w:val="-10"/>
        </w:rPr>
        <w:t xml:space="preserve"> </w:t>
      </w:r>
      <w:r>
        <w:t>specific</w:t>
      </w:r>
      <w:r>
        <w:rPr>
          <w:spacing w:val="-8"/>
        </w:rPr>
        <w:t xml:space="preserve"> </w:t>
      </w:r>
      <w:r>
        <w:t>costs</w:t>
      </w:r>
      <w:r>
        <w:rPr>
          <w:spacing w:val="-9"/>
        </w:rPr>
        <w:t xml:space="preserve"> </w:t>
      </w:r>
      <w:r>
        <w:t>linked to the project, such</w:t>
      </w:r>
      <w:r>
        <w:rPr>
          <w:spacing w:val="-3"/>
        </w:rPr>
        <w:t xml:space="preserve"> </w:t>
      </w:r>
      <w:r>
        <w:t>as:</w:t>
      </w:r>
    </w:p>
    <w:p w14:paraId="418742A2" w14:textId="77777777" w:rsidR="00D757DA" w:rsidRDefault="00D757DA">
      <w:pPr>
        <w:jc w:val="both"/>
        <w:sectPr w:rsidR="00D757DA">
          <w:pgSz w:w="11910" w:h="16840"/>
          <w:pgMar w:top="1340" w:right="0" w:bottom="1160" w:left="1320" w:header="0" w:footer="881" w:gutter="0"/>
          <w:cols w:space="708"/>
        </w:sectPr>
      </w:pPr>
    </w:p>
    <w:p w14:paraId="7D140B41" w14:textId="77777777" w:rsidR="00D757DA" w:rsidRDefault="0033254E">
      <w:pPr>
        <w:pStyle w:val="Odstavecseseznamem"/>
        <w:numPr>
          <w:ilvl w:val="2"/>
          <w:numId w:val="40"/>
        </w:numPr>
        <w:tabs>
          <w:tab w:val="left" w:pos="1201"/>
        </w:tabs>
        <w:spacing w:before="81"/>
        <w:ind w:right="1433"/>
        <w:jc w:val="both"/>
      </w:pPr>
      <w:r>
        <w:lastRenderedPageBreak/>
        <w:t>the cost of staff assigned to the project, according to Decision No ADM-10-30 of 9 September 2010 on the rules applicable to expertise made available on a non- secondment basis for projects. In addition to these Decisions, payments may be made more than once during the duration of the Agreement. However, the salary supplements</w:t>
      </w:r>
      <w:r>
        <w:rPr>
          <w:spacing w:val="-11"/>
        </w:rPr>
        <w:t xml:space="preserve"> </w:t>
      </w:r>
      <w:r>
        <w:t>granted</w:t>
      </w:r>
      <w:r>
        <w:rPr>
          <w:spacing w:val="-9"/>
        </w:rPr>
        <w:t xml:space="preserve"> </w:t>
      </w:r>
      <w:r>
        <w:t>by</w:t>
      </w:r>
      <w:r>
        <w:rPr>
          <w:spacing w:val="-11"/>
        </w:rPr>
        <w:t xml:space="preserve"> </w:t>
      </w:r>
      <w:r>
        <w:t>the</w:t>
      </w:r>
      <w:r>
        <w:rPr>
          <w:spacing w:val="-9"/>
        </w:rPr>
        <w:t xml:space="preserve"> </w:t>
      </w:r>
      <w:r>
        <w:t>IPO</w:t>
      </w:r>
      <w:r>
        <w:rPr>
          <w:spacing w:val="-9"/>
        </w:rPr>
        <w:t xml:space="preserve"> </w:t>
      </w:r>
      <w:r>
        <w:t>to</w:t>
      </w:r>
      <w:r>
        <w:rPr>
          <w:spacing w:val="-11"/>
        </w:rPr>
        <w:t xml:space="preserve"> </w:t>
      </w:r>
      <w:r>
        <w:t>these</w:t>
      </w:r>
      <w:r>
        <w:rPr>
          <w:spacing w:val="-10"/>
        </w:rPr>
        <w:t xml:space="preserve"> </w:t>
      </w:r>
      <w:r>
        <w:t>same</w:t>
      </w:r>
      <w:r>
        <w:rPr>
          <w:spacing w:val="-9"/>
        </w:rPr>
        <w:t xml:space="preserve"> </w:t>
      </w:r>
      <w:r>
        <w:t>persons</w:t>
      </w:r>
      <w:r>
        <w:rPr>
          <w:spacing w:val="-10"/>
        </w:rPr>
        <w:t xml:space="preserve"> </w:t>
      </w:r>
      <w:r>
        <w:t>that</w:t>
      </w:r>
      <w:r>
        <w:rPr>
          <w:spacing w:val="-10"/>
        </w:rPr>
        <w:t xml:space="preserve"> </w:t>
      </w:r>
      <w:r>
        <w:t>result</w:t>
      </w:r>
      <w:r>
        <w:rPr>
          <w:spacing w:val="-10"/>
        </w:rPr>
        <w:t xml:space="preserve"> </w:t>
      </w:r>
      <w:r>
        <w:t>in</w:t>
      </w:r>
      <w:r>
        <w:rPr>
          <w:spacing w:val="-9"/>
        </w:rPr>
        <w:t xml:space="preserve"> </w:t>
      </w:r>
      <w:r>
        <w:t>a</w:t>
      </w:r>
      <w:r>
        <w:rPr>
          <w:spacing w:val="-10"/>
        </w:rPr>
        <w:t xml:space="preserve"> </w:t>
      </w:r>
      <w:r>
        <w:t xml:space="preserve">temporarily higher salary amount than their usual remuneration (for example the payment of extraordinary premiums during the project period) are not considered eligible for </w:t>
      </w:r>
      <w:proofErr w:type="gramStart"/>
      <w:r>
        <w:t>financing;</w:t>
      </w:r>
      <w:proofErr w:type="gramEnd"/>
    </w:p>
    <w:p w14:paraId="0500A49E" w14:textId="77777777" w:rsidR="00D757DA" w:rsidRDefault="00D757DA">
      <w:pPr>
        <w:pStyle w:val="Zkladntext"/>
        <w:spacing w:before="10"/>
        <w:rPr>
          <w:sz w:val="20"/>
        </w:rPr>
      </w:pPr>
    </w:p>
    <w:p w14:paraId="04B7F960" w14:textId="77777777" w:rsidR="00D757DA" w:rsidRDefault="0033254E">
      <w:pPr>
        <w:pStyle w:val="Odstavecseseznamem"/>
        <w:numPr>
          <w:ilvl w:val="2"/>
          <w:numId w:val="40"/>
        </w:numPr>
        <w:tabs>
          <w:tab w:val="left" w:pos="1201"/>
        </w:tabs>
        <w:ind w:right="1433"/>
        <w:jc w:val="both"/>
      </w:pPr>
      <w:r>
        <w:t>travel and subsistence allowances for IPO staff taking part in the project, will be in line with the Decision No ADM-25-07 of February 2025, concerning rules on reimbursement</w:t>
      </w:r>
      <w:r>
        <w:rPr>
          <w:spacing w:val="-12"/>
        </w:rPr>
        <w:t xml:space="preserve"> </w:t>
      </w:r>
      <w:r>
        <w:t>of</w:t>
      </w:r>
      <w:r>
        <w:rPr>
          <w:spacing w:val="-14"/>
        </w:rPr>
        <w:t xml:space="preserve"> </w:t>
      </w:r>
      <w:r>
        <w:t>expenses</w:t>
      </w:r>
      <w:r>
        <w:rPr>
          <w:spacing w:val="-13"/>
        </w:rPr>
        <w:t xml:space="preserve"> </w:t>
      </w:r>
      <w:r>
        <w:t>incurred</w:t>
      </w:r>
      <w:r>
        <w:rPr>
          <w:spacing w:val="-15"/>
        </w:rPr>
        <w:t xml:space="preserve"> </w:t>
      </w:r>
      <w:r>
        <w:t>by</w:t>
      </w:r>
      <w:r>
        <w:rPr>
          <w:spacing w:val="-13"/>
        </w:rPr>
        <w:t xml:space="preserve"> </w:t>
      </w:r>
      <w:r>
        <w:t>individuals</w:t>
      </w:r>
      <w:r>
        <w:rPr>
          <w:spacing w:val="-13"/>
        </w:rPr>
        <w:t xml:space="preserve"> </w:t>
      </w:r>
      <w:r>
        <w:t>from</w:t>
      </w:r>
      <w:r>
        <w:rPr>
          <w:spacing w:val="-12"/>
        </w:rPr>
        <w:t xml:space="preserve"> </w:t>
      </w:r>
      <w:r>
        <w:t>outside</w:t>
      </w:r>
      <w:r>
        <w:rPr>
          <w:spacing w:val="-14"/>
        </w:rPr>
        <w:t xml:space="preserve"> </w:t>
      </w:r>
      <w:r>
        <w:t>the</w:t>
      </w:r>
      <w:r>
        <w:rPr>
          <w:spacing w:val="-15"/>
        </w:rPr>
        <w:t xml:space="preserve"> </w:t>
      </w:r>
      <w:r>
        <w:t>EUIPO</w:t>
      </w:r>
      <w:r>
        <w:rPr>
          <w:spacing w:val="-12"/>
        </w:rPr>
        <w:t xml:space="preserve"> </w:t>
      </w:r>
      <w:r>
        <w:t xml:space="preserve">invited to attend meetings as an expert or to attend training courses, seminars, conferences or other </w:t>
      </w:r>
      <w:proofErr w:type="gramStart"/>
      <w:r>
        <w:t>events;</w:t>
      </w:r>
      <w:proofErr w:type="gramEnd"/>
    </w:p>
    <w:p w14:paraId="20E67F4A" w14:textId="77777777" w:rsidR="00D757DA" w:rsidRDefault="00D757DA">
      <w:pPr>
        <w:pStyle w:val="Zkladntext"/>
        <w:spacing w:before="10"/>
        <w:rPr>
          <w:sz w:val="20"/>
        </w:rPr>
      </w:pPr>
    </w:p>
    <w:p w14:paraId="45AE0230" w14:textId="77777777" w:rsidR="00D757DA" w:rsidRDefault="0033254E">
      <w:pPr>
        <w:pStyle w:val="Odstavecseseznamem"/>
        <w:numPr>
          <w:ilvl w:val="2"/>
          <w:numId w:val="40"/>
        </w:numPr>
        <w:tabs>
          <w:tab w:val="left" w:pos="1201"/>
        </w:tabs>
        <w:spacing w:before="1"/>
        <w:ind w:right="1437"/>
        <w:jc w:val="both"/>
      </w:pPr>
      <w:r>
        <w:t>the portion of the equipment's depreciation corresponding to the duration of the project</w:t>
      </w:r>
      <w:r>
        <w:rPr>
          <w:spacing w:val="-3"/>
        </w:rPr>
        <w:t xml:space="preserve"> </w:t>
      </w:r>
      <w:r>
        <w:t>and</w:t>
      </w:r>
      <w:r>
        <w:rPr>
          <w:spacing w:val="-8"/>
        </w:rPr>
        <w:t xml:space="preserve"> </w:t>
      </w:r>
      <w:r>
        <w:t>the</w:t>
      </w:r>
      <w:r>
        <w:rPr>
          <w:spacing w:val="-7"/>
        </w:rPr>
        <w:t xml:space="preserve"> </w:t>
      </w:r>
      <w:r>
        <w:t>rate</w:t>
      </w:r>
      <w:r>
        <w:rPr>
          <w:spacing w:val="-5"/>
        </w:rPr>
        <w:t xml:space="preserve"> </w:t>
      </w:r>
      <w:r>
        <w:t>of</w:t>
      </w:r>
      <w:r>
        <w:rPr>
          <w:spacing w:val="-5"/>
        </w:rPr>
        <w:t xml:space="preserve"> </w:t>
      </w:r>
      <w:r>
        <w:t>actual</w:t>
      </w:r>
      <w:r>
        <w:rPr>
          <w:spacing w:val="-4"/>
        </w:rPr>
        <w:t xml:space="preserve"> </w:t>
      </w:r>
      <w:r>
        <w:t>use</w:t>
      </w:r>
      <w:r>
        <w:rPr>
          <w:spacing w:val="-7"/>
        </w:rPr>
        <w:t xml:space="preserve"> </w:t>
      </w:r>
      <w:r>
        <w:t>for</w:t>
      </w:r>
      <w:r>
        <w:rPr>
          <w:spacing w:val="-4"/>
        </w:rPr>
        <w:t xml:space="preserve"> </w:t>
      </w:r>
      <w:r>
        <w:t>the</w:t>
      </w:r>
      <w:r>
        <w:rPr>
          <w:spacing w:val="-4"/>
        </w:rPr>
        <w:t xml:space="preserve"> </w:t>
      </w:r>
      <w:r>
        <w:t>purposes</w:t>
      </w:r>
      <w:r>
        <w:rPr>
          <w:spacing w:val="-5"/>
        </w:rPr>
        <w:t xml:space="preserve"> </w:t>
      </w:r>
      <w:r>
        <w:t>of</w:t>
      </w:r>
      <w:r>
        <w:rPr>
          <w:spacing w:val="-4"/>
        </w:rPr>
        <w:t xml:space="preserve"> </w:t>
      </w:r>
      <w:r>
        <w:t>the</w:t>
      </w:r>
      <w:r>
        <w:rPr>
          <w:spacing w:val="-7"/>
        </w:rPr>
        <w:t xml:space="preserve"> </w:t>
      </w:r>
      <w:r>
        <w:t>project</w:t>
      </w:r>
      <w:r>
        <w:rPr>
          <w:spacing w:val="-4"/>
        </w:rPr>
        <w:t xml:space="preserve"> </w:t>
      </w:r>
      <w:r>
        <w:t>may</w:t>
      </w:r>
      <w:r>
        <w:rPr>
          <w:spacing w:val="-6"/>
        </w:rPr>
        <w:t xml:space="preserve"> </w:t>
      </w:r>
      <w:r>
        <w:t>be</w:t>
      </w:r>
      <w:r>
        <w:rPr>
          <w:spacing w:val="-6"/>
        </w:rPr>
        <w:t xml:space="preserve"> </w:t>
      </w:r>
      <w:r>
        <w:t>taken</w:t>
      </w:r>
      <w:r>
        <w:rPr>
          <w:spacing w:val="-4"/>
        </w:rPr>
        <w:t xml:space="preserve"> </w:t>
      </w:r>
      <w:r>
        <w:t>into account by the EUIPO, except where the nature and/or the context of its use justifies different treatment by the</w:t>
      </w:r>
      <w:r>
        <w:rPr>
          <w:spacing w:val="-5"/>
        </w:rPr>
        <w:t xml:space="preserve"> </w:t>
      </w:r>
      <w:proofErr w:type="gramStart"/>
      <w:r>
        <w:t>EUIPO;</w:t>
      </w:r>
      <w:proofErr w:type="gramEnd"/>
    </w:p>
    <w:p w14:paraId="3F96D024" w14:textId="77777777" w:rsidR="00D757DA" w:rsidRDefault="00D757DA">
      <w:pPr>
        <w:pStyle w:val="Zkladntext"/>
        <w:spacing w:before="10"/>
        <w:rPr>
          <w:sz w:val="20"/>
        </w:rPr>
      </w:pPr>
    </w:p>
    <w:p w14:paraId="17BBD3B7" w14:textId="77777777" w:rsidR="00D757DA" w:rsidRDefault="0033254E">
      <w:pPr>
        <w:pStyle w:val="Odstavecseseznamem"/>
        <w:numPr>
          <w:ilvl w:val="2"/>
          <w:numId w:val="40"/>
        </w:numPr>
        <w:tabs>
          <w:tab w:val="left" w:pos="1201"/>
        </w:tabs>
        <w:spacing w:before="1"/>
        <w:ind w:right="1438"/>
        <w:jc w:val="both"/>
      </w:pPr>
      <w:r>
        <w:t>costs of consumables and supplies, provided that they are identifiable and assigned to the</w:t>
      </w:r>
      <w:r>
        <w:rPr>
          <w:spacing w:val="-5"/>
        </w:rPr>
        <w:t xml:space="preserve"> </w:t>
      </w:r>
      <w:proofErr w:type="gramStart"/>
      <w:r>
        <w:t>project;</w:t>
      </w:r>
      <w:proofErr w:type="gramEnd"/>
    </w:p>
    <w:p w14:paraId="1BB5D6C5" w14:textId="77777777" w:rsidR="00D757DA" w:rsidRDefault="00D757DA">
      <w:pPr>
        <w:pStyle w:val="Zkladntext"/>
        <w:spacing w:before="10"/>
        <w:rPr>
          <w:sz w:val="20"/>
        </w:rPr>
      </w:pPr>
    </w:p>
    <w:p w14:paraId="29FCFB64" w14:textId="77777777" w:rsidR="00D757DA" w:rsidRDefault="0033254E">
      <w:pPr>
        <w:pStyle w:val="Odstavecseseznamem"/>
        <w:numPr>
          <w:ilvl w:val="2"/>
          <w:numId w:val="40"/>
        </w:numPr>
        <w:tabs>
          <w:tab w:val="left" w:pos="1201"/>
        </w:tabs>
        <w:ind w:right="1439"/>
        <w:jc w:val="both"/>
      </w:pPr>
      <w:r>
        <w:t>costs entailed by other contracts awarded by the IPO for the purposes of carrying out the project, provided that the conditions laid down in Article 15 are</w:t>
      </w:r>
      <w:r>
        <w:rPr>
          <w:spacing w:val="-26"/>
        </w:rPr>
        <w:t xml:space="preserve"> </w:t>
      </w:r>
      <w:proofErr w:type="gramStart"/>
      <w:r>
        <w:t>met;</w:t>
      </w:r>
      <w:proofErr w:type="gramEnd"/>
    </w:p>
    <w:p w14:paraId="6944EB2A" w14:textId="77777777" w:rsidR="00D757DA" w:rsidRDefault="00D757DA">
      <w:pPr>
        <w:pStyle w:val="Zkladntext"/>
        <w:spacing w:before="10"/>
        <w:rPr>
          <w:sz w:val="20"/>
        </w:rPr>
      </w:pPr>
    </w:p>
    <w:p w14:paraId="13FEA12C" w14:textId="77777777" w:rsidR="00D757DA" w:rsidRDefault="0033254E">
      <w:pPr>
        <w:pStyle w:val="Odstavecseseznamem"/>
        <w:numPr>
          <w:ilvl w:val="2"/>
          <w:numId w:val="40"/>
        </w:numPr>
        <w:tabs>
          <w:tab w:val="left" w:pos="1201"/>
        </w:tabs>
        <w:ind w:right="1436"/>
        <w:jc w:val="both"/>
      </w:pPr>
      <w:r>
        <w:t>costs</w:t>
      </w:r>
      <w:r>
        <w:rPr>
          <w:spacing w:val="-10"/>
        </w:rPr>
        <w:t xml:space="preserve"> </w:t>
      </w:r>
      <w:r>
        <w:t>arising</w:t>
      </w:r>
      <w:r>
        <w:rPr>
          <w:spacing w:val="-11"/>
        </w:rPr>
        <w:t xml:space="preserve"> </w:t>
      </w:r>
      <w:r>
        <w:t>directly</w:t>
      </w:r>
      <w:r>
        <w:rPr>
          <w:spacing w:val="-10"/>
        </w:rPr>
        <w:t xml:space="preserve"> </w:t>
      </w:r>
      <w:r>
        <w:t>from</w:t>
      </w:r>
      <w:r>
        <w:rPr>
          <w:spacing w:val="-9"/>
        </w:rPr>
        <w:t xml:space="preserve"> </w:t>
      </w:r>
      <w:r>
        <w:t>requirements</w:t>
      </w:r>
      <w:r>
        <w:rPr>
          <w:spacing w:val="-8"/>
        </w:rPr>
        <w:t xml:space="preserve"> </w:t>
      </w:r>
      <w:r>
        <w:t>imposed</w:t>
      </w:r>
      <w:r>
        <w:rPr>
          <w:spacing w:val="-11"/>
        </w:rPr>
        <w:t xml:space="preserve"> </w:t>
      </w:r>
      <w:r>
        <w:t>by</w:t>
      </w:r>
      <w:r>
        <w:rPr>
          <w:spacing w:val="-11"/>
        </w:rPr>
        <w:t xml:space="preserve"> </w:t>
      </w:r>
      <w:r>
        <w:t>the</w:t>
      </w:r>
      <w:r>
        <w:rPr>
          <w:spacing w:val="-10"/>
        </w:rPr>
        <w:t xml:space="preserve"> </w:t>
      </w:r>
      <w:r>
        <w:t>Agreement</w:t>
      </w:r>
      <w:r>
        <w:rPr>
          <w:spacing w:val="-9"/>
        </w:rPr>
        <w:t xml:space="preserve"> </w:t>
      </w:r>
      <w:r>
        <w:t>(dissemination of information, specific evaluation of the project, audits, translations, reproduction, etc.…)</w:t>
      </w:r>
    </w:p>
    <w:p w14:paraId="2A79D294" w14:textId="77777777" w:rsidR="00D757DA" w:rsidRDefault="00D757DA">
      <w:pPr>
        <w:pStyle w:val="Zkladntext"/>
        <w:spacing w:before="10"/>
        <w:rPr>
          <w:sz w:val="20"/>
        </w:rPr>
      </w:pPr>
    </w:p>
    <w:p w14:paraId="1E903715" w14:textId="77777777" w:rsidR="00D757DA" w:rsidRDefault="0033254E">
      <w:pPr>
        <w:pStyle w:val="Odstavecseseznamem"/>
        <w:numPr>
          <w:ilvl w:val="1"/>
          <w:numId w:val="40"/>
        </w:numPr>
        <w:tabs>
          <w:tab w:val="left" w:pos="841"/>
        </w:tabs>
        <w:ind w:right="1440" w:firstLine="0"/>
        <w:jc w:val="both"/>
      </w:pPr>
      <w:r>
        <w:t>An Execution Report is to be submitted via the online tool provided by the IPO to the EUIPO giving a clear description of the work done in accordance with the terms included in the corresponding Annex</w:t>
      </w:r>
      <w:r>
        <w:rPr>
          <w:spacing w:val="-5"/>
        </w:rPr>
        <w:t xml:space="preserve"> </w:t>
      </w:r>
      <w:r>
        <w:t>III.</w:t>
      </w:r>
    </w:p>
    <w:p w14:paraId="1D9DE6C4" w14:textId="77777777" w:rsidR="00D757DA" w:rsidRDefault="00D757DA">
      <w:pPr>
        <w:pStyle w:val="Zkladntext"/>
        <w:spacing w:before="10"/>
        <w:rPr>
          <w:sz w:val="20"/>
        </w:rPr>
      </w:pPr>
    </w:p>
    <w:p w14:paraId="4DAAA147" w14:textId="77777777" w:rsidR="00D757DA" w:rsidRDefault="0033254E">
      <w:pPr>
        <w:pStyle w:val="Odstavecseseznamem"/>
        <w:numPr>
          <w:ilvl w:val="1"/>
          <w:numId w:val="40"/>
        </w:numPr>
        <w:tabs>
          <w:tab w:val="left" w:pos="841"/>
        </w:tabs>
        <w:ind w:right="1436" w:firstLine="0"/>
        <w:jc w:val="both"/>
      </w:pPr>
      <w:r>
        <w:t>Documentary proof that the work described in the report has been executed as reported (internal costs should be documented with time sheets and external costs justified with invoices) is required with the Execution</w:t>
      </w:r>
      <w:r>
        <w:rPr>
          <w:spacing w:val="-8"/>
        </w:rPr>
        <w:t xml:space="preserve"> </w:t>
      </w:r>
      <w:r>
        <w:t>Report.</w:t>
      </w:r>
    </w:p>
    <w:p w14:paraId="25FA03DA" w14:textId="77777777" w:rsidR="00D757DA" w:rsidRDefault="00D757DA">
      <w:pPr>
        <w:pStyle w:val="Zkladntext"/>
        <w:spacing w:before="9"/>
        <w:rPr>
          <w:sz w:val="20"/>
        </w:rPr>
      </w:pPr>
    </w:p>
    <w:p w14:paraId="03727A9F" w14:textId="77777777" w:rsidR="00D757DA" w:rsidRDefault="0033254E">
      <w:pPr>
        <w:pStyle w:val="Odstavecseseznamem"/>
        <w:numPr>
          <w:ilvl w:val="1"/>
          <w:numId w:val="40"/>
        </w:numPr>
        <w:tabs>
          <w:tab w:val="left" w:pos="841"/>
        </w:tabs>
        <w:ind w:right="1440" w:firstLine="0"/>
        <w:jc w:val="both"/>
      </w:pPr>
      <w:r>
        <w:t>The IPO shall submit to the EUIPO a request for payment in Euros. This request for payment shall specify the details of the costs incurred and clearly relate them in conformity with the budget presented in the corresponding Annex</w:t>
      </w:r>
      <w:r>
        <w:rPr>
          <w:spacing w:val="-9"/>
        </w:rPr>
        <w:t xml:space="preserve"> </w:t>
      </w:r>
      <w:r>
        <w:t>III.</w:t>
      </w:r>
    </w:p>
    <w:p w14:paraId="59D6D09F" w14:textId="77777777" w:rsidR="00D757DA" w:rsidRDefault="00D757DA">
      <w:pPr>
        <w:pStyle w:val="Zkladntext"/>
        <w:spacing w:before="10"/>
        <w:rPr>
          <w:sz w:val="20"/>
        </w:rPr>
      </w:pPr>
    </w:p>
    <w:p w14:paraId="210E39B5" w14:textId="77777777" w:rsidR="00D757DA" w:rsidRDefault="0033254E">
      <w:pPr>
        <w:pStyle w:val="Odstavecseseznamem"/>
        <w:numPr>
          <w:ilvl w:val="1"/>
          <w:numId w:val="40"/>
        </w:numPr>
        <w:tabs>
          <w:tab w:val="left" w:pos="841"/>
        </w:tabs>
        <w:ind w:right="1438" w:firstLine="0"/>
        <w:jc w:val="both"/>
      </w:pPr>
      <w:r>
        <w:t>The payment request shall specify the concept of payment, the beneficiary, the amount, the date of issuing the request and the bank</w:t>
      </w:r>
      <w:r>
        <w:rPr>
          <w:spacing w:val="-9"/>
        </w:rPr>
        <w:t xml:space="preserve"> </w:t>
      </w:r>
      <w:r>
        <w:t>details.</w:t>
      </w:r>
    </w:p>
    <w:p w14:paraId="39C89558" w14:textId="77777777" w:rsidR="00D757DA" w:rsidRDefault="00D757DA">
      <w:pPr>
        <w:pStyle w:val="Zkladntext"/>
        <w:spacing w:before="11"/>
        <w:rPr>
          <w:sz w:val="20"/>
        </w:rPr>
      </w:pPr>
    </w:p>
    <w:p w14:paraId="5F161A79" w14:textId="77777777" w:rsidR="00D757DA" w:rsidRDefault="0033254E">
      <w:pPr>
        <w:pStyle w:val="Odstavecseseznamem"/>
        <w:numPr>
          <w:ilvl w:val="1"/>
          <w:numId w:val="40"/>
        </w:numPr>
        <w:tabs>
          <w:tab w:val="left" w:pos="841"/>
        </w:tabs>
        <w:ind w:right="1435" w:firstLine="0"/>
        <w:jc w:val="both"/>
      </w:pPr>
      <w:r>
        <w:t>Within 30 calendar days following the approval of the Execution Report and claim for payment, a payment representing the amount determined in accordance with the provisions of Article 20 General Conditions is made to a bank account designated by the IPO. This payment</w:t>
      </w:r>
      <w:r>
        <w:rPr>
          <w:spacing w:val="-15"/>
        </w:rPr>
        <w:t xml:space="preserve"> </w:t>
      </w:r>
      <w:r>
        <w:t>period</w:t>
      </w:r>
      <w:r>
        <w:rPr>
          <w:spacing w:val="-15"/>
        </w:rPr>
        <w:t xml:space="preserve"> </w:t>
      </w:r>
      <w:r>
        <w:t>can</w:t>
      </w:r>
      <w:r>
        <w:rPr>
          <w:spacing w:val="-14"/>
        </w:rPr>
        <w:t xml:space="preserve"> </w:t>
      </w:r>
      <w:r>
        <w:t>be</w:t>
      </w:r>
      <w:r>
        <w:rPr>
          <w:spacing w:val="-16"/>
        </w:rPr>
        <w:t xml:space="preserve"> </w:t>
      </w:r>
      <w:r>
        <w:t>suspended</w:t>
      </w:r>
      <w:r>
        <w:rPr>
          <w:spacing w:val="-14"/>
        </w:rPr>
        <w:t xml:space="preserve"> </w:t>
      </w:r>
      <w:r>
        <w:t>by</w:t>
      </w:r>
      <w:r>
        <w:rPr>
          <w:spacing w:val="-14"/>
        </w:rPr>
        <w:t xml:space="preserve"> </w:t>
      </w:r>
      <w:r>
        <w:t>the</w:t>
      </w:r>
      <w:r>
        <w:rPr>
          <w:spacing w:val="-16"/>
        </w:rPr>
        <w:t xml:space="preserve"> </w:t>
      </w:r>
      <w:r>
        <w:t>EUIPO</w:t>
      </w:r>
      <w:r>
        <w:rPr>
          <w:spacing w:val="-15"/>
        </w:rPr>
        <w:t xml:space="preserve"> </w:t>
      </w:r>
      <w:r>
        <w:t>in</w:t>
      </w:r>
      <w:r>
        <w:rPr>
          <w:spacing w:val="-14"/>
        </w:rPr>
        <w:t xml:space="preserve"> </w:t>
      </w:r>
      <w:r>
        <w:t>accordance</w:t>
      </w:r>
      <w:r>
        <w:rPr>
          <w:spacing w:val="-16"/>
        </w:rPr>
        <w:t xml:space="preserve"> </w:t>
      </w:r>
      <w:r>
        <w:t>with</w:t>
      </w:r>
      <w:r>
        <w:rPr>
          <w:spacing w:val="-14"/>
        </w:rPr>
        <w:t xml:space="preserve"> </w:t>
      </w:r>
      <w:r>
        <w:t>the</w:t>
      </w:r>
      <w:r>
        <w:rPr>
          <w:spacing w:val="-14"/>
        </w:rPr>
        <w:t xml:space="preserve"> </w:t>
      </w:r>
      <w:r>
        <w:t>procedure</w:t>
      </w:r>
      <w:r>
        <w:rPr>
          <w:spacing w:val="-16"/>
        </w:rPr>
        <w:t xml:space="preserve"> </w:t>
      </w:r>
      <w:r>
        <w:t>mentioned in Article</w:t>
      </w:r>
      <w:r>
        <w:rPr>
          <w:spacing w:val="-1"/>
        </w:rPr>
        <w:t xml:space="preserve"> </w:t>
      </w:r>
      <w:r>
        <w:t>19</w:t>
      </w:r>
    </w:p>
    <w:p w14:paraId="6E027510" w14:textId="77777777" w:rsidR="00D757DA" w:rsidRDefault="00D757DA">
      <w:pPr>
        <w:pStyle w:val="Zkladntext"/>
        <w:spacing w:before="10"/>
        <w:rPr>
          <w:sz w:val="20"/>
        </w:rPr>
      </w:pPr>
    </w:p>
    <w:p w14:paraId="6F51D03C" w14:textId="77777777" w:rsidR="00D757DA" w:rsidRDefault="0033254E">
      <w:pPr>
        <w:pStyle w:val="Odstavecseseznamem"/>
        <w:numPr>
          <w:ilvl w:val="1"/>
          <w:numId w:val="40"/>
        </w:numPr>
        <w:tabs>
          <w:tab w:val="left" w:pos="841"/>
        </w:tabs>
        <w:ind w:right="1439" w:firstLine="0"/>
        <w:jc w:val="both"/>
      </w:pPr>
      <w:r>
        <w:t xml:space="preserve">One copy of the Execution Report and claim for payment as referred to in Article 21 General Conditions </w:t>
      </w:r>
      <w:proofErr w:type="gramStart"/>
      <w:r>
        <w:t>have to</w:t>
      </w:r>
      <w:proofErr w:type="gramEnd"/>
      <w:r>
        <w:t xml:space="preserve"> be provided in any of the five languages of the EUIPO (English, Spanish, French, German or Italian) by the following</w:t>
      </w:r>
      <w:r>
        <w:rPr>
          <w:spacing w:val="-8"/>
        </w:rPr>
        <w:t xml:space="preserve"> </w:t>
      </w:r>
      <w:r>
        <w:t>deadlines:</w:t>
      </w:r>
    </w:p>
    <w:p w14:paraId="30AE7D84" w14:textId="77777777" w:rsidR="00D757DA" w:rsidRDefault="00D757DA">
      <w:pPr>
        <w:jc w:val="both"/>
        <w:sectPr w:rsidR="00D757DA">
          <w:pgSz w:w="11910" w:h="16840"/>
          <w:pgMar w:top="1340" w:right="0" w:bottom="1160" w:left="1320" w:header="0" w:footer="881" w:gutter="0"/>
          <w:cols w:space="708"/>
        </w:sectPr>
      </w:pPr>
    </w:p>
    <w:p w14:paraId="31120433" w14:textId="77777777" w:rsidR="00D757DA" w:rsidRDefault="0033254E">
      <w:pPr>
        <w:pStyle w:val="Odstavecseseznamem"/>
        <w:numPr>
          <w:ilvl w:val="2"/>
          <w:numId w:val="40"/>
        </w:numPr>
        <w:tabs>
          <w:tab w:val="left" w:pos="1254"/>
        </w:tabs>
        <w:spacing w:before="81"/>
        <w:ind w:left="1253" w:right="1436" w:hanging="425"/>
        <w:jc w:val="both"/>
      </w:pPr>
      <w:r>
        <w:lastRenderedPageBreak/>
        <w:t>Execution Report within 30 calendar days following the expiration date of the eligibility period as indicated in Article 4.2 Special Conditions of the present Agreement,</w:t>
      </w:r>
      <w:r>
        <w:rPr>
          <w:spacing w:val="-2"/>
        </w:rPr>
        <w:t xml:space="preserve"> </w:t>
      </w:r>
      <w:r>
        <w:t>or</w:t>
      </w:r>
    </w:p>
    <w:p w14:paraId="1B37EACD" w14:textId="77777777" w:rsidR="00D757DA" w:rsidRDefault="00D757DA">
      <w:pPr>
        <w:pStyle w:val="Zkladntext"/>
        <w:spacing w:before="10"/>
        <w:rPr>
          <w:sz w:val="20"/>
        </w:rPr>
      </w:pPr>
    </w:p>
    <w:p w14:paraId="4B377EE2" w14:textId="77777777" w:rsidR="00D757DA" w:rsidRDefault="0033254E">
      <w:pPr>
        <w:pStyle w:val="Odstavecseseznamem"/>
        <w:numPr>
          <w:ilvl w:val="2"/>
          <w:numId w:val="40"/>
        </w:numPr>
        <w:tabs>
          <w:tab w:val="left" w:pos="1253"/>
          <w:tab w:val="left" w:pos="1254"/>
        </w:tabs>
        <w:ind w:left="1253" w:hanging="426"/>
      </w:pPr>
      <w:r>
        <w:t>Execution Report within 30 calendar days following the completion date(s) of</w:t>
      </w:r>
      <w:r>
        <w:rPr>
          <w:spacing w:val="56"/>
        </w:rPr>
        <w:t xml:space="preserve"> </w:t>
      </w:r>
      <w:r>
        <w:t>the</w:t>
      </w:r>
    </w:p>
    <w:p w14:paraId="2B0B77B9" w14:textId="77777777" w:rsidR="00D757DA" w:rsidRDefault="0033254E">
      <w:pPr>
        <w:pStyle w:val="Zkladntext"/>
        <w:spacing w:before="2"/>
        <w:ind w:left="1253"/>
      </w:pPr>
      <w:r>
        <w:t>IPO’s obligations for the considered project, or</w:t>
      </w:r>
    </w:p>
    <w:p w14:paraId="71FCC2F4" w14:textId="77777777" w:rsidR="00D757DA" w:rsidRDefault="00D757DA">
      <w:pPr>
        <w:pStyle w:val="Zkladntext"/>
        <w:spacing w:before="8"/>
        <w:rPr>
          <w:sz w:val="20"/>
        </w:rPr>
      </w:pPr>
    </w:p>
    <w:p w14:paraId="08D0072D" w14:textId="77777777" w:rsidR="00D757DA" w:rsidRDefault="0033254E">
      <w:pPr>
        <w:pStyle w:val="Odstavecseseznamem"/>
        <w:numPr>
          <w:ilvl w:val="2"/>
          <w:numId w:val="40"/>
        </w:numPr>
        <w:tabs>
          <w:tab w:val="left" w:pos="1254"/>
        </w:tabs>
        <w:spacing w:before="1"/>
        <w:ind w:left="1253" w:right="1436" w:hanging="425"/>
        <w:jc w:val="both"/>
      </w:pPr>
      <w:r>
        <w:t>Interim Execution Report related to any project on reaching a milestone earlier agreed</w:t>
      </w:r>
      <w:r>
        <w:rPr>
          <w:spacing w:val="-7"/>
        </w:rPr>
        <w:t xml:space="preserve"> </w:t>
      </w:r>
      <w:r>
        <w:t>with</w:t>
      </w:r>
      <w:r>
        <w:rPr>
          <w:spacing w:val="-7"/>
        </w:rPr>
        <w:t xml:space="preserve"> </w:t>
      </w:r>
      <w:r>
        <w:t>the</w:t>
      </w:r>
      <w:r>
        <w:rPr>
          <w:spacing w:val="-7"/>
        </w:rPr>
        <w:t xml:space="preserve"> </w:t>
      </w:r>
      <w:r>
        <w:t>EUIPO</w:t>
      </w:r>
      <w:r>
        <w:rPr>
          <w:spacing w:val="-6"/>
        </w:rPr>
        <w:t xml:space="preserve"> </w:t>
      </w:r>
      <w:r>
        <w:t>by</w:t>
      </w:r>
      <w:r>
        <w:rPr>
          <w:spacing w:val="-7"/>
        </w:rPr>
        <w:t xml:space="preserve"> </w:t>
      </w:r>
      <w:r>
        <w:t>the</w:t>
      </w:r>
      <w:r>
        <w:rPr>
          <w:spacing w:val="-7"/>
        </w:rPr>
        <w:t xml:space="preserve"> </w:t>
      </w:r>
      <w:r>
        <w:t>deadline</w:t>
      </w:r>
      <w:r>
        <w:rPr>
          <w:spacing w:val="-5"/>
        </w:rPr>
        <w:t xml:space="preserve"> </w:t>
      </w:r>
      <w:r>
        <w:t>as</w:t>
      </w:r>
      <w:r>
        <w:rPr>
          <w:spacing w:val="-7"/>
        </w:rPr>
        <w:t xml:space="preserve"> </w:t>
      </w:r>
      <w:r>
        <w:t>specified</w:t>
      </w:r>
      <w:r>
        <w:rPr>
          <w:spacing w:val="-5"/>
        </w:rPr>
        <w:t xml:space="preserve"> </w:t>
      </w:r>
      <w:r>
        <w:t>in</w:t>
      </w:r>
      <w:r>
        <w:rPr>
          <w:spacing w:val="-6"/>
        </w:rPr>
        <w:t xml:space="preserve"> </w:t>
      </w:r>
      <w:r>
        <w:t>the</w:t>
      </w:r>
      <w:r>
        <w:rPr>
          <w:spacing w:val="-8"/>
        </w:rPr>
        <w:t xml:space="preserve"> </w:t>
      </w:r>
      <w:r>
        <w:t>project</w:t>
      </w:r>
      <w:r>
        <w:rPr>
          <w:spacing w:val="-6"/>
        </w:rPr>
        <w:t xml:space="preserve"> </w:t>
      </w:r>
      <w:r>
        <w:t>specification,</w:t>
      </w:r>
      <w:r>
        <w:rPr>
          <w:spacing w:val="-5"/>
        </w:rPr>
        <w:t xml:space="preserve"> </w:t>
      </w:r>
      <w:r>
        <w:t>or</w:t>
      </w:r>
    </w:p>
    <w:p w14:paraId="2FAFF8A1" w14:textId="77777777" w:rsidR="00D757DA" w:rsidRDefault="00D757DA">
      <w:pPr>
        <w:pStyle w:val="Zkladntext"/>
        <w:spacing w:before="10"/>
        <w:rPr>
          <w:sz w:val="20"/>
        </w:rPr>
      </w:pPr>
    </w:p>
    <w:p w14:paraId="0CE20392" w14:textId="77777777" w:rsidR="00D757DA" w:rsidRDefault="0033254E">
      <w:pPr>
        <w:pStyle w:val="Odstavecseseznamem"/>
        <w:numPr>
          <w:ilvl w:val="2"/>
          <w:numId w:val="40"/>
        </w:numPr>
        <w:tabs>
          <w:tab w:val="left" w:pos="1253"/>
          <w:tab w:val="left" w:pos="1254"/>
        </w:tabs>
        <w:ind w:left="1253" w:hanging="426"/>
      </w:pPr>
      <w:r>
        <w:t>Final Execution Report by 31 January of the following</w:t>
      </w:r>
      <w:r>
        <w:rPr>
          <w:spacing w:val="-6"/>
        </w:rPr>
        <w:t xml:space="preserve"> </w:t>
      </w:r>
      <w:r>
        <w:t>year.</w:t>
      </w:r>
    </w:p>
    <w:p w14:paraId="55AFABAA" w14:textId="77777777" w:rsidR="00D757DA" w:rsidRDefault="00D757DA">
      <w:pPr>
        <w:pStyle w:val="Zkladntext"/>
        <w:spacing w:before="9"/>
        <w:rPr>
          <w:sz w:val="20"/>
        </w:rPr>
      </w:pPr>
    </w:p>
    <w:p w14:paraId="4F59785E" w14:textId="77777777" w:rsidR="00D757DA" w:rsidRDefault="0033254E">
      <w:pPr>
        <w:pStyle w:val="Odstavecseseznamem"/>
        <w:numPr>
          <w:ilvl w:val="1"/>
          <w:numId w:val="40"/>
        </w:numPr>
        <w:tabs>
          <w:tab w:val="left" w:pos="841"/>
        </w:tabs>
        <w:ind w:right="1433" w:firstLine="0"/>
        <w:jc w:val="both"/>
      </w:pPr>
      <w:r>
        <w:t xml:space="preserve">These deadlines may be exceptionally derogated upon written request to the </w:t>
      </w:r>
      <w:proofErr w:type="spellStart"/>
      <w:r>
        <w:t>Authorising</w:t>
      </w:r>
      <w:proofErr w:type="spellEnd"/>
      <w:r>
        <w:rPr>
          <w:spacing w:val="-17"/>
        </w:rPr>
        <w:t xml:space="preserve"> </w:t>
      </w:r>
      <w:r>
        <w:t>Officer.</w:t>
      </w:r>
      <w:r>
        <w:rPr>
          <w:spacing w:val="-16"/>
        </w:rPr>
        <w:t xml:space="preserve"> </w:t>
      </w:r>
      <w:r>
        <w:t>Derogation</w:t>
      </w:r>
      <w:r>
        <w:rPr>
          <w:spacing w:val="-17"/>
        </w:rPr>
        <w:t xml:space="preserve"> </w:t>
      </w:r>
      <w:r>
        <w:t>shall</w:t>
      </w:r>
      <w:r>
        <w:rPr>
          <w:spacing w:val="-17"/>
        </w:rPr>
        <w:t xml:space="preserve"> </w:t>
      </w:r>
      <w:r>
        <w:t>be</w:t>
      </w:r>
      <w:r>
        <w:rPr>
          <w:spacing w:val="-17"/>
        </w:rPr>
        <w:t xml:space="preserve"> </w:t>
      </w:r>
      <w:r>
        <w:t>reported</w:t>
      </w:r>
      <w:r>
        <w:rPr>
          <w:spacing w:val="-19"/>
        </w:rPr>
        <w:t xml:space="preserve"> </w:t>
      </w:r>
      <w:r>
        <w:t>to</w:t>
      </w:r>
      <w:r>
        <w:rPr>
          <w:spacing w:val="-17"/>
        </w:rPr>
        <w:t xml:space="preserve"> </w:t>
      </w:r>
      <w:r>
        <w:t>the</w:t>
      </w:r>
      <w:r>
        <w:rPr>
          <w:spacing w:val="-17"/>
        </w:rPr>
        <w:t xml:space="preserve"> </w:t>
      </w:r>
      <w:r>
        <w:t>Management</w:t>
      </w:r>
      <w:r>
        <w:rPr>
          <w:spacing w:val="-15"/>
        </w:rPr>
        <w:t xml:space="preserve"> </w:t>
      </w:r>
      <w:r>
        <w:t>Board.</w:t>
      </w:r>
      <w:r>
        <w:rPr>
          <w:spacing w:val="-16"/>
        </w:rPr>
        <w:t xml:space="preserve"> </w:t>
      </w:r>
      <w:r>
        <w:t>Non-received</w:t>
      </w:r>
      <w:r>
        <w:rPr>
          <w:spacing w:val="-17"/>
        </w:rPr>
        <w:t xml:space="preserve"> </w:t>
      </w:r>
      <w:r>
        <w:t>and non-derogated reports shall be considered</w:t>
      </w:r>
      <w:r>
        <w:rPr>
          <w:spacing w:val="-6"/>
        </w:rPr>
        <w:t xml:space="preserve"> </w:t>
      </w:r>
      <w:r>
        <w:t>invalid.</w:t>
      </w:r>
    </w:p>
    <w:p w14:paraId="366B7F4C" w14:textId="77777777" w:rsidR="00D757DA" w:rsidRDefault="00D757DA">
      <w:pPr>
        <w:pStyle w:val="Zkladntext"/>
        <w:spacing w:before="10"/>
        <w:rPr>
          <w:sz w:val="20"/>
        </w:rPr>
      </w:pPr>
    </w:p>
    <w:p w14:paraId="54FF5595" w14:textId="77777777" w:rsidR="00D757DA" w:rsidRDefault="0033254E">
      <w:pPr>
        <w:pStyle w:val="Odstavecseseznamem"/>
        <w:numPr>
          <w:ilvl w:val="1"/>
          <w:numId w:val="40"/>
        </w:numPr>
        <w:tabs>
          <w:tab w:val="left" w:pos="841"/>
        </w:tabs>
        <w:ind w:right="1434" w:firstLine="0"/>
        <w:jc w:val="both"/>
      </w:pPr>
      <w:r>
        <w:t>Upon receipt of the claim for payment, accompanied by the Execution Report, the EUIPO shall have 30 calendar days to approve or reject the Execution Report using the services of an Evaluation Committee, or to require any supporting document or additional information, in accordance with the procedure mentioned in Article 23 General Conditions. If necessary, the IPO has 30 calendar days as from the date of the request of the EUIPO to submit the additional information or a new</w:t>
      </w:r>
      <w:r>
        <w:rPr>
          <w:spacing w:val="-10"/>
        </w:rPr>
        <w:t xml:space="preserve"> </w:t>
      </w:r>
      <w:r>
        <w:t>report.</w:t>
      </w:r>
    </w:p>
    <w:p w14:paraId="62832033" w14:textId="77777777" w:rsidR="00D757DA" w:rsidRDefault="00D757DA">
      <w:pPr>
        <w:pStyle w:val="Zkladntext"/>
        <w:rPr>
          <w:sz w:val="21"/>
        </w:rPr>
      </w:pPr>
    </w:p>
    <w:p w14:paraId="5B773405" w14:textId="77777777" w:rsidR="00D757DA" w:rsidRDefault="0033254E">
      <w:pPr>
        <w:pStyle w:val="Odstavecseseznamem"/>
        <w:numPr>
          <w:ilvl w:val="1"/>
          <w:numId w:val="40"/>
        </w:numPr>
        <w:tabs>
          <w:tab w:val="left" w:pos="841"/>
        </w:tabs>
        <w:ind w:right="1432" w:firstLine="0"/>
        <w:jc w:val="both"/>
      </w:pPr>
      <w:r>
        <w:t>In</w:t>
      </w:r>
      <w:r>
        <w:rPr>
          <w:spacing w:val="-5"/>
        </w:rPr>
        <w:t xml:space="preserve"> </w:t>
      </w:r>
      <w:r>
        <w:t>the</w:t>
      </w:r>
      <w:r>
        <w:rPr>
          <w:spacing w:val="-4"/>
        </w:rPr>
        <w:t xml:space="preserve"> </w:t>
      </w:r>
      <w:r>
        <w:t>event</w:t>
      </w:r>
      <w:r>
        <w:rPr>
          <w:spacing w:val="-3"/>
        </w:rPr>
        <w:t xml:space="preserve"> </w:t>
      </w:r>
      <w:r>
        <w:t>of</w:t>
      </w:r>
      <w:r>
        <w:rPr>
          <w:spacing w:val="-3"/>
        </w:rPr>
        <w:t xml:space="preserve"> </w:t>
      </w:r>
      <w:r>
        <w:t>termination</w:t>
      </w:r>
      <w:r>
        <w:rPr>
          <w:spacing w:val="-4"/>
        </w:rPr>
        <w:t xml:space="preserve"> </w:t>
      </w:r>
      <w:r>
        <w:t>of</w:t>
      </w:r>
      <w:r>
        <w:rPr>
          <w:spacing w:val="-3"/>
        </w:rPr>
        <w:t xml:space="preserve"> </w:t>
      </w:r>
      <w:r>
        <w:t>the</w:t>
      </w:r>
      <w:r>
        <w:rPr>
          <w:spacing w:val="-7"/>
        </w:rPr>
        <w:t xml:space="preserve"> </w:t>
      </w:r>
      <w:r>
        <w:t>Agreement</w:t>
      </w:r>
      <w:r>
        <w:rPr>
          <w:spacing w:val="-3"/>
        </w:rPr>
        <w:t xml:space="preserve"> </w:t>
      </w:r>
      <w:r>
        <w:t>by</w:t>
      </w:r>
      <w:r>
        <w:rPr>
          <w:spacing w:val="-6"/>
        </w:rPr>
        <w:t xml:space="preserve"> </w:t>
      </w:r>
      <w:r>
        <w:t>IPO,</w:t>
      </w:r>
      <w:r>
        <w:rPr>
          <w:spacing w:val="-3"/>
        </w:rPr>
        <w:t xml:space="preserve"> </w:t>
      </w:r>
      <w:r>
        <w:t>payments</w:t>
      </w:r>
      <w:r>
        <w:rPr>
          <w:spacing w:val="-4"/>
        </w:rPr>
        <w:t xml:space="preserve"> </w:t>
      </w:r>
      <w:r>
        <w:t>by</w:t>
      </w:r>
      <w:r>
        <w:rPr>
          <w:spacing w:val="-6"/>
        </w:rPr>
        <w:t xml:space="preserve"> </w:t>
      </w:r>
      <w:r>
        <w:t>the</w:t>
      </w:r>
      <w:r>
        <w:rPr>
          <w:spacing w:val="-4"/>
        </w:rPr>
        <w:t xml:space="preserve"> </w:t>
      </w:r>
      <w:r>
        <w:t>EUIPO</w:t>
      </w:r>
      <w:r>
        <w:rPr>
          <w:spacing w:val="-3"/>
        </w:rPr>
        <w:t xml:space="preserve"> </w:t>
      </w:r>
      <w:r>
        <w:t>shall</w:t>
      </w:r>
      <w:r>
        <w:rPr>
          <w:spacing w:val="-5"/>
        </w:rPr>
        <w:t xml:space="preserve"> </w:t>
      </w:r>
      <w:r>
        <w:t>be limited</w:t>
      </w:r>
      <w:r>
        <w:rPr>
          <w:spacing w:val="-5"/>
        </w:rPr>
        <w:t xml:space="preserve"> </w:t>
      </w:r>
      <w:r>
        <w:t>to</w:t>
      </w:r>
      <w:r>
        <w:rPr>
          <w:spacing w:val="-6"/>
        </w:rPr>
        <w:t xml:space="preserve"> </w:t>
      </w:r>
      <w:r>
        <w:t>the</w:t>
      </w:r>
      <w:r>
        <w:rPr>
          <w:spacing w:val="-7"/>
        </w:rPr>
        <w:t xml:space="preserve"> </w:t>
      </w:r>
      <w:r>
        <w:t>eligible</w:t>
      </w:r>
      <w:r>
        <w:rPr>
          <w:spacing w:val="-4"/>
        </w:rPr>
        <w:t xml:space="preserve"> </w:t>
      </w:r>
      <w:r>
        <w:t>costs</w:t>
      </w:r>
      <w:r>
        <w:rPr>
          <w:spacing w:val="-3"/>
        </w:rPr>
        <w:t xml:space="preserve"> </w:t>
      </w:r>
      <w:r>
        <w:t>actually</w:t>
      </w:r>
      <w:r>
        <w:rPr>
          <w:spacing w:val="-4"/>
        </w:rPr>
        <w:t xml:space="preserve"> </w:t>
      </w:r>
      <w:r>
        <w:t>incurred</w:t>
      </w:r>
      <w:r>
        <w:rPr>
          <w:spacing w:val="-7"/>
        </w:rPr>
        <w:t xml:space="preserve"> </w:t>
      </w:r>
      <w:r>
        <w:t>by</w:t>
      </w:r>
      <w:r>
        <w:rPr>
          <w:spacing w:val="-6"/>
        </w:rPr>
        <w:t xml:space="preserve"> </w:t>
      </w:r>
      <w:r>
        <w:t>the</w:t>
      </w:r>
      <w:r>
        <w:rPr>
          <w:spacing w:val="-7"/>
        </w:rPr>
        <w:t xml:space="preserve"> </w:t>
      </w:r>
      <w:r>
        <w:t>IPO</w:t>
      </w:r>
      <w:r>
        <w:rPr>
          <w:spacing w:val="-3"/>
        </w:rPr>
        <w:t xml:space="preserve"> </w:t>
      </w:r>
      <w:r>
        <w:t>up</w:t>
      </w:r>
      <w:r>
        <w:rPr>
          <w:spacing w:val="-7"/>
        </w:rPr>
        <w:t xml:space="preserve"> </w:t>
      </w:r>
      <w:r>
        <w:t>to</w:t>
      </w:r>
      <w:r>
        <w:rPr>
          <w:spacing w:val="-6"/>
        </w:rPr>
        <w:t xml:space="preserve"> </w:t>
      </w:r>
      <w:r>
        <w:t>the</w:t>
      </w:r>
      <w:r>
        <w:rPr>
          <w:spacing w:val="-7"/>
        </w:rPr>
        <w:t xml:space="preserve"> </w:t>
      </w:r>
      <w:r>
        <w:t>date</w:t>
      </w:r>
      <w:r>
        <w:rPr>
          <w:spacing w:val="-6"/>
        </w:rPr>
        <w:t xml:space="preserve"> </w:t>
      </w:r>
      <w:r>
        <w:t>when</w:t>
      </w:r>
      <w:r>
        <w:rPr>
          <w:spacing w:val="-4"/>
        </w:rPr>
        <w:t xml:space="preserve"> </w:t>
      </w:r>
      <w:r>
        <w:t>termination</w:t>
      </w:r>
      <w:r>
        <w:rPr>
          <w:spacing w:val="-7"/>
        </w:rPr>
        <w:t xml:space="preserve"> </w:t>
      </w:r>
      <w:r>
        <w:t xml:space="preserve">takes effect. Costs relating to current commitments that are not due to be executed until after termination shall not be </w:t>
      </w:r>
      <w:proofErr w:type="gramStart"/>
      <w:r>
        <w:t>taken into</w:t>
      </w:r>
      <w:r>
        <w:rPr>
          <w:spacing w:val="-2"/>
        </w:rPr>
        <w:t xml:space="preserve"> </w:t>
      </w:r>
      <w:r>
        <w:t>account</w:t>
      </w:r>
      <w:proofErr w:type="gramEnd"/>
      <w:r>
        <w:t>.</w:t>
      </w:r>
    </w:p>
    <w:p w14:paraId="07138873" w14:textId="77777777" w:rsidR="00D757DA" w:rsidRDefault="00D757DA">
      <w:pPr>
        <w:pStyle w:val="Zkladntext"/>
        <w:rPr>
          <w:sz w:val="21"/>
        </w:rPr>
      </w:pPr>
    </w:p>
    <w:p w14:paraId="13665515" w14:textId="77777777" w:rsidR="00D757DA" w:rsidRDefault="0033254E">
      <w:pPr>
        <w:pStyle w:val="Odstavecseseznamem"/>
        <w:numPr>
          <w:ilvl w:val="1"/>
          <w:numId w:val="40"/>
        </w:numPr>
        <w:tabs>
          <w:tab w:val="left" w:pos="841"/>
        </w:tabs>
        <w:ind w:right="1431" w:firstLine="0"/>
        <w:jc w:val="both"/>
      </w:pPr>
      <w:r>
        <w:t>The</w:t>
      </w:r>
      <w:r>
        <w:rPr>
          <w:spacing w:val="-14"/>
        </w:rPr>
        <w:t xml:space="preserve"> </w:t>
      </w:r>
      <w:r>
        <w:t>IPO</w:t>
      </w:r>
      <w:r>
        <w:rPr>
          <w:spacing w:val="-15"/>
        </w:rPr>
        <w:t xml:space="preserve"> </w:t>
      </w:r>
      <w:r>
        <w:t>shall</w:t>
      </w:r>
      <w:r>
        <w:rPr>
          <w:spacing w:val="-14"/>
        </w:rPr>
        <w:t xml:space="preserve"> </w:t>
      </w:r>
      <w:r>
        <w:t>have</w:t>
      </w:r>
      <w:r>
        <w:rPr>
          <w:spacing w:val="-13"/>
        </w:rPr>
        <w:t xml:space="preserve"> </w:t>
      </w:r>
      <w:r>
        <w:t>two</w:t>
      </w:r>
      <w:r>
        <w:rPr>
          <w:spacing w:val="-16"/>
        </w:rPr>
        <w:t xml:space="preserve"> </w:t>
      </w:r>
      <w:r>
        <w:t>months</w:t>
      </w:r>
      <w:r>
        <w:rPr>
          <w:spacing w:val="-16"/>
        </w:rPr>
        <w:t xml:space="preserve"> </w:t>
      </w:r>
      <w:r>
        <w:t>from</w:t>
      </w:r>
      <w:r>
        <w:rPr>
          <w:spacing w:val="-15"/>
        </w:rPr>
        <w:t xml:space="preserve"> </w:t>
      </w:r>
      <w:r>
        <w:t>the</w:t>
      </w:r>
      <w:r>
        <w:rPr>
          <w:spacing w:val="-14"/>
        </w:rPr>
        <w:t xml:space="preserve"> </w:t>
      </w:r>
      <w:r>
        <w:t>date</w:t>
      </w:r>
      <w:r>
        <w:rPr>
          <w:spacing w:val="-14"/>
        </w:rPr>
        <w:t xml:space="preserve"> </w:t>
      </w:r>
      <w:r>
        <w:t>when</w:t>
      </w:r>
      <w:r>
        <w:rPr>
          <w:spacing w:val="-14"/>
        </w:rPr>
        <w:t xml:space="preserve"> </w:t>
      </w:r>
      <w:r>
        <w:t>termination</w:t>
      </w:r>
      <w:r>
        <w:rPr>
          <w:spacing w:val="-14"/>
        </w:rPr>
        <w:t xml:space="preserve"> </w:t>
      </w:r>
      <w:r>
        <w:t>takes</w:t>
      </w:r>
      <w:r>
        <w:rPr>
          <w:spacing w:val="-13"/>
        </w:rPr>
        <w:t xml:space="preserve"> </w:t>
      </w:r>
      <w:r>
        <w:t>effect,</w:t>
      </w:r>
      <w:r>
        <w:rPr>
          <w:spacing w:val="-12"/>
        </w:rPr>
        <w:t xml:space="preserve"> </w:t>
      </w:r>
      <w:r>
        <w:t>as</w:t>
      </w:r>
      <w:r>
        <w:rPr>
          <w:spacing w:val="-13"/>
        </w:rPr>
        <w:t xml:space="preserve"> </w:t>
      </w:r>
      <w:r>
        <w:t>notified by the EUIPO, to produce a request for final payment. Should the termination take effect on the expiration date of the Agreement, at the end of the current year, the IPO must send a provisional report with a financial statement of the expenses incurred, before January 15 of the following year. If no request for final payment is received within this time limit, the EUIPO shall not reimburse the expenditure incurred by the IPO up to the date of termination and it shall</w:t>
      </w:r>
      <w:r>
        <w:rPr>
          <w:spacing w:val="-8"/>
        </w:rPr>
        <w:t xml:space="preserve"> </w:t>
      </w:r>
      <w:r>
        <w:t>recover</w:t>
      </w:r>
      <w:r>
        <w:rPr>
          <w:spacing w:val="-9"/>
        </w:rPr>
        <w:t xml:space="preserve"> </w:t>
      </w:r>
      <w:r>
        <w:t>any</w:t>
      </w:r>
      <w:r>
        <w:rPr>
          <w:spacing w:val="-8"/>
        </w:rPr>
        <w:t xml:space="preserve"> </w:t>
      </w:r>
      <w:r>
        <w:t>amount</w:t>
      </w:r>
      <w:r>
        <w:rPr>
          <w:spacing w:val="-8"/>
        </w:rPr>
        <w:t xml:space="preserve"> </w:t>
      </w:r>
      <w:r>
        <w:t>if</w:t>
      </w:r>
      <w:r>
        <w:rPr>
          <w:spacing w:val="-6"/>
        </w:rPr>
        <w:t xml:space="preserve"> </w:t>
      </w:r>
      <w:r>
        <w:t>its</w:t>
      </w:r>
      <w:r>
        <w:rPr>
          <w:spacing w:val="-6"/>
        </w:rPr>
        <w:t xml:space="preserve"> </w:t>
      </w:r>
      <w:r>
        <w:t>use</w:t>
      </w:r>
      <w:r>
        <w:rPr>
          <w:spacing w:val="-10"/>
        </w:rPr>
        <w:t xml:space="preserve"> </w:t>
      </w:r>
      <w:r>
        <w:t>i</w:t>
      </w:r>
      <w:r>
        <w:t>s</w:t>
      </w:r>
      <w:r>
        <w:rPr>
          <w:spacing w:val="-7"/>
        </w:rPr>
        <w:t xml:space="preserve"> </w:t>
      </w:r>
      <w:r>
        <w:t>not</w:t>
      </w:r>
      <w:r>
        <w:rPr>
          <w:spacing w:val="-5"/>
        </w:rPr>
        <w:t xml:space="preserve"> </w:t>
      </w:r>
      <w:r>
        <w:t>substantiated</w:t>
      </w:r>
      <w:r>
        <w:rPr>
          <w:spacing w:val="-7"/>
        </w:rPr>
        <w:t xml:space="preserve"> </w:t>
      </w:r>
      <w:r>
        <w:t>by</w:t>
      </w:r>
      <w:r>
        <w:rPr>
          <w:spacing w:val="-10"/>
        </w:rPr>
        <w:t xml:space="preserve"> </w:t>
      </w:r>
      <w:r>
        <w:t>the</w:t>
      </w:r>
      <w:r>
        <w:rPr>
          <w:spacing w:val="-9"/>
        </w:rPr>
        <w:t xml:space="preserve"> </w:t>
      </w:r>
      <w:r>
        <w:t>Execution</w:t>
      </w:r>
      <w:r>
        <w:rPr>
          <w:spacing w:val="-8"/>
        </w:rPr>
        <w:t xml:space="preserve"> </w:t>
      </w:r>
      <w:r>
        <w:t>Reports</w:t>
      </w:r>
      <w:r>
        <w:rPr>
          <w:spacing w:val="-8"/>
        </w:rPr>
        <w:t xml:space="preserve"> </w:t>
      </w:r>
      <w:r>
        <w:t>and</w:t>
      </w:r>
      <w:r>
        <w:rPr>
          <w:spacing w:val="-10"/>
        </w:rPr>
        <w:t xml:space="preserve"> </w:t>
      </w:r>
      <w:r>
        <w:t>financial statements approved by the</w:t>
      </w:r>
      <w:r>
        <w:rPr>
          <w:spacing w:val="-2"/>
        </w:rPr>
        <w:t xml:space="preserve"> </w:t>
      </w:r>
      <w:r>
        <w:t>EUIPO.</w:t>
      </w:r>
    </w:p>
    <w:p w14:paraId="57DACE09" w14:textId="77777777" w:rsidR="00D757DA" w:rsidRDefault="00D757DA">
      <w:pPr>
        <w:pStyle w:val="Zkladntext"/>
        <w:spacing w:before="9"/>
        <w:rPr>
          <w:sz w:val="20"/>
        </w:rPr>
      </w:pPr>
    </w:p>
    <w:p w14:paraId="001F0D15" w14:textId="77777777" w:rsidR="00D757DA" w:rsidRDefault="0033254E">
      <w:pPr>
        <w:pStyle w:val="Odstavecseseznamem"/>
        <w:numPr>
          <w:ilvl w:val="1"/>
          <w:numId w:val="40"/>
        </w:numPr>
        <w:tabs>
          <w:tab w:val="left" w:pos="829"/>
        </w:tabs>
        <w:ind w:right="1435" w:firstLine="0"/>
        <w:jc w:val="both"/>
      </w:pPr>
      <w:r>
        <w:t>In</w:t>
      </w:r>
      <w:r>
        <w:rPr>
          <w:spacing w:val="-6"/>
        </w:rPr>
        <w:t xml:space="preserve"> </w:t>
      </w:r>
      <w:r>
        <w:t>the</w:t>
      </w:r>
      <w:r>
        <w:rPr>
          <w:spacing w:val="-7"/>
        </w:rPr>
        <w:t xml:space="preserve"> </w:t>
      </w:r>
      <w:r>
        <w:t>event</w:t>
      </w:r>
      <w:r>
        <w:rPr>
          <w:spacing w:val="-5"/>
        </w:rPr>
        <w:t xml:space="preserve"> </w:t>
      </w:r>
      <w:r>
        <w:t>of</w:t>
      </w:r>
      <w:r>
        <w:rPr>
          <w:spacing w:val="-4"/>
        </w:rPr>
        <w:t xml:space="preserve"> </w:t>
      </w:r>
      <w:r>
        <w:t>improper</w:t>
      </w:r>
      <w:r>
        <w:rPr>
          <w:spacing w:val="-8"/>
        </w:rPr>
        <w:t xml:space="preserve"> </w:t>
      </w:r>
      <w:r>
        <w:t>termination</w:t>
      </w:r>
      <w:r>
        <w:rPr>
          <w:spacing w:val="-6"/>
        </w:rPr>
        <w:t xml:space="preserve"> </w:t>
      </w:r>
      <w:r>
        <w:t>by</w:t>
      </w:r>
      <w:r>
        <w:rPr>
          <w:spacing w:val="-9"/>
        </w:rPr>
        <w:t xml:space="preserve"> </w:t>
      </w:r>
      <w:r>
        <w:t>the</w:t>
      </w:r>
      <w:r>
        <w:rPr>
          <w:spacing w:val="-9"/>
        </w:rPr>
        <w:t xml:space="preserve"> </w:t>
      </w:r>
      <w:r>
        <w:t>IPO,</w:t>
      </w:r>
      <w:r>
        <w:rPr>
          <w:spacing w:val="-4"/>
        </w:rPr>
        <w:t xml:space="preserve"> </w:t>
      </w:r>
      <w:r>
        <w:t>the</w:t>
      </w:r>
      <w:r>
        <w:rPr>
          <w:spacing w:val="-6"/>
        </w:rPr>
        <w:t xml:space="preserve"> </w:t>
      </w:r>
      <w:r>
        <w:t>EUIPO</w:t>
      </w:r>
      <w:r>
        <w:rPr>
          <w:spacing w:val="-5"/>
        </w:rPr>
        <w:t xml:space="preserve"> </w:t>
      </w:r>
      <w:r>
        <w:t>has</w:t>
      </w:r>
      <w:r>
        <w:rPr>
          <w:spacing w:val="-7"/>
        </w:rPr>
        <w:t xml:space="preserve"> </w:t>
      </w:r>
      <w:r>
        <w:t>the</w:t>
      </w:r>
      <w:r>
        <w:rPr>
          <w:spacing w:val="-7"/>
        </w:rPr>
        <w:t xml:space="preserve"> </w:t>
      </w:r>
      <w:r>
        <w:t>right</w:t>
      </w:r>
      <w:r>
        <w:rPr>
          <w:spacing w:val="-7"/>
        </w:rPr>
        <w:t xml:space="preserve"> </w:t>
      </w:r>
      <w:r>
        <w:t>to</w:t>
      </w:r>
      <w:r>
        <w:rPr>
          <w:spacing w:val="-8"/>
        </w:rPr>
        <w:t xml:space="preserve"> </w:t>
      </w:r>
      <w:r>
        <w:t>require</w:t>
      </w:r>
      <w:r>
        <w:rPr>
          <w:spacing w:val="-6"/>
        </w:rPr>
        <w:t xml:space="preserve"> </w:t>
      </w:r>
      <w:r>
        <w:t xml:space="preserve">the partial or total repayment of sums already paid under the Agreement </w:t>
      </w:r>
      <w:proofErr w:type="gramStart"/>
      <w:r>
        <w:t>on the basis of</w:t>
      </w:r>
      <w:proofErr w:type="gramEnd"/>
      <w:r>
        <w:t xml:space="preserve"> the Execution</w:t>
      </w:r>
      <w:r>
        <w:rPr>
          <w:spacing w:val="-15"/>
        </w:rPr>
        <w:t xml:space="preserve"> </w:t>
      </w:r>
      <w:r>
        <w:t>Report</w:t>
      </w:r>
      <w:r>
        <w:rPr>
          <w:spacing w:val="-16"/>
        </w:rPr>
        <w:t xml:space="preserve"> </w:t>
      </w:r>
      <w:r>
        <w:t>approved</w:t>
      </w:r>
      <w:r>
        <w:rPr>
          <w:spacing w:val="-14"/>
        </w:rPr>
        <w:t xml:space="preserve"> </w:t>
      </w:r>
      <w:r>
        <w:t>by</w:t>
      </w:r>
      <w:r>
        <w:rPr>
          <w:spacing w:val="-19"/>
        </w:rPr>
        <w:t xml:space="preserve"> </w:t>
      </w:r>
      <w:r>
        <w:t>the</w:t>
      </w:r>
      <w:r>
        <w:rPr>
          <w:spacing w:val="-17"/>
        </w:rPr>
        <w:t xml:space="preserve"> </w:t>
      </w:r>
      <w:r>
        <w:t>EUIPO,</w:t>
      </w:r>
      <w:r>
        <w:rPr>
          <w:spacing w:val="-15"/>
        </w:rPr>
        <w:t xml:space="preserve"> </w:t>
      </w:r>
      <w:r>
        <w:t>in</w:t>
      </w:r>
      <w:r>
        <w:rPr>
          <w:spacing w:val="-15"/>
        </w:rPr>
        <w:t xml:space="preserve"> </w:t>
      </w:r>
      <w:r>
        <w:t>proportion</w:t>
      </w:r>
      <w:r>
        <w:rPr>
          <w:spacing w:val="-16"/>
        </w:rPr>
        <w:t xml:space="preserve"> </w:t>
      </w:r>
      <w:r>
        <w:t>to</w:t>
      </w:r>
      <w:r>
        <w:rPr>
          <w:spacing w:val="-19"/>
        </w:rPr>
        <w:t xml:space="preserve"> </w:t>
      </w:r>
      <w:r>
        <w:t>the</w:t>
      </w:r>
      <w:r>
        <w:rPr>
          <w:spacing w:val="-17"/>
        </w:rPr>
        <w:t xml:space="preserve"> </w:t>
      </w:r>
      <w:r>
        <w:t>gravity</w:t>
      </w:r>
      <w:r>
        <w:rPr>
          <w:spacing w:val="-16"/>
        </w:rPr>
        <w:t xml:space="preserve"> </w:t>
      </w:r>
      <w:r>
        <w:t>of</w:t>
      </w:r>
      <w:r>
        <w:rPr>
          <w:spacing w:val="-18"/>
        </w:rPr>
        <w:t xml:space="preserve"> </w:t>
      </w:r>
      <w:r>
        <w:t>the</w:t>
      </w:r>
      <w:r>
        <w:rPr>
          <w:spacing w:val="-16"/>
        </w:rPr>
        <w:t xml:space="preserve"> </w:t>
      </w:r>
      <w:r>
        <w:t>failings</w:t>
      </w:r>
      <w:r>
        <w:rPr>
          <w:spacing w:val="-17"/>
        </w:rPr>
        <w:t xml:space="preserve"> </w:t>
      </w:r>
      <w:r>
        <w:t>in</w:t>
      </w:r>
      <w:r>
        <w:rPr>
          <w:spacing w:val="-14"/>
        </w:rPr>
        <w:t xml:space="preserve"> </w:t>
      </w:r>
      <w:r>
        <w:t>question and after allowing the IPO to submit its</w:t>
      </w:r>
      <w:r>
        <w:rPr>
          <w:spacing w:val="-9"/>
        </w:rPr>
        <w:t xml:space="preserve"> </w:t>
      </w:r>
      <w:r>
        <w:t>observations.</w:t>
      </w:r>
    </w:p>
    <w:p w14:paraId="4245A1FD" w14:textId="77777777" w:rsidR="00D757DA" w:rsidRDefault="00D757DA">
      <w:pPr>
        <w:pStyle w:val="Zkladntext"/>
        <w:spacing w:before="9"/>
        <w:rPr>
          <w:sz w:val="20"/>
        </w:rPr>
      </w:pPr>
    </w:p>
    <w:p w14:paraId="04644C12" w14:textId="77777777" w:rsidR="00D757DA" w:rsidRDefault="0033254E">
      <w:pPr>
        <w:pStyle w:val="Odstavecseseznamem"/>
        <w:numPr>
          <w:ilvl w:val="1"/>
          <w:numId w:val="40"/>
        </w:numPr>
        <w:tabs>
          <w:tab w:val="left" w:pos="841"/>
        </w:tabs>
        <w:ind w:right="1438" w:firstLine="0"/>
        <w:jc w:val="both"/>
      </w:pPr>
      <w:r>
        <w:t>When</w:t>
      </w:r>
      <w:r>
        <w:rPr>
          <w:spacing w:val="-13"/>
        </w:rPr>
        <w:t xml:space="preserve"> </w:t>
      </w:r>
      <w:r>
        <w:t>the</w:t>
      </w:r>
      <w:r>
        <w:rPr>
          <w:spacing w:val="-13"/>
        </w:rPr>
        <w:t xml:space="preserve"> </w:t>
      </w:r>
      <w:r>
        <w:t>termination</w:t>
      </w:r>
      <w:r>
        <w:rPr>
          <w:spacing w:val="-10"/>
        </w:rPr>
        <w:t xml:space="preserve"> </w:t>
      </w:r>
      <w:r>
        <w:t>procedure</w:t>
      </w:r>
      <w:r>
        <w:rPr>
          <w:spacing w:val="-9"/>
        </w:rPr>
        <w:t xml:space="preserve"> </w:t>
      </w:r>
      <w:r>
        <w:t>is</w:t>
      </w:r>
      <w:r>
        <w:rPr>
          <w:spacing w:val="-12"/>
        </w:rPr>
        <w:t xml:space="preserve"> </w:t>
      </w:r>
      <w:r>
        <w:t>over,</w:t>
      </w:r>
      <w:r>
        <w:rPr>
          <w:spacing w:val="-11"/>
        </w:rPr>
        <w:t xml:space="preserve"> </w:t>
      </w:r>
      <w:r>
        <w:t>the</w:t>
      </w:r>
      <w:r>
        <w:rPr>
          <w:spacing w:val="-13"/>
        </w:rPr>
        <w:t xml:space="preserve"> </w:t>
      </w:r>
      <w:r>
        <w:t>EUIPO</w:t>
      </w:r>
      <w:r>
        <w:rPr>
          <w:spacing w:val="-8"/>
        </w:rPr>
        <w:t xml:space="preserve"> </w:t>
      </w:r>
      <w:r>
        <w:t>will</w:t>
      </w:r>
      <w:r>
        <w:rPr>
          <w:spacing w:val="-11"/>
        </w:rPr>
        <w:t xml:space="preserve"> </w:t>
      </w:r>
      <w:r>
        <w:t>no</w:t>
      </w:r>
      <w:r>
        <w:rPr>
          <w:spacing w:val="-10"/>
        </w:rPr>
        <w:t xml:space="preserve"> </w:t>
      </w:r>
      <w:r>
        <w:t>longer</w:t>
      </w:r>
      <w:r>
        <w:rPr>
          <w:spacing w:val="-11"/>
        </w:rPr>
        <w:t xml:space="preserve"> </w:t>
      </w:r>
      <w:r>
        <w:t>accept</w:t>
      </w:r>
      <w:r>
        <w:rPr>
          <w:spacing w:val="-8"/>
        </w:rPr>
        <w:t xml:space="preserve"> </w:t>
      </w:r>
      <w:r>
        <w:t>any</w:t>
      </w:r>
      <w:r>
        <w:rPr>
          <w:spacing w:val="-10"/>
        </w:rPr>
        <w:t xml:space="preserve"> </w:t>
      </w:r>
      <w:r>
        <w:t>payment obligation or any liability for the payment of services rendered by third parties to the IPO for the</w:t>
      </w:r>
      <w:r>
        <w:rPr>
          <w:spacing w:val="-1"/>
        </w:rPr>
        <w:t xml:space="preserve"> </w:t>
      </w:r>
      <w:r>
        <w:t>project.</w:t>
      </w:r>
    </w:p>
    <w:p w14:paraId="16C6F248" w14:textId="77777777" w:rsidR="00D757DA" w:rsidRDefault="00D757DA">
      <w:pPr>
        <w:pStyle w:val="Zkladntext"/>
        <w:spacing w:before="1"/>
        <w:rPr>
          <w:sz w:val="21"/>
        </w:rPr>
      </w:pPr>
    </w:p>
    <w:p w14:paraId="69498048" w14:textId="77777777" w:rsidR="00D757DA" w:rsidRDefault="0033254E">
      <w:pPr>
        <w:pStyle w:val="Odstavecseseznamem"/>
        <w:numPr>
          <w:ilvl w:val="1"/>
          <w:numId w:val="40"/>
        </w:numPr>
        <w:tabs>
          <w:tab w:val="left" w:pos="829"/>
        </w:tabs>
        <w:ind w:right="1434" w:firstLine="0"/>
        <w:jc w:val="both"/>
      </w:pPr>
      <w:r>
        <w:t>In the event of termination of the Agreement by the EUIPO, payments by the EUIPO shall be limited to the eligible costs actually incurred by the IPO up to the date when termination takes effect, in accordance with Article 20 General Conditions. Costs relating to current</w:t>
      </w:r>
      <w:r>
        <w:rPr>
          <w:spacing w:val="-4"/>
        </w:rPr>
        <w:t xml:space="preserve"> </w:t>
      </w:r>
      <w:r>
        <w:t>commitments</w:t>
      </w:r>
      <w:r>
        <w:rPr>
          <w:spacing w:val="-7"/>
        </w:rPr>
        <w:t xml:space="preserve"> </w:t>
      </w:r>
      <w:r>
        <w:t>that</w:t>
      </w:r>
      <w:r>
        <w:rPr>
          <w:spacing w:val="-3"/>
        </w:rPr>
        <w:t xml:space="preserve"> </w:t>
      </w:r>
      <w:r>
        <w:t>are</w:t>
      </w:r>
      <w:r>
        <w:rPr>
          <w:spacing w:val="-5"/>
        </w:rPr>
        <w:t xml:space="preserve"> </w:t>
      </w:r>
      <w:r>
        <w:t>not</w:t>
      </w:r>
      <w:r>
        <w:rPr>
          <w:spacing w:val="-3"/>
        </w:rPr>
        <w:t xml:space="preserve"> </w:t>
      </w:r>
      <w:r>
        <w:t>due</w:t>
      </w:r>
      <w:r>
        <w:rPr>
          <w:spacing w:val="-7"/>
        </w:rPr>
        <w:t xml:space="preserve"> </w:t>
      </w:r>
      <w:r>
        <w:t>to</w:t>
      </w:r>
      <w:r>
        <w:rPr>
          <w:spacing w:val="-6"/>
        </w:rPr>
        <w:t xml:space="preserve"> </w:t>
      </w:r>
      <w:r>
        <w:t>be</w:t>
      </w:r>
      <w:r>
        <w:rPr>
          <w:spacing w:val="-5"/>
        </w:rPr>
        <w:t xml:space="preserve"> </w:t>
      </w:r>
      <w:r>
        <w:t>executed</w:t>
      </w:r>
      <w:r>
        <w:rPr>
          <w:spacing w:val="-4"/>
        </w:rPr>
        <w:t xml:space="preserve"> </w:t>
      </w:r>
      <w:r>
        <w:t>until</w:t>
      </w:r>
      <w:r>
        <w:rPr>
          <w:spacing w:val="-6"/>
        </w:rPr>
        <w:t xml:space="preserve"> </w:t>
      </w:r>
      <w:r>
        <w:t>after</w:t>
      </w:r>
      <w:r>
        <w:rPr>
          <w:spacing w:val="-6"/>
        </w:rPr>
        <w:t xml:space="preserve"> </w:t>
      </w:r>
      <w:r>
        <w:t>termination</w:t>
      </w:r>
      <w:r>
        <w:rPr>
          <w:spacing w:val="-8"/>
        </w:rPr>
        <w:t xml:space="preserve"> </w:t>
      </w:r>
      <w:r>
        <w:t>shall</w:t>
      </w:r>
      <w:r>
        <w:rPr>
          <w:spacing w:val="-5"/>
        </w:rPr>
        <w:t xml:space="preserve"> </w:t>
      </w:r>
      <w:r>
        <w:t>not</w:t>
      </w:r>
      <w:r>
        <w:rPr>
          <w:spacing w:val="-6"/>
        </w:rPr>
        <w:t xml:space="preserve"> </w:t>
      </w:r>
      <w:r>
        <w:t>be</w:t>
      </w:r>
      <w:r>
        <w:rPr>
          <w:spacing w:val="-7"/>
        </w:rPr>
        <w:t xml:space="preserve"> </w:t>
      </w:r>
      <w:proofErr w:type="gramStart"/>
      <w:r>
        <w:t>taken into account</w:t>
      </w:r>
      <w:proofErr w:type="gramEnd"/>
      <w:r>
        <w:t>.</w:t>
      </w:r>
    </w:p>
    <w:p w14:paraId="43CB38FA" w14:textId="77777777" w:rsidR="00D757DA" w:rsidRDefault="00D757DA">
      <w:pPr>
        <w:jc w:val="both"/>
        <w:sectPr w:rsidR="00D757DA">
          <w:pgSz w:w="11910" w:h="16840"/>
          <w:pgMar w:top="1340" w:right="0" w:bottom="1160" w:left="1320" w:header="0" w:footer="881" w:gutter="0"/>
          <w:cols w:space="708"/>
        </w:sectPr>
      </w:pPr>
    </w:p>
    <w:p w14:paraId="66559B18" w14:textId="77777777" w:rsidR="00D757DA" w:rsidRDefault="0033254E">
      <w:pPr>
        <w:pStyle w:val="Nadpis3"/>
        <w:spacing w:before="81"/>
      </w:pPr>
      <w:bookmarkStart w:id="36" w:name="ARTICLE_28_–_EUROPEAN_COOPERATION_ACTIVI"/>
      <w:bookmarkEnd w:id="36"/>
      <w:r>
        <w:lastRenderedPageBreak/>
        <w:t>ARTICLE 28 – EUROPEAN COOPERATION ACTIVITIES</w:t>
      </w:r>
    </w:p>
    <w:p w14:paraId="7D2BE479" w14:textId="77777777" w:rsidR="00D757DA" w:rsidRDefault="00D757DA">
      <w:pPr>
        <w:pStyle w:val="Zkladntext"/>
        <w:spacing w:before="10"/>
        <w:rPr>
          <w:b/>
          <w:sz w:val="20"/>
        </w:rPr>
      </w:pPr>
    </w:p>
    <w:p w14:paraId="17E8E05C" w14:textId="77777777" w:rsidR="00D757DA" w:rsidRDefault="0033254E">
      <w:pPr>
        <w:pStyle w:val="Zkladntext"/>
        <w:ind w:left="120" w:right="1430"/>
        <w:jc w:val="both"/>
      </w:pPr>
      <w:r>
        <w:t>The</w:t>
      </w:r>
      <w:r>
        <w:rPr>
          <w:spacing w:val="-6"/>
        </w:rPr>
        <w:t xml:space="preserve"> </w:t>
      </w:r>
      <w:r>
        <w:t>EUIPO</w:t>
      </w:r>
      <w:r>
        <w:rPr>
          <w:spacing w:val="-5"/>
        </w:rPr>
        <w:t xml:space="preserve"> </w:t>
      </w:r>
      <w:r>
        <w:t>shall</w:t>
      </w:r>
      <w:r>
        <w:rPr>
          <w:spacing w:val="-8"/>
        </w:rPr>
        <w:t xml:space="preserve"> </w:t>
      </w:r>
      <w:r>
        <w:t>pay</w:t>
      </w:r>
      <w:r>
        <w:rPr>
          <w:spacing w:val="-8"/>
        </w:rPr>
        <w:t xml:space="preserve"> </w:t>
      </w:r>
      <w:r>
        <w:t>to</w:t>
      </w:r>
      <w:r>
        <w:rPr>
          <w:spacing w:val="-8"/>
        </w:rPr>
        <w:t xml:space="preserve"> </w:t>
      </w:r>
      <w:r>
        <w:t>the</w:t>
      </w:r>
      <w:r>
        <w:rPr>
          <w:spacing w:val="-7"/>
        </w:rPr>
        <w:t xml:space="preserve"> </w:t>
      </w:r>
      <w:r>
        <w:t>IPO</w:t>
      </w:r>
      <w:r>
        <w:rPr>
          <w:spacing w:val="-7"/>
        </w:rPr>
        <w:t xml:space="preserve"> </w:t>
      </w:r>
      <w:r>
        <w:t>a</w:t>
      </w:r>
      <w:r>
        <w:rPr>
          <w:spacing w:val="-5"/>
        </w:rPr>
        <w:t xml:space="preserve"> </w:t>
      </w:r>
      <w:r>
        <w:t>lump</w:t>
      </w:r>
      <w:r>
        <w:rPr>
          <w:spacing w:val="-9"/>
        </w:rPr>
        <w:t xml:space="preserve"> </w:t>
      </w:r>
      <w:r>
        <w:t>sum</w:t>
      </w:r>
      <w:r>
        <w:rPr>
          <w:spacing w:val="-7"/>
        </w:rPr>
        <w:t xml:space="preserve"> </w:t>
      </w:r>
      <w:r>
        <w:t>based</w:t>
      </w:r>
      <w:r>
        <w:rPr>
          <w:spacing w:val="-6"/>
        </w:rPr>
        <w:t xml:space="preserve"> </w:t>
      </w:r>
      <w:r>
        <w:t>on</w:t>
      </w:r>
      <w:r>
        <w:rPr>
          <w:spacing w:val="-7"/>
        </w:rPr>
        <w:t xml:space="preserve"> </w:t>
      </w:r>
      <w:r>
        <w:t>person</w:t>
      </w:r>
      <w:r>
        <w:rPr>
          <w:spacing w:val="-8"/>
        </w:rPr>
        <w:t xml:space="preserve"> </w:t>
      </w:r>
      <w:r>
        <w:t>days,</w:t>
      </w:r>
      <w:r>
        <w:rPr>
          <w:spacing w:val="-7"/>
        </w:rPr>
        <w:t xml:space="preserve"> </w:t>
      </w:r>
      <w:r>
        <w:t>for</w:t>
      </w:r>
      <w:r>
        <w:rPr>
          <w:spacing w:val="-7"/>
        </w:rPr>
        <w:t xml:space="preserve"> </w:t>
      </w:r>
      <w:r>
        <w:t>the</w:t>
      </w:r>
      <w:r>
        <w:rPr>
          <w:spacing w:val="-9"/>
        </w:rPr>
        <w:t xml:space="preserve"> </w:t>
      </w:r>
      <w:r>
        <w:t>participation</w:t>
      </w:r>
      <w:r>
        <w:rPr>
          <w:spacing w:val="-4"/>
        </w:rPr>
        <w:t xml:space="preserve"> </w:t>
      </w:r>
      <w:r>
        <w:t>in</w:t>
      </w:r>
      <w:r>
        <w:rPr>
          <w:spacing w:val="-9"/>
        </w:rPr>
        <w:t xml:space="preserve"> </w:t>
      </w:r>
      <w:r>
        <w:t>the virtual communities for collaboration, language check activity, sustainability of EU practices, case</w:t>
      </w:r>
      <w:r>
        <w:rPr>
          <w:spacing w:val="-17"/>
        </w:rPr>
        <w:t xml:space="preserve"> </w:t>
      </w:r>
      <w:r>
        <w:t>law</w:t>
      </w:r>
      <w:r>
        <w:rPr>
          <w:spacing w:val="-18"/>
        </w:rPr>
        <w:t xml:space="preserve"> </w:t>
      </w:r>
      <w:r>
        <w:t>project</w:t>
      </w:r>
      <w:r>
        <w:rPr>
          <w:spacing w:val="-16"/>
        </w:rPr>
        <w:t xml:space="preserve"> </w:t>
      </w:r>
      <w:r>
        <w:t>and</w:t>
      </w:r>
      <w:r>
        <w:rPr>
          <w:spacing w:val="-17"/>
        </w:rPr>
        <w:t xml:space="preserve"> </w:t>
      </w:r>
      <w:r>
        <w:t>e-search</w:t>
      </w:r>
      <w:r>
        <w:rPr>
          <w:spacing w:val="-16"/>
        </w:rPr>
        <w:t xml:space="preserve"> </w:t>
      </w:r>
      <w:r>
        <w:t>Case</w:t>
      </w:r>
      <w:r>
        <w:rPr>
          <w:spacing w:val="-20"/>
        </w:rPr>
        <w:t xml:space="preserve"> </w:t>
      </w:r>
      <w:r>
        <w:t>Law</w:t>
      </w:r>
      <w:r>
        <w:rPr>
          <w:spacing w:val="-17"/>
        </w:rPr>
        <w:t xml:space="preserve"> </w:t>
      </w:r>
      <w:r>
        <w:t>pursuant</w:t>
      </w:r>
      <w:r>
        <w:rPr>
          <w:spacing w:val="-17"/>
        </w:rPr>
        <w:t xml:space="preserve"> </w:t>
      </w:r>
      <w:r>
        <w:t>to</w:t>
      </w:r>
      <w:r>
        <w:rPr>
          <w:spacing w:val="-17"/>
        </w:rPr>
        <w:t xml:space="preserve"> </w:t>
      </w:r>
      <w:r>
        <w:t>the</w:t>
      </w:r>
      <w:r>
        <w:rPr>
          <w:spacing w:val="-19"/>
        </w:rPr>
        <w:t xml:space="preserve"> </w:t>
      </w:r>
      <w:r>
        <w:t>Annex</w:t>
      </w:r>
      <w:r>
        <w:rPr>
          <w:spacing w:val="-19"/>
        </w:rPr>
        <w:t xml:space="preserve"> </w:t>
      </w:r>
      <w:r>
        <w:t>III.</w:t>
      </w:r>
      <w:r>
        <w:rPr>
          <w:spacing w:val="-15"/>
        </w:rPr>
        <w:t xml:space="preserve"> </w:t>
      </w:r>
      <w:r>
        <w:t>The</w:t>
      </w:r>
      <w:r>
        <w:rPr>
          <w:spacing w:val="-22"/>
        </w:rPr>
        <w:t xml:space="preserve"> </w:t>
      </w:r>
      <w:r>
        <w:t>method</w:t>
      </w:r>
      <w:r>
        <w:rPr>
          <w:spacing w:val="-16"/>
        </w:rPr>
        <w:t xml:space="preserve"> </w:t>
      </w:r>
      <w:r>
        <w:t>for</w:t>
      </w:r>
      <w:r>
        <w:rPr>
          <w:spacing w:val="-16"/>
        </w:rPr>
        <w:t xml:space="preserve"> </w:t>
      </w:r>
      <w:r>
        <w:t>determining the</w:t>
      </w:r>
      <w:r>
        <w:rPr>
          <w:spacing w:val="-8"/>
        </w:rPr>
        <w:t xml:space="preserve"> </w:t>
      </w:r>
      <w:r>
        <w:t>lump</w:t>
      </w:r>
      <w:r>
        <w:rPr>
          <w:spacing w:val="-6"/>
        </w:rPr>
        <w:t xml:space="preserve"> </w:t>
      </w:r>
      <w:r>
        <w:t>sum</w:t>
      </w:r>
      <w:r>
        <w:rPr>
          <w:spacing w:val="-5"/>
        </w:rPr>
        <w:t xml:space="preserve"> </w:t>
      </w:r>
      <w:r>
        <w:t>amount</w:t>
      </w:r>
      <w:r>
        <w:rPr>
          <w:spacing w:val="-5"/>
        </w:rPr>
        <w:t xml:space="preserve"> </w:t>
      </w:r>
      <w:r>
        <w:t>is</w:t>
      </w:r>
      <w:r>
        <w:rPr>
          <w:spacing w:val="-8"/>
        </w:rPr>
        <w:t xml:space="preserve"> </w:t>
      </w:r>
      <w:r>
        <w:t>based</w:t>
      </w:r>
      <w:r>
        <w:rPr>
          <w:spacing w:val="-7"/>
        </w:rPr>
        <w:t xml:space="preserve"> </w:t>
      </w:r>
      <w:r>
        <w:t>on</w:t>
      </w:r>
      <w:r>
        <w:rPr>
          <w:spacing w:val="-6"/>
        </w:rPr>
        <w:t xml:space="preserve"> </w:t>
      </w:r>
      <w:r>
        <w:t>ADM-25-40.</w:t>
      </w:r>
      <w:r>
        <w:rPr>
          <w:spacing w:val="-5"/>
        </w:rPr>
        <w:t xml:space="preserve"> </w:t>
      </w:r>
      <w:r>
        <w:t>The</w:t>
      </w:r>
      <w:r>
        <w:rPr>
          <w:spacing w:val="-7"/>
        </w:rPr>
        <w:t xml:space="preserve"> </w:t>
      </w:r>
      <w:r>
        <w:t>number</w:t>
      </w:r>
      <w:r>
        <w:rPr>
          <w:spacing w:val="-5"/>
        </w:rPr>
        <w:t xml:space="preserve"> </w:t>
      </w:r>
      <w:r>
        <w:t>of</w:t>
      </w:r>
      <w:r>
        <w:rPr>
          <w:spacing w:val="-6"/>
        </w:rPr>
        <w:t xml:space="preserve"> </w:t>
      </w:r>
      <w:r>
        <w:t>person</w:t>
      </w:r>
      <w:r>
        <w:rPr>
          <w:spacing w:val="-7"/>
        </w:rPr>
        <w:t xml:space="preserve"> </w:t>
      </w:r>
      <w:r>
        <w:t>days</w:t>
      </w:r>
      <w:r>
        <w:rPr>
          <w:spacing w:val="-6"/>
        </w:rPr>
        <w:t xml:space="preserve"> </w:t>
      </w:r>
      <w:r>
        <w:t>per</w:t>
      </w:r>
      <w:r>
        <w:rPr>
          <w:spacing w:val="-5"/>
        </w:rPr>
        <w:t xml:space="preserve"> </w:t>
      </w:r>
      <w:r>
        <w:t>activity</w:t>
      </w:r>
      <w:r>
        <w:rPr>
          <w:spacing w:val="-6"/>
        </w:rPr>
        <w:t xml:space="preserve"> </w:t>
      </w:r>
      <w:r>
        <w:t>will</w:t>
      </w:r>
      <w:r>
        <w:rPr>
          <w:spacing w:val="-7"/>
        </w:rPr>
        <w:t xml:space="preserve"> </w:t>
      </w:r>
      <w:r>
        <w:t>be proportional to the effort required and the determination of the amount will be based on available</w:t>
      </w:r>
      <w:r>
        <w:rPr>
          <w:spacing w:val="-9"/>
        </w:rPr>
        <w:t xml:space="preserve"> </w:t>
      </w:r>
      <w:r>
        <w:t>historical</w:t>
      </w:r>
      <w:r>
        <w:rPr>
          <w:spacing w:val="-12"/>
        </w:rPr>
        <w:t xml:space="preserve"> </w:t>
      </w:r>
      <w:r>
        <w:t>financial</w:t>
      </w:r>
      <w:r>
        <w:rPr>
          <w:spacing w:val="-9"/>
        </w:rPr>
        <w:t xml:space="preserve"> </w:t>
      </w:r>
      <w:r>
        <w:t>data</w:t>
      </w:r>
      <w:r>
        <w:rPr>
          <w:spacing w:val="-11"/>
        </w:rPr>
        <w:t xml:space="preserve"> </w:t>
      </w:r>
      <w:r>
        <w:t>existing</w:t>
      </w:r>
      <w:r>
        <w:rPr>
          <w:spacing w:val="-13"/>
        </w:rPr>
        <w:t xml:space="preserve"> </w:t>
      </w:r>
      <w:r>
        <w:t>for</w:t>
      </w:r>
      <w:r>
        <w:rPr>
          <w:spacing w:val="-10"/>
        </w:rPr>
        <w:t xml:space="preserve"> </w:t>
      </w:r>
      <w:r>
        <w:t>previous</w:t>
      </w:r>
      <w:r>
        <w:rPr>
          <w:spacing w:val="-9"/>
        </w:rPr>
        <w:t xml:space="preserve"> </w:t>
      </w:r>
      <w:r>
        <w:t>similar</w:t>
      </w:r>
      <w:r>
        <w:rPr>
          <w:spacing w:val="-8"/>
        </w:rPr>
        <w:t xml:space="preserve"> </w:t>
      </w:r>
      <w:r>
        <w:t>activities,</w:t>
      </w:r>
      <w:r>
        <w:rPr>
          <w:spacing w:val="-12"/>
        </w:rPr>
        <w:t xml:space="preserve"> </w:t>
      </w:r>
      <w:proofErr w:type="gramStart"/>
      <w:r>
        <w:t>taking</w:t>
      </w:r>
      <w:r>
        <w:rPr>
          <w:spacing w:val="-9"/>
        </w:rPr>
        <w:t xml:space="preserve"> </w:t>
      </w:r>
      <w:r>
        <w:t>into</w:t>
      </w:r>
      <w:r>
        <w:rPr>
          <w:spacing w:val="-10"/>
        </w:rPr>
        <w:t xml:space="preserve"> </w:t>
      </w:r>
      <w:r>
        <w:t>account</w:t>
      </w:r>
      <w:proofErr w:type="gramEnd"/>
      <w:r>
        <w:rPr>
          <w:spacing w:val="-12"/>
        </w:rPr>
        <w:t xml:space="preserve"> </w:t>
      </w:r>
      <w:r>
        <w:t>the estimated degree of complexity of the</w:t>
      </w:r>
      <w:r>
        <w:rPr>
          <w:spacing w:val="-2"/>
        </w:rPr>
        <w:t xml:space="preserve"> </w:t>
      </w:r>
      <w:r>
        <w:t>activity.</w:t>
      </w:r>
    </w:p>
    <w:p w14:paraId="5BF3DA33" w14:textId="77777777" w:rsidR="00D757DA" w:rsidRDefault="00D757DA">
      <w:pPr>
        <w:pStyle w:val="Zkladntext"/>
        <w:spacing w:before="1"/>
      </w:pPr>
    </w:p>
    <w:p w14:paraId="3506B9E2" w14:textId="77777777" w:rsidR="00D757DA" w:rsidRDefault="0033254E">
      <w:pPr>
        <w:pStyle w:val="Zkladntext"/>
        <w:spacing w:before="1"/>
        <w:ind w:left="120" w:right="1433"/>
        <w:jc w:val="both"/>
      </w:pPr>
      <w:r>
        <w:t>To ensure that information sharing, and exchange of best practices evolve into reinforced levels</w:t>
      </w:r>
      <w:r>
        <w:rPr>
          <w:spacing w:val="-8"/>
        </w:rPr>
        <w:t xml:space="preserve"> </w:t>
      </w:r>
      <w:r>
        <w:t>of</w:t>
      </w:r>
      <w:r>
        <w:rPr>
          <w:spacing w:val="-9"/>
        </w:rPr>
        <w:t xml:space="preserve"> </w:t>
      </w:r>
      <w:r>
        <w:t>horizontal</w:t>
      </w:r>
      <w:r>
        <w:rPr>
          <w:spacing w:val="-8"/>
        </w:rPr>
        <w:t xml:space="preserve"> </w:t>
      </w:r>
      <w:r>
        <w:t>cooperation</w:t>
      </w:r>
      <w:r>
        <w:rPr>
          <w:spacing w:val="-9"/>
        </w:rPr>
        <w:t xml:space="preserve"> </w:t>
      </w:r>
      <w:r>
        <w:t>among</w:t>
      </w:r>
      <w:r>
        <w:rPr>
          <w:spacing w:val="-13"/>
        </w:rPr>
        <w:t xml:space="preserve"> </w:t>
      </w:r>
      <w:r>
        <w:t>IP</w:t>
      </w:r>
      <w:r>
        <w:rPr>
          <w:spacing w:val="-10"/>
        </w:rPr>
        <w:t xml:space="preserve"> </w:t>
      </w:r>
      <w:r>
        <w:t>Offices,</w:t>
      </w:r>
      <w:r>
        <w:rPr>
          <w:spacing w:val="-8"/>
        </w:rPr>
        <w:t xml:space="preserve"> </w:t>
      </w:r>
      <w:r>
        <w:t>the</w:t>
      </w:r>
      <w:r>
        <w:rPr>
          <w:spacing w:val="-10"/>
        </w:rPr>
        <w:t xml:space="preserve"> </w:t>
      </w:r>
      <w:r>
        <w:t>Office</w:t>
      </w:r>
      <w:r>
        <w:rPr>
          <w:spacing w:val="-7"/>
        </w:rPr>
        <w:t xml:space="preserve"> </w:t>
      </w:r>
      <w:r>
        <w:t>will</w:t>
      </w:r>
      <w:r>
        <w:rPr>
          <w:spacing w:val="-6"/>
        </w:rPr>
        <w:t xml:space="preserve"> </w:t>
      </w:r>
      <w:r>
        <w:t>contribute</w:t>
      </w:r>
      <w:r>
        <w:rPr>
          <w:spacing w:val="-10"/>
        </w:rPr>
        <w:t xml:space="preserve"> </w:t>
      </w:r>
      <w:r>
        <w:t>to</w:t>
      </w:r>
      <w:r>
        <w:rPr>
          <w:spacing w:val="-11"/>
        </w:rPr>
        <w:t xml:space="preserve"> </w:t>
      </w:r>
      <w:r>
        <w:t>the</w:t>
      </w:r>
      <w:r>
        <w:rPr>
          <w:spacing w:val="-10"/>
        </w:rPr>
        <w:t xml:space="preserve"> </w:t>
      </w:r>
      <w:r>
        <w:t>participation reimbursing</w:t>
      </w:r>
      <w:r>
        <w:rPr>
          <w:spacing w:val="-15"/>
        </w:rPr>
        <w:t xml:space="preserve"> </w:t>
      </w:r>
      <w:r>
        <w:t>a</w:t>
      </w:r>
      <w:r>
        <w:rPr>
          <w:spacing w:val="-17"/>
        </w:rPr>
        <w:t xml:space="preserve"> </w:t>
      </w:r>
      <w:r>
        <w:t>lump</w:t>
      </w:r>
      <w:r>
        <w:rPr>
          <w:spacing w:val="-13"/>
        </w:rPr>
        <w:t xml:space="preserve"> </w:t>
      </w:r>
      <w:r>
        <w:t>sum</w:t>
      </w:r>
      <w:r>
        <w:rPr>
          <w:spacing w:val="-15"/>
        </w:rPr>
        <w:t xml:space="preserve"> </w:t>
      </w:r>
      <w:r>
        <w:t>amount</w:t>
      </w:r>
      <w:r>
        <w:rPr>
          <w:spacing w:val="-14"/>
        </w:rPr>
        <w:t xml:space="preserve"> </w:t>
      </w:r>
      <w:r>
        <w:t>per</w:t>
      </w:r>
      <w:r>
        <w:rPr>
          <w:spacing w:val="-13"/>
        </w:rPr>
        <w:t xml:space="preserve"> </w:t>
      </w:r>
      <w:r>
        <w:t>Virtual</w:t>
      </w:r>
      <w:r>
        <w:rPr>
          <w:spacing w:val="-15"/>
        </w:rPr>
        <w:t xml:space="preserve"> </w:t>
      </w:r>
      <w:r>
        <w:t>Community</w:t>
      </w:r>
      <w:r>
        <w:rPr>
          <w:spacing w:val="-13"/>
        </w:rPr>
        <w:t xml:space="preserve"> </w:t>
      </w:r>
      <w:r>
        <w:t>an</w:t>
      </w:r>
      <w:r>
        <w:rPr>
          <w:spacing w:val="-17"/>
        </w:rPr>
        <w:t xml:space="preserve"> </w:t>
      </w:r>
      <w:r>
        <w:t>IPO</w:t>
      </w:r>
      <w:r>
        <w:rPr>
          <w:spacing w:val="-13"/>
        </w:rPr>
        <w:t xml:space="preserve"> </w:t>
      </w:r>
      <w:r>
        <w:t>is</w:t>
      </w:r>
      <w:r>
        <w:rPr>
          <w:spacing w:val="-13"/>
        </w:rPr>
        <w:t xml:space="preserve"> </w:t>
      </w:r>
      <w:r>
        <w:t>participating</w:t>
      </w:r>
      <w:r>
        <w:rPr>
          <w:spacing w:val="-15"/>
        </w:rPr>
        <w:t xml:space="preserve"> </w:t>
      </w:r>
      <w:r>
        <w:t>in.</w:t>
      </w:r>
      <w:r>
        <w:rPr>
          <w:spacing w:val="-13"/>
        </w:rPr>
        <w:t xml:space="preserve"> </w:t>
      </w:r>
      <w:r>
        <w:t>Even</w:t>
      </w:r>
      <w:r>
        <w:rPr>
          <w:spacing w:val="-16"/>
        </w:rPr>
        <w:t xml:space="preserve"> </w:t>
      </w:r>
      <w:r>
        <w:t>though each IPO will be free to allocate a reasonable number of members (should be a max of two) in the Virtual Community of their interest, reimbursement will only equal to one expert daily rate</w:t>
      </w:r>
      <w:r>
        <w:rPr>
          <w:spacing w:val="-14"/>
        </w:rPr>
        <w:t xml:space="preserve"> </w:t>
      </w:r>
      <w:r>
        <w:t>multiplied</w:t>
      </w:r>
      <w:r>
        <w:rPr>
          <w:spacing w:val="-13"/>
        </w:rPr>
        <w:t xml:space="preserve"> </w:t>
      </w:r>
      <w:r>
        <w:t>per</w:t>
      </w:r>
      <w:r>
        <w:rPr>
          <w:spacing w:val="-10"/>
        </w:rPr>
        <w:t xml:space="preserve"> </w:t>
      </w:r>
      <w:r>
        <w:t>the</w:t>
      </w:r>
      <w:r>
        <w:rPr>
          <w:spacing w:val="-15"/>
        </w:rPr>
        <w:t xml:space="preserve"> </w:t>
      </w:r>
      <w:r>
        <w:t>corresponding</w:t>
      </w:r>
      <w:r>
        <w:rPr>
          <w:spacing w:val="-12"/>
        </w:rPr>
        <w:t xml:space="preserve"> </w:t>
      </w:r>
      <w:r>
        <w:t>effort</w:t>
      </w:r>
      <w:r>
        <w:rPr>
          <w:spacing w:val="-10"/>
        </w:rPr>
        <w:t xml:space="preserve"> </w:t>
      </w:r>
      <w:r>
        <w:t>established</w:t>
      </w:r>
      <w:r>
        <w:rPr>
          <w:spacing w:val="-11"/>
        </w:rPr>
        <w:t xml:space="preserve"> </w:t>
      </w:r>
      <w:r>
        <w:t>in</w:t>
      </w:r>
      <w:r>
        <w:rPr>
          <w:spacing w:val="-12"/>
        </w:rPr>
        <w:t xml:space="preserve"> </w:t>
      </w:r>
      <w:r>
        <w:t>the</w:t>
      </w:r>
      <w:r>
        <w:rPr>
          <w:spacing w:val="-12"/>
        </w:rPr>
        <w:t xml:space="preserve"> </w:t>
      </w:r>
      <w:r>
        <w:t>form</w:t>
      </w:r>
      <w:r>
        <w:rPr>
          <w:spacing w:val="-11"/>
        </w:rPr>
        <w:t xml:space="preserve"> </w:t>
      </w:r>
      <w:r>
        <w:t>of</w:t>
      </w:r>
      <w:r>
        <w:rPr>
          <w:spacing w:val="-11"/>
        </w:rPr>
        <w:t xml:space="preserve"> </w:t>
      </w:r>
      <w:r>
        <w:t>person</w:t>
      </w:r>
      <w:r>
        <w:rPr>
          <w:spacing w:val="-14"/>
        </w:rPr>
        <w:t xml:space="preserve"> </w:t>
      </w:r>
      <w:r>
        <w:t>days</w:t>
      </w:r>
      <w:r>
        <w:rPr>
          <w:spacing w:val="-11"/>
        </w:rPr>
        <w:t xml:space="preserve"> </w:t>
      </w:r>
      <w:r>
        <w:t>as</w:t>
      </w:r>
      <w:r>
        <w:rPr>
          <w:spacing w:val="-11"/>
        </w:rPr>
        <w:t xml:space="preserve"> </w:t>
      </w:r>
      <w:r>
        <w:t>indicated above.</w:t>
      </w:r>
    </w:p>
    <w:p w14:paraId="5E15E765" w14:textId="77777777" w:rsidR="00D757DA" w:rsidRDefault="00D757DA">
      <w:pPr>
        <w:pStyle w:val="Zkladntext"/>
        <w:spacing w:before="11"/>
        <w:rPr>
          <w:sz w:val="21"/>
        </w:rPr>
      </w:pPr>
    </w:p>
    <w:p w14:paraId="095AF4CC" w14:textId="77777777" w:rsidR="00D757DA" w:rsidRDefault="0033254E">
      <w:pPr>
        <w:pStyle w:val="Zkladntext"/>
        <w:ind w:left="120" w:right="1431"/>
        <w:jc w:val="both"/>
      </w:pPr>
      <w:r>
        <w:t>Reimbursement in the form of Daily Subsistence Allowance will also be foreseen for participating IPOs and User Associations when participating onsite in the Virtual Community Annual Meeting according to Decision No ADM-25-07. No such reimbursement is applied when participation is online (quarter meetings or online attendance to the Annual Meeting).</w:t>
      </w:r>
    </w:p>
    <w:p w14:paraId="016DE731" w14:textId="77777777" w:rsidR="00D757DA" w:rsidRDefault="00D757DA">
      <w:pPr>
        <w:pStyle w:val="Zkladntext"/>
        <w:spacing w:before="4"/>
        <w:rPr>
          <w:sz w:val="31"/>
        </w:rPr>
      </w:pPr>
    </w:p>
    <w:p w14:paraId="704AF54D" w14:textId="77777777" w:rsidR="00D757DA" w:rsidRDefault="0033254E">
      <w:pPr>
        <w:pStyle w:val="Nadpis3"/>
      </w:pPr>
      <w:bookmarkStart w:id="37" w:name="ARTICLE_29_-_PROMOTIONAL_ACTIVITIES"/>
      <w:bookmarkEnd w:id="37"/>
      <w:r>
        <w:t>ARTICLE 29 - PROMOTIONAL ACTIVITIES</w:t>
      </w:r>
    </w:p>
    <w:p w14:paraId="06B17527" w14:textId="77777777" w:rsidR="00D757DA" w:rsidRDefault="00D757DA">
      <w:pPr>
        <w:pStyle w:val="Zkladntext"/>
        <w:spacing w:before="9"/>
        <w:rPr>
          <w:b/>
          <w:sz w:val="20"/>
        </w:rPr>
      </w:pPr>
    </w:p>
    <w:p w14:paraId="60E800A7" w14:textId="77777777" w:rsidR="00D757DA" w:rsidRDefault="0033254E">
      <w:pPr>
        <w:pStyle w:val="Zkladntext"/>
        <w:ind w:left="120" w:right="1437"/>
        <w:jc w:val="both"/>
      </w:pPr>
      <w:r>
        <w:t>The</w:t>
      </w:r>
      <w:r>
        <w:rPr>
          <w:spacing w:val="-16"/>
        </w:rPr>
        <w:t xml:space="preserve"> </w:t>
      </w:r>
      <w:r>
        <w:t>EUIPO</w:t>
      </w:r>
      <w:r>
        <w:rPr>
          <w:spacing w:val="-17"/>
        </w:rPr>
        <w:t xml:space="preserve"> </w:t>
      </w:r>
      <w:r>
        <w:t>shall</w:t>
      </w:r>
      <w:r>
        <w:rPr>
          <w:spacing w:val="-16"/>
        </w:rPr>
        <w:t xml:space="preserve"> </w:t>
      </w:r>
      <w:r>
        <w:t>pay</w:t>
      </w:r>
      <w:r>
        <w:rPr>
          <w:spacing w:val="-18"/>
        </w:rPr>
        <w:t xml:space="preserve"> </w:t>
      </w:r>
      <w:r>
        <w:t>to</w:t>
      </w:r>
      <w:r>
        <w:rPr>
          <w:spacing w:val="-17"/>
        </w:rPr>
        <w:t xml:space="preserve"> </w:t>
      </w:r>
      <w:r>
        <w:t>the</w:t>
      </w:r>
      <w:r>
        <w:rPr>
          <w:spacing w:val="-16"/>
        </w:rPr>
        <w:t xml:space="preserve"> </w:t>
      </w:r>
      <w:r>
        <w:t>IPO</w:t>
      </w:r>
      <w:r>
        <w:rPr>
          <w:spacing w:val="-14"/>
        </w:rPr>
        <w:t xml:space="preserve"> </w:t>
      </w:r>
      <w:r>
        <w:t>a</w:t>
      </w:r>
      <w:r>
        <w:rPr>
          <w:spacing w:val="-19"/>
        </w:rPr>
        <w:t xml:space="preserve"> </w:t>
      </w:r>
      <w:r>
        <w:t>lump</w:t>
      </w:r>
      <w:r>
        <w:rPr>
          <w:spacing w:val="-17"/>
        </w:rPr>
        <w:t xml:space="preserve"> </w:t>
      </w:r>
      <w:r>
        <w:t>sum</w:t>
      </w:r>
      <w:r>
        <w:rPr>
          <w:spacing w:val="-17"/>
        </w:rPr>
        <w:t xml:space="preserve"> </w:t>
      </w:r>
      <w:r>
        <w:t>subject</w:t>
      </w:r>
      <w:r>
        <w:rPr>
          <w:spacing w:val="-17"/>
        </w:rPr>
        <w:t xml:space="preserve"> </w:t>
      </w:r>
      <w:r>
        <w:t>to</w:t>
      </w:r>
      <w:r>
        <w:rPr>
          <w:spacing w:val="-17"/>
        </w:rPr>
        <w:t xml:space="preserve"> </w:t>
      </w:r>
      <w:r>
        <w:t>the</w:t>
      </w:r>
      <w:r>
        <w:rPr>
          <w:spacing w:val="-16"/>
        </w:rPr>
        <w:t xml:space="preserve"> </w:t>
      </w:r>
      <w:r>
        <w:t>degree</w:t>
      </w:r>
      <w:r>
        <w:rPr>
          <w:spacing w:val="-15"/>
        </w:rPr>
        <w:t xml:space="preserve"> </w:t>
      </w:r>
      <w:r>
        <w:t>of</w:t>
      </w:r>
      <w:r>
        <w:rPr>
          <w:spacing w:val="-15"/>
        </w:rPr>
        <w:t xml:space="preserve"> </w:t>
      </w:r>
      <w:r>
        <w:t>achievement</w:t>
      </w:r>
      <w:r>
        <w:rPr>
          <w:spacing w:val="-17"/>
        </w:rPr>
        <w:t xml:space="preserve"> </w:t>
      </w:r>
      <w:r>
        <w:t>of</w:t>
      </w:r>
      <w:r>
        <w:rPr>
          <w:spacing w:val="-16"/>
        </w:rPr>
        <w:t xml:space="preserve"> </w:t>
      </w:r>
      <w:r>
        <w:t>previously agreed results and KPIs pursuant to the Annex III. The method for determining the lump sum amount is based on</w:t>
      </w:r>
      <w:r>
        <w:rPr>
          <w:spacing w:val="-3"/>
        </w:rPr>
        <w:t xml:space="preserve"> </w:t>
      </w:r>
      <w:r>
        <w:t>ADM-25-40.</w:t>
      </w:r>
    </w:p>
    <w:p w14:paraId="3F6DFC4E" w14:textId="77777777" w:rsidR="00D757DA" w:rsidRDefault="00D757DA">
      <w:pPr>
        <w:pStyle w:val="Zkladntext"/>
        <w:spacing w:before="4"/>
        <w:rPr>
          <w:sz w:val="31"/>
        </w:rPr>
      </w:pPr>
    </w:p>
    <w:p w14:paraId="79751CEA" w14:textId="77777777" w:rsidR="00D757DA" w:rsidRDefault="0033254E">
      <w:pPr>
        <w:pStyle w:val="Nadpis3"/>
        <w:ind w:right="1339"/>
      </w:pPr>
      <w:bookmarkStart w:id="38" w:name="ARTICLE_30_-_EUROPEAN_COOPERATION_PROJEC"/>
      <w:bookmarkEnd w:id="38"/>
      <w:r>
        <w:t>ARTICLE 30 - EUROPEAN COOPERATION PROJECT (ECP4) BUSINESS AND INNOVATION SUPPORT</w:t>
      </w:r>
    </w:p>
    <w:p w14:paraId="1CE34262" w14:textId="77777777" w:rsidR="00D757DA" w:rsidRDefault="00D757DA">
      <w:pPr>
        <w:pStyle w:val="Zkladntext"/>
        <w:rPr>
          <w:b/>
          <w:sz w:val="24"/>
        </w:rPr>
      </w:pPr>
    </w:p>
    <w:p w14:paraId="5576695D" w14:textId="77777777" w:rsidR="00D757DA" w:rsidRDefault="00D757DA">
      <w:pPr>
        <w:pStyle w:val="Zkladntext"/>
        <w:spacing w:before="1"/>
        <w:rPr>
          <w:b/>
          <w:sz w:val="21"/>
        </w:rPr>
      </w:pPr>
    </w:p>
    <w:p w14:paraId="3AB504BB" w14:textId="77777777" w:rsidR="00D757DA" w:rsidRDefault="0033254E">
      <w:pPr>
        <w:pStyle w:val="Odstavecseseznamem"/>
        <w:numPr>
          <w:ilvl w:val="0"/>
          <w:numId w:val="39"/>
        </w:numPr>
        <w:tabs>
          <w:tab w:val="left" w:pos="829"/>
        </w:tabs>
        <w:ind w:hanging="709"/>
        <w:jc w:val="both"/>
        <w:rPr>
          <w:b/>
        </w:rPr>
      </w:pPr>
      <w:r>
        <w:rPr>
          <w:b/>
        </w:rPr>
        <w:t>IP Scan</w:t>
      </w:r>
    </w:p>
    <w:p w14:paraId="4D833BA5" w14:textId="77777777" w:rsidR="00D757DA" w:rsidRDefault="0033254E">
      <w:pPr>
        <w:spacing w:before="78"/>
        <w:ind w:left="120"/>
        <w:jc w:val="both"/>
        <w:rPr>
          <w:i/>
        </w:rPr>
      </w:pPr>
      <w:r>
        <w:rPr>
          <w:i/>
        </w:rPr>
        <w:t>Only applicable if IPO is providing IP scans free of charge</w:t>
      </w:r>
    </w:p>
    <w:p w14:paraId="3E940E3F" w14:textId="77777777" w:rsidR="00D757DA" w:rsidRDefault="00D757DA">
      <w:pPr>
        <w:pStyle w:val="Zkladntext"/>
        <w:spacing w:before="11"/>
        <w:rPr>
          <w:i/>
          <w:sz w:val="23"/>
        </w:rPr>
      </w:pPr>
    </w:p>
    <w:p w14:paraId="50F3508A" w14:textId="77777777" w:rsidR="00D757DA" w:rsidRDefault="0033254E">
      <w:pPr>
        <w:pStyle w:val="Odstavecseseznamem"/>
        <w:numPr>
          <w:ilvl w:val="1"/>
          <w:numId w:val="39"/>
        </w:numPr>
        <w:tabs>
          <w:tab w:val="left" w:pos="841"/>
        </w:tabs>
        <w:spacing w:line="259" w:lineRule="auto"/>
        <w:ind w:right="1432" w:hanging="12"/>
        <w:jc w:val="both"/>
      </w:pPr>
      <w:r>
        <w:t>The Parties undertake that IP Scans aim at helping EU SMEs understand the potentials of their IP rights in relation to the development of their businesses and advice on best ways forwards for the outmost exploitation of those</w:t>
      </w:r>
      <w:r>
        <w:rPr>
          <w:spacing w:val="-13"/>
        </w:rPr>
        <w:t xml:space="preserve"> </w:t>
      </w:r>
      <w:r>
        <w:t>potentials.</w:t>
      </w:r>
    </w:p>
    <w:p w14:paraId="2165AD2E" w14:textId="77777777" w:rsidR="00D757DA" w:rsidRDefault="00D757DA">
      <w:pPr>
        <w:pStyle w:val="Zkladntext"/>
        <w:spacing w:before="11"/>
        <w:rPr>
          <w:sz w:val="23"/>
        </w:rPr>
      </w:pPr>
    </w:p>
    <w:p w14:paraId="54B17887" w14:textId="77777777" w:rsidR="00D757DA" w:rsidRDefault="0033254E">
      <w:pPr>
        <w:pStyle w:val="Odstavecseseznamem"/>
        <w:numPr>
          <w:ilvl w:val="1"/>
          <w:numId w:val="39"/>
        </w:numPr>
        <w:tabs>
          <w:tab w:val="left" w:pos="841"/>
        </w:tabs>
        <w:spacing w:line="259" w:lineRule="auto"/>
        <w:ind w:right="1438" w:hanging="12"/>
        <w:jc w:val="both"/>
      </w:pPr>
      <w:r>
        <w:t>IP Scan is key to building an SME’s IP strategy. With an IP Scan, IP experts examine the</w:t>
      </w:r>
      <w:r>
        <w:rPr>
          <w:spacing w:val="-17"/>
        </w:rPr>
        <w:t xml:space="preserve"> </w:t>
      </w:r>
      <w:r>
        <w:t>SME’s</w:t>
      </w:r>
      <w:r>
        <w:rPr>
          <w:spacing w:val="-17"/>
        </w:rPr>
        <w:t xml:space="preserve"> </w:t>
      </w:r>
      <w:r>
        <w:t>business</w:t>
      </w:r>
      <w:r>
        <w:rPr>
          <w:spacing w:val="-16"/>
        </w:rPr>
        <w:t xml:space="preserve"> </w:t>
      </w:r>
      <w:r>
        <w:t>model,</w:t>
      </w:r>
      <w:r>
        <w:rPr>
          <w:spacing w:val="-13"/>
        </w:rPr>
        <w:t xml:space="preserve"> </w:t>
      </w:r>
      <w:r>
        <w:t>products</w:t>
      </w:r>
      <w:r>
        <w:rPr>
          <w:spacing w:val="-14"/>
        </w:rPr>
        <w:t xml:space="preserve"> </w:t>
      </w:r>
      <w:r>
        <w:t>or</w:t>
      </w:r>
      <w:r>
        <w:rPr>
          <w:spacing w:val="-15"/>
        </w:rPr>
        <w:t xml:space="preserve"> </w:t>
      </w:r>
      <w:r>
        <w:t>services</w:t>
      </w:r>
      <w:r>
        <w:rPr>
          <w:spacing w:val="-17"/>
        </w:rPr>
        <w:t xml:space="preserve"> </w:t>
      </w:r>
      <w:r>
        <w:t>and</w:t>
      </w:r>
      <w:r>
        <w:rPr>
          <w:spacing w:val="-14"/>
        </w:rPr>
        <w:t xml:space="preserve"> </w:t>
      </w:r>
      <w:r>
        <w:t>growth</w:t>
      </w:r>
      <w:r>
        <w:rPr>
          <w:spacing w:val="-17"/>
        </w:rPr>
        <w:t xml:space="preserve"> </w:t>
      </w:r>
      <w:r>
        <w:t>plans</w:t>
      </w:r>
      <w:r>
        <w:rPr>
          <w:spacing w:val="-16"/>
        </w:rPr>
        <w:t xml:space="preserve"> </w:t>
      </w:r>
      <w:r>
        <w:t>and</w:t>
      </w:r>
      <w:r>
        <w:rPr>
          <w:spacing w:val="-17"/>
        </w:rPr>
        <w:t xml:space="preserve"> </w:t>
      </w:r>
      <w:r>
        <w:t>help</w:t>
      </w:r>
      <w:r>
        <w:rPr>
          <w:spacing w:val="-16"/>
        </w:rPr>
        <w:t xml:space="preserve"> </w:t>
      </w:r>
      <w:r>
        <w:t>the</w:t>
      </w:r>
      <w:r>
        <w:rPr>
          <w:spacing w:val="-17"/>
        </w:rPr>
        <w:t xml:space="preserve"> </w:t>
      </w:r>
      <w:r>
        <w:t>SME</w:t>
      </w:r>
      <w:r>
        <w:rPr>
          <w:spacing w:val="-17"/>
        </w:rPr>
        <w:t xml:space="preserve"> </w:t>
      </w:r>
      <w:r>
        <w:t>formulate an appropriate IP strategy. IP scan does not constitute a legal</w:t>
      </w:r>
      <w:r>
        <w:rPr>
          <w:spacing w:val="-13"/>
        </w:rPr>
        <w:t xml:space="preserve"> </w:t>
      </w:r>
      <w:r>
        <w:t>service.</w:t>
      </w:r>
    </w:p>
    <w:p w14:paraId="3769C370" w14:textId="77777777" w:rsidR="00D757DA" w:rsidRDefault="00D757DA">
      <w:pPr>
        <w:pStyle w:val="Zkladntext"/>
        <w:spacing w:before="8"/>
        <w:rPr>
          <w:sz w:val="23"/>
        </w:rPr>
      </w:pPr>
    </w:p>
    <w:p w14:paraId="6F7B64D8" w14:textId="77777777" w:rsidR="00D757DA" w:rsidRDefault="0033254E">
      <w:pPr>
        <w:pStyle w:val="Odstavecseseznamem"/>
        <w:numPr>
          <w:ilvl w:val="1"/>
          <w:numId w:val="39"/>
        </w:numPr>
        <w:tabs>
          <w:tab w:val="left" w:pos="841"/>
        </w:tabs>
        <w:spacing w:line="259" w:lineRule="auto"/>
        <w:ind w:right="1439" w:hanging="12"/>
        <w:jc w:val="both"/>
      </w:pPr>
      <w:r>
        <w:t>The IPO undertakes to provide free support to EU SMEs in relation to IP Scans activities within the limits and in compliance with the applicable law and at the request of the EU SMEs.</w:t>
      </w:r>
    </w:p>
    <w:p w14:paraId="6BD8A568" w14:textId="77777777" w:rsidR="00D757DA" w:rsidRDefault="00D757DA">
      <w:pPr>
        <w:pStyle w:val="Zkladntext"/>
        <w:spacing w:before="7"/>
        <w:rPr>
          <w:sz w:val="23"/>
        </w:rPr>
      </w:pPr>
    </w:p>
    <w:p w14:paraId="714E7932" w14:textId="77777777" w:rsidR="00D757DA" w:rsidRDefault="0033254E">
      <w:pPr>
        <w:pStyle w:val="Odstavecseseznamem"/>
        <w:numPr>
          <w:ilvl w:val="1"/>
          <w:numId w:val="39"/>
        </w:numPr>
        <w:tabs>
          <w:tab w:val="left" w:pos="841"/>
        </w:tabs>
        <w:spacing w:before="1"/>
        <w:ind w:left="840" w:hanging="733"/>
        <w:jc w:val="both"/>
      </w:pPr>
      <w:r>
        <w:t>The support in the field of IP Scan shall</w:t>
      </w:r>
      <w:r>
        <w:rPr>
          <w:spacing w:val="-7"/>
        </w:rPr>
        <w:t xml:space="preserve"> </w:t>
      </w:r>
      <w:r>
        <w:t>include:</w:t>
      </w:r>
    </w:p>
    <w:p w14:paraId="6A8C5B16" w14:textId="77777777" w:rsidR="00D757DA" w:rsidRDefault="00D757DA">
      <w:pPr>
        <w:pStyle w:val="Zkladntext"/>
        <w:spacing w:before="7"/>
        <w:rPr>
          <w:sz w:val="25"/>
        </w:rPr>
      </w:pPr>
    </w:p>
    <w:p w14:paraId="258F58CC" w14:textId="77777777" w:rsidR="00D757DA" w:rsidRDefault="0033254E">
      <w:pPr>
        <w:pStyle w:val="Odstavecseseznamem"/>
        <w:numPr>
          <w:ilvl w:val="2"/>
          <w:numId w:val="39"/>
        </w:numPr>
        <w:tabs>
          <w:tab w:val="left" w:pos="1253"/>
          <w:tab w:val="left" w:pos="1254"/>
        </w:tabs>
        <w:spacing w:line="261" w:lineRule="auto"/>
        <w:ind w:right="1437"/>
      </w:pPr>
      <w:r>
        <w:rPr>
          <w:sz w:val="24"/>
        </w:rPr>
        <w:t>i</w:t>
      </w:r>
      <w:r>
        <w:t xml:space="preserve">nitial analysis: The EU SME will complete a self-assessment survey provided by the IPO. The IPO will </w:t>
      </w:r>
      <w:proofErr w:type="spellStart"/>
      <w:r>
        <w:t>analyse</w:t>
      </w:r>
      <w:proofErr w:type="spellEnd"/>
      <w:r>
        <w:t xml:space="preserve"> the competitive environment of the EU SME</w:t>
      </w:r>
      <w:r>
        <w:rPr>
          <w:spacing w:val="38"/>
        </w:rPr>
        <w:t xml:space="preserve"> </w:t>
      </w:r>
      <w:r>
        <w:t>and</w:t>
      </w:r>
    </w:p>
    <w:p w14:paraId="074E62FA" w14:textId="77777777" w:rsidR="00D757DA" w:rsidRDefault="00D757DA">
      <w:pPr>
        <w:spacing w:line="261" w:lineRule="auto"/>
        <w:sectPr w:rsidR="00D757DA">
          <w:pgSz w:w="11910" w:h="16840"/>
          <w:pgMar w:top="1340" w:right="0" w:bottom="1160" w:left="1320" w:header="0" w:footer="881" w:gutter="0"/>
          <w:cols w:space="708"/>
        </w:sectPr>
      </w:pPr>
    </w:p>
    <w:p w14:paraId="6537D4A1" w14:textId="77777777" w:rsidR="00D757DA" w:rsidRDefault="0033254E">
      <w:pPr>
        <w:pStyle w:val="Zkladntext"/>
        <w:spacing w:before="64"/>
        <w:ind w:left="1253"/>
      </w:pPr>
      <w:r>
        <w:lastRenderedPageBreak/>
        <w:t>their survey responses to gain an initial understanding of the beneficiary’s IP</w:t>
      </w:r>
    </w:p>
    <w:p w14:paraId="29E50D17" w14:textId="77777777" w:rsidR="00D757DA" w:rsidRDefault="0033254E">
      <w:pPr>
        <w:pStyle w:val="Zkladntext"/>
        <w:spacing w:before="21"/>
        <w:ind w:left="1253"/>
      </w:pPr>
      <w:proofErr w:type="gramStart"/>
      <w:r>
        <w:t>situation;</w:t>
      </w:r>
      <w:proofErr w:type="gramEnd"/>
    </w:p>
    <w:p w14:paraId="5333F4B6" w14:textId="77777777" w:rsidR="00D757DA" w:rsidRDefault="00D757DA">
      <w:pPr>
        <w:pStyle w:val="Zkladntext"/>
        <w:spacing w:before="4"/>
        <w:rPr>
          <w:sz w:val="25"/>
        </w:rPr>
      </w:pPr>
    </w:p>
    <w:p w14:paraId="0B3FBD4B" w14:textId="77777777" w:rsidR="00D757DA" w:rsidRDefault="0033254E">
      <w:pPr>
        <w:pStyle w:val="Odstavecseseznamem"/>
        <w:numPr>
          <w:ilvl w:val="2"/>
          <w:numId w:val="39"/>
        </w:numPr>
        <w:tabs>
          <w:tab w:val="left" w:pos="1254"/>
        </w:tabs>
        <w:spacing w:line="259" w:lineRule="auto"/>
        <w:ind w:right="1433"/>
        <w:jc w:val="both"/>
      </w:pPr>
      <w:r>
        <w:t>visit and interview: The IPO shall visit the EU SME and conduct an in-depth interview, using a questionnaire as a guide, which should last between 2 and      4 hours. The use of online means of communication might be used. The EUIPO will provide a template questionnaire for this</w:t>
      </w:r>
      <w:r>
        <w:rPr>
          <w:spacing w:val="-11"/>
        </w:rPr>
        <w:t xml:space="preserve"> </w:t>
      </w:r>
      <w:proofErr w:type="gramStart"/>
      <w:r>
        <w:t>purpose;</w:t>
      </w:r>
      <w:proofErr w:type="gramEnd"/>
    </w:p>
    <w:p w14:paraId="274D8B30" w14:textId="77777777" w:rsidR="00D757DA" w:rsidRDefault="00D757DA">
      <w:pPr>
        <w:pStyle w:val="Zkladntext"/>
        <w:spacing w:before="8"/>
        <w:rPr>
          <w:sz w:val="23"/>
        </w:rPr>
      </w:pPr>
    </w:p>
    <w:p w14:paraId="64E178F7" w14:textId="77777777" w:rsidR="00D757DA" w:rsidRDefault="0033254E">
      <w:pPr>
        <w:pStyle w:val="Odstavecseseznamem"/>
        <w:numPr>
          <w:ilvl w:val="2"/>
          <w:numId w:val="39"/>
        </w:numPr>
        <w:tabs>
          <w:tab w:val="left" w:pos="1254"/>
        </w:tabs>
        <w:spacing w:line="259" w:lineRule="auto"/>
        <w:ind w:right="1439"/>
        <w:jc w:val="both"/>
      </w:pPr>
      <w:r>
        <w:t>results: The IPO will deliver the results of the complete analysis to the EU SME either in person or via video/teleconference. The EUIPO will provide a template report for this</w:t>
      </w:r>
      <w:r>
        <w:rPr>
          <w:spacing w:val="-2"/>
        </w:rPr>
        <w:t xml:space="preserve"> </w:t>
      </w:r>
      <w:r>
        <w:t>purpose.</w:t>
      </w:r>
    </w:p>
    <w:p w14:paraId="38EA9557" w14:textId="77777777" w:rsidR="00D757DA" w:rsidRDefault="00D757DA">
      <w:pPr>
        <w:pStyle w:val="Zkladntext"/>
        <w:spacing w:before="10"/>
        <w:rPr>
          <w:sz w:val="23"/>
        </w:rPr>
      </w:pPr>
    </w:p>
    <w:p w14:paraId="1A6FFCE1" w14:textId="77777777" w:rsidR="00D757DA" w:rsidRDefault="0033254E">
      <w:pPr>
        <w:pStyle w:val="Odstavecseseznamem"/>
        <w:numPr>
          <w:ilvl w:val="1"/>
          <w:numId w:val="39"/>
        </w:numPr>
        <w:tabs>
          <w:tab w:val="left" w:pos="840"/>
          <w:tab w:val="left" w:pos="841"/>
        </w:tabs>
        <w:spacing w:before="1" w:line="259" w:lineRule="auto"/>
        <w:ind w:right="1439" w:hanging="12"/>
      </w:pPr>
      <w:r>
        <w:t>For the coordination of the IP Scan service, the IPO will apply the following service level</w:t>
      </w:r>
      <w:r>
        <w:rPr>
          <w:spacing w:val="-1"/>
        </w:rPr>
        <w:t xml:space="preserve"> </w:t>
      </w:r>
      <w:r>
        <w:t>indicators:</w:t>
      </w:r>
    </w:p>
    <w:p w14:paraId="55450826" w14:textId="77777777" w:rsidR="00D757DA" w:rsidRDefault="00D757DA">
      <w:pPr>
        <w:pStyle w:val="Zkladntext"/>
        <w:spacing w:before="10"/>
        <w:rPr>
          <w:sz w:val="2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4702"/>
        <w:gridCol w:w="2233"/>
      </w:tblGrid>
      <w:tr w:rsidR="00D757DA" w14:paraId="017764FF" w14:textId="77777777">
        <w:trPr>
          <w:trHeight w:val="700"/>
        </w:trPr>
        <w:tc>
          <w:tcPr>
            <w:tcW w:w="2139" w:type="dxa"/>
          </w:tcPr>
          <w:p w14:paraId="54566D6C" w14:textId="77777777" w:rsidR="00D757DA" w:rsidRDefault="0033254E">
            <w:pPr>
              <w:pStyle w:val="TableParagraph"/>
              <w:spacing w:before="120"/>
              <w:ind w:left="604"/>
              <w:rPr>
                <w:b/>
              </w:rPr>
            </w:pPr>
            <w:r>
              <w:rPr>
                <w:b/>
              </w:rPr>
              <w:t>Indicator</w:t>
            </w:r>
          </w:p>
        </w:tc>
        <w:tc>
          <w:tcPr>
            <w:tcW w:w="4702" w:type="dxa"/>
          </w:tcPr>
          <w:p w14:paraId="12B0BD5A" w14:textId="77777777" w:rsidR="00D757DA" w:rsidRDefault="0033254E">
            <w:pPr>
              <w:pStyle w:val="TableParagraph"/>
              <w:spacing w:before="120"/>
              <w:ind w:left="918"/>
              <w:rPr>
                <w:b/>
              </w:rPr>
            </w:pPr>
            <w:r>
              <w:rPr>
                <w:b/>
              </w:rPr>
              <w:t>Description of the indicator</w:t>
            </w:r>
          </w:p>
        </w:tc>
        <w:tc>
          <w:tcPr>
            <w:tcW w:w="2233" w:type="dxa"/>
          </w:tcPr>
          <w:p w14:paraId="215CD580" w14:textId="77777777" w:rsidR="00D757DA" w:rsidRDefault="0033254E">
            <w:pPr>
              <w:pStyle w:val="TableParagraph"/>
              <w:spacing w:before="83" w:line="290" w:lineRule="atLeast"/>
              <w:ind w:left="835" w:right="274" w:hanging="533"/>
              <w:rPr>
                <w:b/>
              </w:rPr>
            </w:pPr>
            <w:r>
              <w:rPr>
                <w:b/>
              </w:rPr>
              <w:t>Max acceptable value</w:t>
            </w:r>
          </w:p>
        </w:tc>
      </w:tr>
      <w:tr w:rsidR="00D757DA" w14:paraId="1B535F1E" w14:textId="77777777">
        <w:trPr>
          <w:trHeight w:val="930"/>
        </w:trPr>
        <w:tc>
          <w:tcPr>
            <w:tcW w:w="2139" w:type="dxa"/>
          </w:tcPr>
          <w:p w14:paraId="5C6A47C7" w14:textId="77777777" w:rsidR="00D757DA" w:rsidRDefault="0033254E">
            <w:pPr>
              <w:pStyle w:val="TableParagraph"/>
              <w:spacing w:before="119"/>
              <w:ind w:left="107" w:right="99"/>
              <w:jc w:val="both"/>
              <w:rPr>
                <w:sz w:val="20"/>
              </w:rPr>
            </w:pPr>
            <w:r>
              <w:rPr>
                <w:sz w:val="20"/>
              </w:rPr>
              <w:t>IP Scan 1 – Time for acknowledgement of request.</w:t>
            </w:r>
          </w:p>
        </w:tc>
        <w:tc>
          <w:tcPr>
            <w:tcW w:w="4702" w:type="dxa"/>
          </w:tcPr>
          <w:p w14:paraId="74507F86" w14:textId="77777777" w:rsidR="00D757DA" w:rsidRDefault="0033254E">
            <w:pPr>
              <w:pStyle w:val="TableParagraph"/>
              <w:spacing w:before="119"/>
              <w:ind w:left="129" w:right="173"/>
              <w:jc w:val="both"/>
              <w:rPr>
                <w:sz w:val="20"/>
              </w:rPr>
            </w:pPr>
            <w:r>
              <w:rPr>
                <w:sz w:val="20"/>
              </w:rPr>
              <w:t>Time between the request received from the EU SME and the issuing of an acknowledgement of receipt by email.</w:t>
            </w:r>
          </w:p>
        </w:tc>
        <w:tc>
          <w:tcPr>
            <w:tcW w:w="2233" w:type="dxa"/>
          </w:tcPr>
          <w:p w14:paraId="4F392201" w14:textId="77777777" w:rsidR="00D757DA" w:rsidRDefault="00D757DA">
            <w:pPr>
              <w:pStyle w:val="TableParagraph"/>
              <w:rPr>
                <w:sz w:val="21"/>
              </w:rPr>
            </w:pPr>
          </w:p>
          <w:p w14:paraId="5DDA509C" w14:textId="77777777" w:rsidR="00D757DA" w:rsidRDefault="0033254E">
            <w:pPr>
              <w:pStyle w:val="TableParagraph"/>
              <w:ind w:left="108"/>
              <w:rPr>
                <w:sz w:val="20"/>
              </w:rPr>
            </w:pPr>
            <w:r>
              <w:rPr>
                <w:sz w:val="20"/>
              </w:rPr>
              <w:t>3 days</w:t>
            </w:r>
          </w:p>
        </w:tc>
      </w:tr>
      <w:tr w:rsidR="00D757DA" w14:paraId="0214038F" w14:textId="77777777">
        <w:trPr>
          <w:trHeight w:val="930"/>
        </w:trPr>
        <w:tc>
          <w:tcPr>
            <w:tcW w:w="2139" w:type="dxa"/>
          </w:tcPr>
          <w:p w14:paraId="6874D1B2" w14:textId="77777777" w:rsidR="00D757DA" w:rsidRDefault="0033254E">
            <w:pPr>
              <w:pStyle w:val="TableParagraph"/>
              <w:spacing w:before="119"/>
              <w:ind w:left="107" w:right="99"/>
              <w:jc w:val="both"/>
              <w:rPr>
                <w:sz w:val="20"/>
              </w:rPr>
            </w:pPr>
            <w:r>
              <w:rPr>
                <w:sz w:val="20"/>
              </w:rPr>
              <w:t>IP Scan 2 – Time for providing an IP Scan expert.</w:t>
            </w:r>
          </w:p>
        </w:tc>
        <w:tc>
          <w:tcPr>
            <w:tcW w:w="4702" w:type="dxa"/>
          </w:tcPr>
          <w:p w14:paraId="649D84A9" w14:textId="77777777" w:rsidR="00D757DA" w:rsidRDefault="0033254E">
            <w:pPr>
              <w:pStyle w:val="TableParagraph"/>
              <w:spacing w:before="119"/>
              <w:ind w:left="129" w:right="175"/>
              <w:jc w:val="both"/>
              <w:rPr>
                <w:sz w:val="20"/>
              </w:rPr>
            </w:pPr>
            <w:r>
              <w:rPr>
                <w:sz w:val="20"/>
              </w:rPr>
              <w:t>Time between reception of the SME’s service request by the IPO and the provision of available experts to the SME.</w:t>
            </w:r>
          </w:p>
        </w:tc>
        <w:tc>
          <w:tcPr>
            <w:tcW w:w="2233" w:type="dxa"/>
          </w:tcPr>
          <w:p w14:paraId="09F72FEC" w14:textId="77777777" w:rsidR="00D757DA" w:rsidRDefault="00D757DA">
            <w:pPr>
              <w:pStyle w:val="TableParagraph"/>
              <w:spacing w:before="9"/>
              <w:rPr>
                <w:sz w:val="20"/>
              </w:rPr>
            </w:pPr>
          </w:p>
          <w:p w14:paraId="6AF6331E" w14:textId="77777777" w:rsidR="00D757DA" w:rsidRDefault="0033254E">
            <w:pPr>
              <w:pStyle w:val="TableParagraph"/>
              <w:ind w:left="108"/>
              <w:rPr>
                <w:sz w:val="20"/>
              </w:rPr>
            </w:pPr>
            <w:r>
              <w:rPr>
                <w:sz w:val="20"/>
              </w:rPr>
              <w:t>2 weeks</w:t>
            </w:r>
          </w:p>
        </w:tc>
      </w:tr>
      <w:tr w:rsidR="00D757DA" w14:paraId="32CCC1FA" w14:textId="77777777">
        <w:trPr>
          <w:trHeight w:val="6490"/>
        </w:trPr>
        <w:tc>
          <w:tcPr>
            <w:tcW w:w="2139" w:type="dxa"/>
          </w:tcPr>
          <w:p w14:paraId="54D92997" w14:textId="77777777" w:rsidR="00D757DA" w:rsidRDefault="0033254E">
            <w:pPr>
              <w:pStyle w:val="TableParagraph"/>
              <w:spacing w:before="120"/>
              <w:ind w:left="107"/>
              <w:rPr>
                <w:sz w:val="20"/>
              </w:rPr>
            </w:pPr>
            <w:r>
              <w:rPr>
                <w:sz w:val="20"/>
              </w:rPr>
              <w:t>IP Scan 3 – Quality check.</w:t>
            </w:r>
          </w:p>
        </w:tc>
        <w:tc>
          <w:tcPr>
            <w:tcW w:w="4702" w:type="dxa"/>
          </w:tcPr>
          <w:p w14:paraId="2A1D58E1" w14:textId="77777777" w:rsidR="00D757DA" w:rsidRDefault="0033254E">
            <w:pPr>
              <w:pStyle w:val="TableParagraph"/>
              <w:spacing w:before="120"/>
              <w:ind w:left="129" w:right="170"/>
              <w:jc w:val="both"/>
              <w:rPr>
                <w:sz w:val="20"/>
              </w:rPr>
            </w:pPr>
            <w:r>
              <w:rPr>
                <w:sz w:val="20"/>
              </w:rPr>
              <w:t xml:space="preserve">The IPO will </w:t>
            </w:r>
            <w:proofErr w:type="spellStart"/>
            <w:r>
              <w:rPr>
                <w:sz w:val="20"/>
              </w:rPr>
              <w:t>organise</w:t>
            </w:r>
            <w:proofErr w:type="spellEnd"/>
            <w:r>
              <w:rPr>
                <w:sz w:val="20"/>
              </w:rPr>
              <w:t>/coordinate a system of quality checks for the IP Scan report provided by the experts. The assumption is that all reports are checked for quality, but this can be adjusted according to the IPO´s capacity and a risk-based approach according to national law.</w:t>
            </w:r>
          </w:p>
          <w:p w14:paraId="42E7841C" w14:textId="77777777" w:rsidR="00D757DA" w:rsidRDefault="0033254E">
            <w:pPr>
              <w:pStyle w:val="TableParagraph"/>
              <w:spacing w:before="120"/>
              <w:ind w:left="129" w:right="174"/>
              <w:jc w:val="both"/>
              <w:rPr>
                <w:sz w:val="20"/>
              </w:rPr>
            </w:pPr>
            <w:r>
              <w:rPr>
                <w:sz w:val="20"/>
              </w:rPr>
              <w:t>The quality checks’ main aim is to what extent</w:t>
            </w:r>
            <w:r>
              <w:rPr>
                <w:spacing w:val="-37"/>
                <w:sz w:val="20"/>
              </w:rPr>
              <w:t xml:space="preserve"> </w:t>
            </w:r>
            <w:r>
              <w:rPr>
                <w:sz w:val="20"/>
              </w:rPr>
              <w:t>the IP</w:t>
            </w:r>
            <w:r>
              <w:rPr>
                <w:spacing w:val="-10"/>
                <w:sz w:val="20"/>
              </w:rPr>
              <w:t xml:space="preserve"> </w:t>
            </w:r>
            <w:r>
              <w:rPr>
                <w:sz w:val="20"/>
              </w:rPr>
              <w:t>Scan</w:t>
            </w:r>
            <w:r>
              <w:rPr>
                <w:spacing w:val="-12"/>
                <w:sz w:val="20"/>
              </w:rPr>
              <w:t xml:space="preserve"> </w:t>
            </w:r>
            <w:r>
              <w:rPr>
                <w:sz w:val="20"/>
              </w:rPr>
              <w:t>report</w:t>
            </w:r>
            <w:r>
              <w:rPr>
                <w:spacing w:val="-11"/>
                <w:sz w:val="20"/>
              </w:rPr>
              <w:t xml:space="preserve"> </w:t>
            </w:r>
            <w:r>
              <w:rPr>
                <w:sz w:val="20"/>
              </w:rPr>
              <w:t>provided</w:t>
            </w:r>
            <w:r>
              <w:rPr>
                <w:spacing w:val="-12"/>
                <w:sz w:val="20"/>
              </w:rPr>
              <w:t xml:space="preserve"> </w:t>
            </w:r>
            <w:r>
              <w:rPr>
                <w:sz w:val="20"/>
              </w:rPr>
              <w:t>by</w:t>
            </w:r>
            <w:r>
              <w:rPr>
                <w:spacing w:val="-10"/>
                <w:sz w:val="20"/>
              </w:rPr>
              <w:t xml:space="preserve"> </w:t>
            </w:r>
            <w:r>
              <w:rPr>
                <w:sz w:val="20"/>
              </w:rPr>
              <w:t>the</w:t>
            </w:r>
            <w:r>
              <w:rPr>
                <w:spacing w:val="-12"/>
                <w:sz w:val="20"/>
              </w:rPr>
              <w:t xml:space="preserve"> </w:t>
            </w:r>
            <w:r>
              <w:rPr>
                <w:sz w:val="20"/>
              </w:rPr>
              <w:t>experts</w:t>
            </w:r>
            <w:r>
              <w:rPr>
                <w:spacing w:val="-10"/>
                <w:sz w:val="20"/>
              </w:rPr>
              <w:t xml:space="preserve"> </w:t>
            </w:r>
            <w:r>
              <w:rPr>
                <w:sz w:val="20"/>
              </w:rPr>
              <w:t>is</w:t>
            </w:r>
            <w:r>
              <w:rPr>
                <w:spacing w:val="-10"/>
                <w:sz w:val="20"/>
              </w:rPr>
              <w:t xml:space="preserve"> </w:t>
            </w:r>
            <w:r>
              <w:rPr>
                <w:sz w:val="20"/>
              </w:rPr>
              <w:t>pertinent to the targeted SME and is not</w:t>
            </w:r>
            <w:r>
              <w:rPr>
                <w:spacing w:val="-7"/>
                <w:sz w:val="20"/>
              </w:rPr>
              <w:t xml:space="preserve"> </w:t>
            </w:r>
            <w:r>
              <w:rPr>
                <w:sz w:val="20"/>
              </w:rPr>
              <w:t>biased.</w:t>
            </w:r>
          </w:p>
          <w:p w14:paraId="46C3EDE1" w14:textId="77777777" w:rsidR="00D757DA" w:rsidRDefault="0033254E">
            <w:pPr>
              <w:pStyle w:val="TableParagraph"/>
              <w:spacing w:before="118"/>
              <w:ind w:left="129"/>
              <w:jc w:val="both"/>
              <w:rPr>
                <w:sz w:val="20"/>
              </w:rPr>
            </w:pPr>
            <w:r>
              <w:rPr>
                <w:sz w:val="20"/>
              </w:rPr>
              <w:t>Aspects of the quality checks are:</w:t>
            </w:r>
          </w:p>
          <w:p w14:paraId="6589A40E" w14:textId="77777777" w:rsidR="00D757DA" w:rsidRDefault="0033254E">
            <w:pPr>
              <w:pStyle w:val="TableParagraph"/>
              <w:numPr>
                <w:ilvl w:val="0"/>
                <w:numId w:val="38"/>
              </w:numPr>
              <w:tabs>
                <w:tab w:val="left" w:pos="415"/>
              </w:tabs>
              <w:spacing w:before="121"/>
              <w:ind w:right="173"/>
              <w:rPr>
                <w:sz w:val="20"/>
              </w:rPr>
            </w:pPr>
            <w:r>
              <w:rPr>
                <w:sz w:val="20"/>
              </w:rPr>
              <w:t>is</w:t>
            </w:r>
            <w:r>
              <w:rPr>
                <w:spacing w:val="-13"/>
                <w:sz w:val="20"/>
              </w:rPr>
              <w:t xml:space="preserve"> </w:t>
            </w:r>
            <w:r>
              <w:rPr>
                <w:sz w:val="20"/>
              </w:rPr>
              <w:t>clarity</w:t>
            </w:r>
            <w:r>
              <w:rPr>
                <w:spacing w:val="-13"/>
                <w:sz w:val="20"/>
              </w:rPr>
              <w:t xml:space="preserve"> </w:t>
            </w:r>
            <w:r>
              <w:rPr>
                <w:sz w:val="20"/>
              </w:rPr>
              <w:t>given</w:t>
            </w:r>
            <w:r>
              <w:rPr>
                <w:spacing w:val="-12"/>
                <w:sz w:val="20"/>
              </w:rPr>
              <w:t xml:space="preserve"> </w:t>
            </w:r>
            <w:r>
              <w:rPr>
                <w:sz w:val="20"/>
              </w:rPr>
              <w:t>of</w:t>
            </w:r>
            <w:r>
              <w:rPr>
                <w:spacing w:val="-14"/>
                <w:sz w:val="20"/>
              </w:rPr>
              <w:t xml:space="preserve"> </w:t>
            </w:r>
            <w:r>
              <w:rPr>
                <w:sz w:val="20"/>
              </w:rPr>
              <w:t>which</w:t>
            </w:r>
            <w:r>
              <w:rPr>
                <w:spacing w:val="-13"/>
                <w:sz w:val="20"/>
              </w:rPr>
              <w:t xml:space="preserve"> </w:t>
            </w:r>
            <w:r>
              <w:rPr>
                <w:sz w:val="20"/>
              </w:rPr>
              <w:t>business</w:t>
            </w:r>
            <w:r>
              <w:rPr>
                <w:spacing w:val="-12"/>
                <w:sz w:val="20"/>
              </w:rPr>
              <w:t xml:space="preserve"> </w:t>
            </w:r>
            <w:r>
              <w:rPr>
                <w:sz w:val="20"/>
              </w:rPr>
              <w:t>model</w:t>
            </w:r>
            <w:r>
              <w:rPr>
                <w:spacing w:val="-12"/>
                <w:sz w:val="20"/>
              </w:rPr>
              <w:t xml:space="preserve"> </w:t>
            </w:r>
            <w:r>
              <w:rPr>
                <w:sz w:val="20"/>
              </w:rPr>
              <w:t>is</w:t>
            </w:r>
            <w:r>
              <w:rPr>
                <w:spacing w:val="-11"/>
                <w:sz w:val="20"/>
              </w:rPr>
              <w:t xml:space="preserve"> </w:t>
            </w:r>
            <w:r>
              <w:rPr>
                <w:sz w:val="20"/>
              </w:rPr>
              <w:t>used for suggesting the initial IP</w:t>
            </w:r>
            <w:r>
              <w:rPr>
                <w:spacing w:val="-7"/>
                <w:sz w:val="20"/>
              </w:rPr>
              <w:t xml:space="preserve"> </w:t>
            </w:r>
            <w:r>
              <w:rPr>
                <w:sz w:val="20"/>
              </w:rPr>
              <w:t>strategy?</w:t>
            </w:r>
          </w:p>
          <w:p w14:paraId="6C67ACB0" w14:textId="77777777" w:rsidR="00D757DA" w:rsidRDefault="0033254E">
            <w:pPr>
              <w:pStyle w:val="TableParagraph"/>
              <w:numPr>
                <w:ilvl w:val="0"/>
                <w:numId w:val="38"/>
              </w:numPr>
              <w:tabs>
                <w:tab w:val="left" w:pos="415"/>
              </w:tabs>
              <w:spacing w:before="120"/>
              <w:ind w:right="174"/>
              <w:jc w:val="both"/>
              <w:rPr>
                <w:sz w:val="20"/>
              </w:rPr>
            </w:pPr>
            <w:r>
              <w:rPr>
                <w:sz w:val="20"/>
              </w:rPr>
              <w:t>are IP relevant intellectual assets identified in a plausible manner (in comparison to the business model</w:t>
            </w:r>
            <w:proofErr w:type="gramStart"/>
            <w:r>
              <w:rPr>
                <w:sz w:val="20"/>
              </w:rPr>
              <w:t>)</w:t>
            </w:r>
            <w:r>
              <w:rPr>
                <w:spacing w:val="-1"/>
                <w:sz w:val="20"/>
              </w:rPr>
              <w:t xml:space="preserve"> </w:t>
            </w:r>
            <w:r>
              <w:rPr>
                <w:sz w:val="20"/>
              </w:rPr>
              <w:t>?</w:t>
            </w:r>
            <w:proofErr w:type="gramEnd"/>
          </w:p>
          <w:p w14:paraId="6058C296" w14:textId="77777777" w:rsidR="00D757DA" w:rsidRDefault="0033254E">
            <w:pPr>
              <w:pStyle w:val="TableParagraph"/>
              <w:numPr>
                <w:ilvl w:val="0"/>
                <w:numId w:val="38"/>
              </w:numPr>
              <w:tabs>
                <w:tab w:val="left" w:pos="415"/>
              </w:tabs>
              <w:spacing w:before="118"/>
              <w:ind w:hanging="145"/>
              <w:rPr>
                <w:sz w:val="20"/>
              </w:rPr>
            </w:pPr>
            <w:r>
              <w:rPr>
                <w:sz w:val="20"/>
              </w:rPr>
              <w:t>is there a section on IP</w:t>
            </w:r>
            <w:r>
              <w:rPr>
                <w:spacing w:val="-9"/>
                <w:sz w:val="20"/>
              </w:rPr>
              <w:t xml:space="preserve"> </w:t>
            </w:r>
            <w:r>
              <w:rPr>
                <w:sz w:val="20"/>
              </w:rPr>
              <w:t>management?</w:t>
            </w:r>
          </w:p>
          <w:p w14:paraId="482DEF00" w14:textId="77777777" w:rsidR="00D757DA" w:rsidRDefault="0033254E">
            <w:pPr>
              <w:pStyle w:val="TableParagraph"/>
              <w:numPr>
                <w:ilvl w:val="0"/>
                <w:numId w:val="38"/>
              </w:numPr>
              <w:tabs>
                <w:tab w:val="left" w:pos="415"/>
              </w:tabs>
              <w:spacing w:before="120"/>
              <w:ind w:right="174"/>
              <w:rPr>
                <w:sz w:val="20"/>
              </w:rPr>
            </w:pPr>
            <w:r>
              <w:rPr>
                <w:sz w:val="20"/>
              </w:rPr>
              <w:t>are the recommendations relevant to the business model</w:t>
            </w:r>
            <w:r>
              <w:rPr>
                <w:spacing w:val="-2"/>
                <w:sz w:val="20"/>
              </w:rPr>
              <w:t xml:space="preserve"> </w:t>
            </w:r>
            <w:r>
              <w:rPr>
                <w:sz w:val="20"/>
              </w:rPr>
              <w:t>described?</w:t>
            </w:r>
          </w:p>
          <w:p w14:paraId="2536AC2B" w14:textId="77777777" w:rsidR="00D757DA" w:rsidRDefault="0033254E">
            <w:pPr>
              <w:pStyle w:val="TableParagraph"/>
              <w:numPr>
                <w:ilvl w:val="0"/>
                <w:numId w:val="38"/>
              </w:numPr>
              <w:tabs>
                <w:tab w:val="left" w:pos="415"/>
              </w:tabs>
              <w:spacing w:before="122" w:line="237" w:lineRule="auto"/>
              <w:ind w:right="172"/>
              <w:jc w:val="both"/>
              <w:rPr>
                <w:sz w:val="20"/>
              </w:rPr>
            </w:pPr>
            <w:r>
              <w:rPr>
                <w:sz w:val="20"/>
              </w:rPr>
              <w:t>do the recommendations include references</w:t>
            </w:r>
            <w:r>
              <w:rPr>
                <w:spacing w:val="-32"/>
                <w:sz w:val="20"/>
              </w:rPr>
              <w:t xml:space="preserve"> </w:t>
            </w:r>
            <w:r>
              <w:rPr>
                <w:sz w:val="20"/>
              </w:rPr>
              <w:t>to public support and private services to facilitate their</w:t>
            </w:r>
            <w:r>
              <w:rPr>
                <w:spacing w:val="1"/>
                <w:sz w:val="20"/>
              </w:rPr>
              <w:t xml:space="preserve"> </w:t>
            </w:r>
            <w:r>
              <w:rPr>
                <w:sz w:val="20"/>
              </w:rPr>
              <w:t>implementation?</w:t>
            </w:r>
          </w:p>
          <w:p w14:paraId="3D77A6F1" w14:textId="77777777" w:rsidR="00D757DA" w:rsidRDefault="0033254E">
            <w:pPr>
              <w:pStyle w:val="TableParagraph"/>
              <w:numPr>
                <w:ilvl w:val="0"/>
                <w:numId w:val="38"/>
              </w:numPr>
              <w:tabs>
                <w:tab w:val="left" w:pos="415"/>
              </w:tabs>
              <w:spacing w:before="123"/>
              <w:ind w:right="177"/>
              <w:rPr>
                <w:sz w:val="20"/>
              </w:rPr>
            </w:pPr>
            <w:r>
              <w:rPr>
                <w:sz w:val="20"/>
              </w:rPr>
              <w:t>is the annex adapted to the recommendations made?</w:t>
            </w:r>
          </w:p>
        </w:tc>
        <w:tc>
          <w:tcPr>
            <w:tcW w:w="2233" w:type="dxa"/>
          </w:tcPr>
          <w:p w14:paraId="324C43AB" w14:textId="77777777" w:rsidR="00D757DA" w:rsidRDefault="00D757DA">
            <w:pPr>
              <w:pStyle w:val="TableParagraph"/>
              <w:rPr>
                <w:rFonts w:ascii="Times New Roman"/>
                <w:sz w:val="20"/>
              </w:rPr>
            </w:pPr>
          </w:p>
        </w:tc>
      </w:tr>
    </w:tbl>
    <w:p w14:paraId="743A58E7" w14:textId="77777777" w:rsidR="00D757DA" w:rsidRDefault="00D757DA">
      <w:pPr>
        <w:rPr>
          <w:rFonts w:ascii="Times New Roman"/>
          <w:sz w:val="20"/>
        </w:rPr>
        <w:sectPr w:rsidR="00D757DA">
          <w:pgSz w:w="11910" w:h="16840"/>
          <w:pgMar w:top="1360" w:right="0" w:bottom="1160" w:left="1320" w:header="0" w:footer="881" w:gutter="0"/>
          <w:cols w:space="708"/>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4702"/>
        <w:gridCol w:w="2233"/>
      </w:tblGrid>
      <w:tr w:rsidR="00D757DA" w14:paraId="2A071539" w14:textId="77777777">
        <w:trPr>
          <w:trHeight w:val="1500"/>
        </w:trPr>
        <w:tc>
          <w:tcPr>
            <w:tcW w:w="2139" w:type="dxa"/>
          </w:tcPr>
          <w:p w14:paraId="7D7181E3" w14:textId="77777777" w:rsidR="00D757DA" w:rsidRDefault="00D757DA">
            <w:pPr>
              <w:pStyle w:val="TableParagraph"/>
              <w:rPr>
                <w:rFonts w:ascii="Times New Roman"/>
                <w:sz w:val="20"/>
              </w:rPr>
            </w:pPr>
          </w:p>
        </w:tc>
        <w:tc>
          <w:tcPr>
            <w:tcW w:w="4702" w:type="dxa"/>
          </w:tcPr>
          <w:p w14:paraId="0690D7EE" w14:textId="77777777" w:rsidR="00D757DA" w:rsidRDefault="0033254E">
            <w:pPr>
              <w:pStyle w:val="TableParagraph"/>
              <w:ind w:left="414" w:right="171" w:hanging="144"/>
              <w:jc w:val="both"/>
              <w:rPr>
                <w:sz w:val="20"/>
              </w:rPr>
            </w:pPr>
            <w:r>
              <w:rPr>
                <w:rFonts w:ascii="Times New Roman"/>
                <w:sz w:val="20"/>
              </w:rPr>
              <w:t xml:space="preserve">- </w:t>
            </w:r>
            <w:r>
              <w:rPr>
                <w:sz w:val="20"/>
              </w:rPr>
              <w:t>the IPO shall also collect the information from the experts regarding the main recommendations to facilitate the assessment of the impact of IP Scan. The information will be reported to EUIPO in the format described below.</w:t>
            </w:r>
          </w:p>
        </w:tc>
        <w:tc>
          <w:tcPr>
            <w:tcW w:w="2233" w:type="dxa"/>
          </w:tcPr>
          <w:p w14:paraId="7DB87FAD" w14:textId="77777777" w:rsidR="00D757DA" w:rsidRDefault="00D757DA">
            <w:pPr>
              <w:pStyle w:val="TableParagraph"/>
              <w:rPr>
                <w:rFonts w:ascii="Times New Roman"/>
                <w:sz w:val="20"/>
              </w:rPr>
            </w:pPr>
          </w:p>
        </w:tc>
      </w:tr>
    </w:tbl>
    <w:p w14:paraId="6CC5EB78" w14:textId="77777777" w:rsidR="00D757DA" w:rsidRDefault="00D757DA">
      <w:pPr>
        <w:pStyle w:val="Zkladntext"/>
        <w:spacing w:before="3"/>
        <w:rPr>
          <w:sz w:val="17"/>
        </w:rPr>
      </w:pPr>
    </w:p>
    <w:p w14:paraId="7FE74A88" w14:textId="77777777" w:rsidR="00D757DA" w:rsidRDefault="0033254E">
      <w:pPr>
        <w:pStyle w:val="Zkladntext"/>
        <w:spacing w:before="94" w:line="276" w:lineRule="auto"/>
        <w:ind w:left="120" w:right="1436"/>
        <w:jc w:val="both"/>
      </w:pPr>
      <w:r>
        <w:t>At</w:t>
      </w:r>
      <w:r>
        <w:rPr>
          <w:spacing w:val="-7"/>
        </w:rPr>
        <w:t xml:space="preserve"> </w:t>
      </w:r>
      <w:r>
        <w:t>the</w:t>
      </w:r>
      <w:r>
        <w:rPr>
          <w:spacing w:val="-9"/>
        </w:rPr>
        <w:t xml:space="preserve"> </w:t>
      </w:r>
      <w:r>
        <w:t>end</w:t>
      </w:r>
      <w:r>
        <w:rPr>
          <w:spacing w:val="-10"/>
        </w:rPr>
        <w:t xml:space="preserve"> </w:t>
      </w:r>
      <w:r>
        <w:t>of</w:t>
      </w:r>
      <w:r>
        <w:rPr>
          <w:spacing w:val="-8"/>
        </w:rPr>
        <w:t xml:space="preserve"> </w:t>
      </w:r>
      <w:r>
        <w:t>each</w:t>
      </w:r>
      <w:r>
        <w:rPr>
          <w:spacing w:val="-10"/>
        </w:rPr>
        <w:t xml:space="preserve"> </w:t>
      </w:r>
      <w:r>
        <w:t>quarter,</w:t>
      </w:r>
      <w:r>
        <w:rPr>
          <w:spacing w:val="-10"/>
        </w:rPr>
        <w:t xml:space="preserve"> </w:t>
      </w:r>
      <w:r>
        <w:t>the</w:t>
      </w:r>
      <w:r>
        <w:rPr>
          <w:spacing w:val="-9"/>
        </w:rPr>
        <w:t xml:space="preserve"> </w:t>
      </w:r>
      <w:r>
        <w:t>IPO</w:t>
      </w:r>
      <w:r>
        <w:rPr>
          <w:spacing w:val="-6"/>
        </w:rPr>
        <w:t xml:space="preserve"> </w:t>
      </w:r>
      <w:r>
        <w:t>will</w:t>
      </w:r>
      <w:r>
        <w:rPr>
          <w:spacing w:val="-10"/>
        </w:rPr>
        <w:t xml:space="preserve"> </w:t>
      </w:r>
      <w:r>
        <w:t>provide</w:t>
      </w:r>
      <w:r>
        <w:rPr>
          <w:spacing w:val="-8"/>
        </w:rPr>
        <w:t xml:space="preserve"> </w:t>
      </w:r>
      <w:r>
        <w:t>to</w:t>
      </w:r>
      <w:r>
        <w:rPr>
          <w:spacing w:val="-11"/>
        </w:rPr>
        <w:t xml:space="preserve"> </w:t>
      </w:r>
      <w:r>
        <w:t>the</w:t>
      </w:r>
      <w:r>
        <w:rPr>
          <w:spacing w:val="-9"/>
        </w:rPr>
        <w:t xml:space="preserve"> </w:t>
      </w:r>
      <w:r>
        <w:t>EUIPO</w:t>
      </w:r>
      <w:r>
        <w:rPr>
          <w:spacing w:val="-6"/>
        </w:rPr>
        <w:t xml:space="preserve"> </w:t>
      </w:r>
      <w:r>
        <w:t>a</w:t>
      </w:r>
      <w:r>
        <w:rPr>
          <w:spacing w:val="-9"/>
        </w:rPr>
        <w:t xml:space="preserve"> </w:t>
      </w:r>
      <w:r>
        <w:t>statistical</w:t>
      </w:r>
      <w:r>
        <w:rPr>
          <w:spacing w:val="-9"/>
        </w:rPr>
        <w:t xml:space="preserve"> </w:t>
      </w:r>
      <w:r>
        <w:t>report</w:t>
      </w:r>
      <w:r>
        <w:rPr>
          <w:spacing w:val="-7"/>
        </w:rPr>
        <w:t xml:space="preserve"> </w:t>
      </w:r>
      <w:r>
        <w:t>of</w:t>
      </w:r>
      <w:r>
        <w:rPr>
          <w:spacing w:val="-7"/>
        </w:rPr>
        <w:t xml:space="preserve"> </w:t>
      </w:r>
      <w:r>
        <w:t>the</w:t>
      </w:r>
      <w:r>
        <w:rPr>
          <w:spacing w:val="-8"/>
        </w:rPr>
        <w:t xml:space="preserve"> </w:t>
      </w:r>
      <w:r>
        <w:t>IP</w:t>
      </w:r>
      <w:r>
        <w:rPr>
          <w:spacing w:val="-9"/>
        </w:rPr>
        <w:t xml:space="preserve"> </w:t>
      </w:r>
      <w:r>
        <w:t>Scan service</w:t>
      </w:r>
      <w:r>
        <w:rPr>
          <w:spacing w:val="-15"/>
        </w:rPr>
        <w:t xml:space="preserve"> </w:t>
      </w:r>
      <w:r>
        <w:t>indicating</w:t>
      </w:r>
      <w:r>
        <w:rPr>
          <w:spacing w:val="-16"/>
        </w:rPr>
        <w:t xml:space="preserve"> </w:t>
      </w:r>
      <w:r>
        <w:t>the</w:t>
      </w:r>
      <w:r>
        <w:rPr>
          <w:spacing w:val="-16"/>
        </w:rPr>
        <w:t xml:space="preserve"> </w:t>
      </w:r>
      <w:r>
        <w:t>status,</w:t>
      </w:r>
      <w:r>
        <w:rPr>
          <w:spacing w:val="-13"/>
        </w:rPr>
        <w:t xml:space="preserve"> </w:t>
      </w:r>
      <w:r>
        <w:t>including</w:t>
      </w:r>
      <w:r>
        <w:rPr>
          <w:spacing w:val="-14"/>
        </w:rPr>
        <w:t xml:space="preserve"> </w:t>
      </w:r>
      <w:r>
        <w:t>dates</w:t>
      </w:r>
      <w:r>
        <w:rPr>
          <w:spacing w:val="-14"/>
        </w:rPr>
        <w:t xml:space="preserve"> </w:t>
      </w:r>
      <w:r>
        <w:t>of</w:t>
      </w:r>
      <w:r>
        <w:rPr>
          <w:spacing w:val="-15"/>
        </w:rPr>
        <w:t xml:space="preserve"> </w:t>
      </w:r>
      <w:r>
        <w:t>the</w:t>
      </w:r>
      <w:r>
        <w:rPr>
          <w:spacing w:val="-19"/>
        </w:rPr>
        <w:t xml:space="preserve"> </w:t>
      </w:r>
      <w:r>
        <w:t>IP</w:t>
      </w:r>
      <w:r>
        <w:rPr>
          <w:spacing w:val="-15"/>
        </w:rPr>
        <w:t xml:space="preserve"> </w:t>
      </w:r>
      <w:r>
        <w:t>Scan</w:t>
      </w:r>
      <w:r>
        <w:rPr>
          <w:spacing w:val="-16"/>
        </w:rPr>
        <w:t xml:space="preserve"> </w:t>
      </w:r>
      <w:r>
        <w:t>(requested,</w:t>
      </w:r>
      <w:r>
        <w:rPr>
          <w:spacing w:val="-12"/>
        </w:rPr>
        <w:t xml:space="preserve"> </w:t>
      </w:r>
      <w:r>
        <w:t>in</w:t>
      </w:r>
      <w:r>
        <w:rPr>
          <w:spacing w:val="-16"/>
        </w:rPr>
        <w:t xml:space="preserve"> </w:t>
      </w:r>
      <w:r>
        <w:t>process,</w:t>
      </w:r>
      <w:r>
        <w:rPr>
          <w:spacing w:val="-15"/>
        </w:rPr>
        <w:t xml:space="preserve"> </w:t>
      </w:r>
      <w:r>
        <w:t>completed) and</w:t>
      </w:r>
      <w:r>
        <w:rPr>
          <w:spacing w:val="-7"/>
        </w:rPr>
        <w:t xml:space="preserve"> </w:t>
      </w:r>
      <w:r>
        <w:t>the</w:t>
      </w:r>
      <w:r>
        <w:rPr>
          <w:spacing w:val="-13"/>
        </w:rPr>
        <w:t xml:space="preserve"> </w:t>
      </w:r>
      <w:r>
        <w:t>type</w:t>
      </w:r>
      <w:r>
        <w:rPr>
          <w:spacing w:val="-9"/>
        </w:rPr>
        <w:t xml:space="preserve"> </w:t>
      </w:r>
      <w:r>
        <w:t>of</w:t>
      </w:r>
      <w:r>
        <w:rPr>
          <w:spacing w:val="-11"/>
        </w:rPr>
        <w:t xml:space="preserve"> </w:t>
      </w:r>
      <w:r>
        <w:t>recommendation</w:t>
      </w:r>
      <w:r>
        <w:rPr>
          <w:spacing w:val="-7"/>
        </w:rPr>
        <w:t xml:space="preserve"> </w:t>
      </w:r>
      <w:r>
        <w:t>stemming</w:t>
      </w:r>
      <w:r>
        <w:rPr>
          <w:spacing w:val="-10"/>
        </w:rPr>
        <w:t xml:space="preserve"> </w:t>
      </w:r>
      <w:r>
        <w:t>from</w:t>
      </w:r>
      <w:r>
        <w:rPr>
          <w:spacing w:val="-10"/>
        </w:rPr>
        <w:t xml:space="preserve"> </w:t>
      </w:r>
      <w:r>
        <w:t>the</w:t>
      </w:r>
      <w:r>
        <w:rPr>
          <w:spacing w:val="-8"/>
        </w:rPr>
        <w:t xml:space="preserve"> </w:t>
      </w:r>
      <w:r>
        <w:t>report,</w:t>
      </w:r>
      <w:r>
        <w:rPr>
          <w:spacing w:val="-8"/>
        </w:rPr>
        <w:t xml:space="preserve"> </w:t>
      </w:r>
      <w:r>
        <w:t>containing</w:t>
      </w:r>
      <w:r>
        <w:rPr>
          <w:spacing w:val="-7"/>
        </w:rPr>
        <w:t xml:space="preserve"> </w:t>
      </w:r>
      <w:r>
        <w:t>also</w:t>
      </w:r>
      <w:r>
        <w:rPr>
          <w:spacing w:val="-10"/>
        </w:rPr>
        <w:t xml:space="preserve"> </w:t>
      </w:r>
      <w:r>
        <w:t>the</w:t>
      </w:r>
      <w:r>
        <w:rPr>
          <w:spacing w:val="-10"/>
        </w:rPr>
        <w:t xml:space="preserve"> </w:t>
      </w:r>
      <w:r>
        <w:t>contact</w:t>
      </w:r>
      <w:r>
        <w:rPr>
          <w:spacing w:val="-8"/>
        </w:rPr>
        <w:t xml:space="preserve"> </w:t>
      </w:r>
      <w:r>
        <w:t>details of</w:t>
      </w:r>
      <w:r>
        <w:rPr>
          <w:spacing w:val="-6"/>
        </w:rPr>
        <w:t xml:space="preserve"> </w:t>
      </w:r>
      <w:r>
        <w:t>the</w:t>
      </w:r>
      <w:r>
        <w:rPr>
          <w:spacing w:val="-5"/>
        </w:rPr>
        <w:t xml:space="preserve"> </w:t>
      </w:r>
      <w:r>
        <w:t>EU</w:t>
      </w:r>
      <w:r>
        <w:rPr>
          <w:spacing w:val="-5"/>
        </w:rPr>
        <w:t xml:space="preserve"> </w:t>
      </w:r>
      <w:r>
        <w:t>SME</w:t>
      </w:r>
      <w:r>
        <w:rPr>
          <w:spacing w:val="-8"/>
        </w:rPr>
        <w:t xml:space="preserve"> </w:t>
      </w:r>
      <w:r>
        <w:t>receiving</w:t>
      </w:r>
      <w:r>
        <w:rPr>
          <w:spacing w:val="-7"/>
        </w:rPr>
        <w:t xml:space="preserve"> </w:t>
      </w:r>
      <w:r>
        <w:t>the</w:t>
      </w:r>
      <w:r>
        <w:rPr>
          <w:spacing w:val="-7"/>
        </w:rPr>
        <w:t xml:space="preserve"> </w:t>
      </w:r>
      <w:r>
        <w:t>report.</w:t>
      </w:r>
      <w:r>
        <w:rPr>
          <w:spacing w:val="-6"/>
        </w:rPr>
        <w:t xml:space="preserve"> </w:t>
      </w:r>
      <w:r>
        <w:t>The</w:t>
      </w:r>
      <w:r>
        <w:rPr>
          <w:spacing w:val="-4"/>
        </w:rPr>
        <w:t xml:space="preserve"> </w:t>
      </w:r>
      <w:r>
        <w:t>EUIPO</w:t>
      </w:r>
      <w:r>
        <w:rPr>
          <w:spacing w:val="-6"/>
        </w:rPr>
        <w:t xml:space="preserve"> </w:t>
      </w:r>
      <w:r>
        <w:t>might</w:t>
      </w:r>
      <w:r>
        <w:rPr>
          <w:spacing w:val="-4"/>
        </w:rPr>
        <w:t xml:space="preserve"> </w:t>
      </w:r>
      <w:r>
        <w:t>provide</w:t>
      </w:r>
      <w:r>
        <w:rPr>
          <w:spacing w:val="-7"/>
        </w:rPr>
        <w:t xml:space="preserve"> </w:t>
      </w:r>
      <w:r>
        <w:t>templates,</w:t>
      </w:r>
      <w:r>
        <w:rPr>
          <w:spacing w:val="-4"/>
        </w:rPr>
        <w:t xml:space="preserve"> </w:t>
      </w:r>
      <w:r>
        <w:t>upon</w:t>
      </w:r>
      <w:r>
        <w:rPr>
          <w:spacing w:val="-4"/>
        </w:rPr>
        <w:t xml:space="preserve"> </w:t>
      </w:r>
      <w:r>
        <w:t>request</w:t>
      </w:r>
      <w:r>
        <w:rPr>
          <w:spacing w:val="-4"/>
        </w:rPr>
        <w:t xml:space="preserve"> </w:t>
      </w:r>
      <w:r>
        <w:t>of</w:t>
      </w:r>
      <w:r>
        <w:rPr>
          <w:spacing w:val="-5"/>
        </w:rPr>
        <w:t xml:space="preserve"> </w:t>
      </w:r>
      <w:r>
        <w:t>the IPO.</w:t>
      </w:r>
    </w:p>
    <w:p w14:paraId="672351FE" w14:textId="77777777" w:rsidR="00D757DA" w:rsidRDefault="00D757DA">
      <w:pPr>
        <w:pStyle w:val="Zkladntext"/>
        <w:spacing w:before="3"/>
        <w:rPr>
          <w:sz w:val="25"/>
        </w:rPr>
      </w:pPr>
    </w:p>
    <w:p w14:paraId="510D7096" w14:textId="77777777" w:rsidR="00D757DA" w:rsidRDefault="0033254E">
      <w:pPr>
        <w:pStyle w:val="Zkladntext"/>
        <w:spacing w:line="276" w:lineRule="auto"/>
        <w:ind w:left="120" w:right="1437"/>
        <w:jc w:val="both"/>
      </w:pPr>
      <w:r>
        <w:t>The</w:t>
      </w:r>
      <w:r>
        <w:rPr>
          <w:spacing w:val="-5"/>
        </w:rPr>
        <w:t xml:space="preserve"> </w:t>
      </w:r>
      <w:r>
        <w:t>statistical</w:t>
      </w:r>
      <w:r>
        <w:rPr>
          <w:spacing w:val="-7"/>
        </w:rPr>
        <w:t xml:space="preserve"> </w:t>
      </w:r>
      <w:r>
        <w:t>report</w:t>
      </w:r>
      <w:r>
        <w:rPr>
          <w:spacing w:val="-4"/>
        </w:rPr>
        <w:t xml:space="preserve"> </w:t>
      </w:r>
      <w:r>
        <w:t>shall</w:t>
      </w:r>
      <w:r>
        <w:rPr>
          <w:spacing w:val="-5"/>
        </w:rPr>
        <w:t xml:space="preserve"> </w:t>
      </w:r>
      <w:r>
        <w:t>be</w:t>
      </w:r>
      <w:r>
        <w:rPr>
          <w:spacing w:val="-5"/>
        </w:rPr>
        <w:t xml:space="preserve"> </w:t>
      </w:r>
      <w:r>
        <w:t>uploaded</w:t>
      </w:r>
      <w:r>
        <w:rPr>
          <w:spacing w:val="-4"/>
        </w:rPr>
        <w:t xml:space="preserve"> </w:t>
      </w:r>
      <w:r>
        <w:t>by</w:t>
      </w:r>
      <w:r>
        <w:rPr>
          <w:spacing w:val="-6"/>
        </w:rPr>
        <w:t xml:space="preserve"> </w:t>
      </w:r>
      <w:r>
        <w:t>the</w:t>
      </w:r>
      <w:r>
        <w:rPr>
          <w:spacing w:val="-8"/>
        </w:rPr>
        <w:t xml:space="preserve"> </w:t>
      </w:r>
      <w:r>
        <w:t>IPO</w:t>
      </w:r>
      <w:r>
        <w:rPr>
          <w:spacing w:val="-5"/>
        </w:rPr>
        <w:t xml:space="preserve"> </w:t>
      </w:r>
      <w:r>
        <w:t>in</w:t>
      </w:r>
      <w:r>
        <w:rPr>
          <w:spacing w:val="-5"/>
        </w:rPr>
        <w:t xml:space="preserve"> </w:t>
      </w:r>
      <w:r>
        <w:t>the</w:t>
      </w:r>
      <w:r>
        <w:rPr>
          <w:spacing w:val="-7"/>
        </w:rPr>
        <w:t xml:space="preserve"> </w:t>
      </w:r>
      <w:r>
        <w:t>Cooperation</w:t>
      </w:r>
      <w:r>
        <w:rPr>
          <w:spacing w:val="-4"/>
        </w:rPr>
        <w:t xml:space="preserve"> </w:t>
      </w:r>
      <w:r>
        <w:t>platform</w:t>
      </w:r>
      <w:r>
        <w:rPr>
          <w:spacing w:val="-6"/>
        </w:rPr>
        <w:t xml:space="preserve"> </w:t>
      </w:r>
      <w:r>
        <w:t>as</w:t>
      </w:r>
      <w:r>
        <w:rPr>
          <w:spacing w:val="-4"/>
        </w:rPr>
        <w:t xml:space="preserve"> </w:t>
      </w:r>
      <w:r>
        <w:t>evidence</w:t>
      </w:r>
      <w:r>
        <w:rPr>
          <w:spacing w:val="-5"/>
        </w:rPr>
        <w:t xml:space="preserve"> </w:t>
      </w:r>
      <w:r>
        <w:t>of the service carried</w:t>
      </w:r>
      <w:r>
        <w:rPr>
          <w:spacing w:val="-3"/>
        </w:rPr>
        <w:t xml:space="preserve"> </w:t>
      </w:r>
      <w:r>
        <w:t>out.</w:t>
      </w:r>
    </w:p>
    <w:p w14:paraId="0BA5193D" w14:textId="77777777" w:rsidR="00D757DA" w:rsidRDefault="00D757DA">
      <w:pPr>
        <w:pStyle w:val="Zkladntext"/>
        <w:spacing w:before="11"/>
        <w:rPr>
          <w:sz w:val="23"/>
        </w:rPr>
      </w:pPr>
    </w:p>
    <w:p w14:paraId="57C5FE78" w14:textId="77777777" w:rsidR="00D757DA" w:rsidRDefault="0033254E">
      <w:pPr>
        <w:pStyle w:val="Odstavecseseznamem"/>
        <w:numPr>
          <w:ilvl w:val="1"/>
          <w:numId w:val="39"/>
        </w:numPr>
        <w:tabs>
          <w:tab w:val="left" w:pos="841"/>
        </w:tabs>
        <w:spacing w:line="259" w:lineRule="auto"/>
        <w:ind w:right="1438" w:hanging="12"/>
        <w:jc w:val="both"/>
      </w:pPr>
      <w:r>
        <w:t>For the provision of the IPO’s free support to the EU SMEs in the field of IP Scan the EUIPO shall pay a contribution to the IPO following the amount listed in Annex to Note MBBC/23/S16/3.2/EN(O)</w:t>
      </w:r>
    </w:p>
    <w:p w14:paraId="61C01C1B" w14:textId="77777777" w:rsidR="00D757DA" w:rsidRDefault="00D757DA">
      <w:pPr>
        <w:pStyle w:val="Zkladntext"/>
      </w:pPr>
    </w:p>
    <w:p w14:paraId="220321D6" w14:textId="77777777" w:rsidR="00D757DA" w:rsidRDefault="0033254E">
      <w:pPr>
        <w:pStyle w:val="Odstavecseseznamem"/>
        <w:numPr>
          <w:ilvl w:val="1"/>
          <w:numId w:val="39"/>
        </w:numPr>
        <w:tabs>
          <w:tab w:val="left" w:pos="841"/>
        </w:tabs>
        <w:spacing w:line="259" w:lineRule="auto"/>
        <w:ind w:right="1435" w:hanging="12"/>
        <w:jc w:val="both"/>
      </w:pPr>
      <w:r>
        <w:t>For</w:t>
      </w:r>
      <w:r>
        <w:rPr>
          <w:spacing w:val="-3"/>
        </w:rPr>
        <w:t xml:space="preserve"> </w:t>
      </w:r>
      <w:r>
        <w:t>the</w:t>
      </w:r>
      <w:r>
        <w:rPr>
          <w:spacing w:val="-6"/>
        </w:rPr>
        <w:t xml:space="preserve"> </w:t>
      </w:r>
      <w:r>
        <w:t>provision</w:t>
      </w:r>
      <w:r>
        <w:rPr>
          <w:spacing w:val="-3"/>
        </w:rPr>
        <w:t xml:space="preserve"> </w:t>
      </w:r>
      <w:r>
        <w:t>of</w:t>
      </w:r>
      <w:r>
        <w:rPr>
          <w:spacing w:val="-2"/>
        </w:rPr>
        <w:t xml:space="preserve"> </w:t>
      </w:r>
      <w:r>
        <w:t>the</w:t>
      </w:r>
      <w:r>
        <w:rPr>
          <w:spacing w:val="-6"/>
        </w:rPr>
        <w:t xml:space="preserve"> </w:t>
      </w:r>
      <w:r>
        <w:t>free</w:t>
      </w:r>
      <w:r>
        <w:rPr>
          <w:spacing w:val="-3"/>
        </w:rPr>
        <w:t xml:space="preserve"> </w:t>
      </w:r>
      <w:r>
        <w:t>support</w:t>
      </w:r>
      <w:r>
        <w:rPr>
          <w:spacing w:val="-2"/>
        </w:rPr>
        <w:t xml:space="preserve"> </w:t>
      </w:r>
      <w:r>
        <w:t>to</w:t>
      </w:r>
      <w:r>
        <w:rPr>
          <w:spacing w:val="-5"/>
        </w:rPr>
        <w:t xml:space="preserve"> </w:t>
      </w:r>
      <w:r>
        <w:t>the</w:t>
      </w:r>
      <w:r>
        <w:rPr>
          <w:spacing w:val="-3"/>
        </w:rPr>
        <w:t xml:space="preserve"> </w:t>
      </w:r>
      <w:r>
        <w:t>EU</w:t>
      </w:r>
      <w:r>
        <w:rPr>
          <w:spacing w:val="-5"/>
        </w:rPr>
        <w:t xml:space="preserve"> </w:t>
      </w:r>
      <w:r>
        <w:t>SMEs</w:t>
      </w:r>
      <w:r>
        <w:rPr>
          <w:spacing w:val="-3"/>
        </w:rPr>
        <w:t xml:space="preserve"> </w:t>
      </w:r>
      <w:r>
        <w:t>in</w:t>
      </w:r>
      <w:r>
        <w:rPr>
          <w:spacing w:val="-3"/>
        </w:rPr>
        <w:t xml:space="preserve"> </w:t>
      </w:r>
      <w:r>
        <w:t>the</w:t>
      </w:r>
      <w:r>
        <w:rPr>
          <w:spacing w:val="-6"/>
        </w:rPr>
        <w:t xml:space="preserve"> </w:t>
      </w:r>
      <w:r>
        <w:t>field</w:t>
      </w:r>
      <w:r>
        <w:rPr>
          <w:spacing w:val="-3"/>
        </w:rPr>
        <w:t xml:space="preserve"> </w:t>
      </w:r>
      <w:r>
        <w:t>of</w:t>
      </w:r>
      <w:r>
        <w:rPr>
          <w:spacing w:val="-2"/>
        </w:rPr>
        <w:t xml:space="preserve"> </w:t>
      </w:r>
      <w:r>
        <w:t>IP</w:t>
      </w:r>
      <w:r>
        <w:rPr>
          <w:spacing w:val="-6"/>
        </w:rPr>
        <w:t xml:space="preserve"> </w:t>
      </w:r>
      <w:r>
        <w:t>Scan,</w:t>
      </w:r>
      <w:r>
        <w:rPr>
          <w:spacing w:val="-4"/>
        </w:rPr>
        <w:t xml:space="preserve"> </w:t>
      </w:r>
      <w:r>
        <w:t>the</w:t>
      </w:r>
      <w:r>
        <w:rPr>
          <w:spacing w:val="-6"/>
        </w:rPr>
        <w:t xml:space="preserve"> </w:t>
      </w:r>
      <w:r>
        <w:t>IPO</w:t>
      </w:r>
      <w:r>
        <w:rPr>
          <w:spacing w:val="-2"/>
        </w:rPr>
        <w:t xml:space="preserve"> </w:t>
      </w:r>
      <w:r>
        <w:t xml:space="preserve">is free to use its staff or external experts selected </w:t>
      </w:r>
      <w:proofErr w:type="gramStart"/>
      <w:r>
        <w:t>on the basis of</w:t>
      </w:r>
      <w:proofErr w:type="gramEnd"/>
      <w:r>
        <w:t xml:space="preserve"> objective and transparent criteria which shall include, amongst others, the</w:t>
      </w:r>
      <w:r>
        <w:rPr>
          <w:spacing w:val="-8"/>
        </w:rPr>
        <w:t xml:space="preserve"> </w:t>
      </w:r>
      <w:r>
        <w:t>following:</w:t>
      </w:r>
    </w:p>
    <w:p w14:paraId="6D35C30A" w14:textId="77777777" w:rsidR="00D757DA" w:rsidRDefault="00D757DA">
      <w:pPr>
        <w:pStyle w:val="Zkladntext"/>
        <w:spacing w:before="9"/>
        <w:rPr>
          <w:sz w:val="21"/>
        </w:rPr>
      </w:pPr>
    </w:p>
    <w:p w14:paraId="42884E98" w14:textId="77777777" w:rsidR="00D757DA" w:rsidRDefault="0033254E">
      <w:pPr>
        <w:pStyle w:val="Odstavecseseznamem"/>
        <w:numPr>
          <w:ilvl w:val="2"/>
          <w:numId w:val="39"/>
        </w:numPr>
        <w:tabs>
          <w:tab w:val="left" w:pos="1253"/>
          <w:tab w:val="left" w:pos="1254"/>
        </w:tabs>
        <w:ind w:hanging="426"/>
      </w:pPr>
      <w:r>
        <w:t>experience with</w:t>
      </w:r>
      <w:r>
        <w:rPr>
          <w:spacing w:val="-3"/>
        </w:rPr>
        <w:t xml:space="preserve"> </w:t>
      </w:r>
      <w:proofErr w:type="gramStart"/>
      <w:r>
        <w:t>SMEs;</w:t>
      </w:r>
      <w:proofErr w:type="gramEnd"/>
    </w:p>
    <w:p w14:paraId="023BEFB8" w14:textId="77777777" w:rsidR="00D757DA" w:rsidRDefault="0033254E">
      <w:pPr>
        <w:pStyle w:val="Odstavecseseznamem"/>
        <w:numPr>
          <w:ilvl w:val="2"/>
          <w:numId w:val="39"/>
        </w:numPr>
        <w:tabs>
          <w:tab w:val="left" w:pos="1253"/>
          <w:tab w:val="left" w:pos="1254"/>
        </w:tabs>
        <w:spacing w:before="21"/>
        <w:ind w:hanging="426"/>
      </w:pPr>
      <w:r>
        <w:t>experience in</w:t>
      </w:r>
      <w:r>
        <w:rPr>
          <w:spacing w:val="-3"/>
        </w:rPr>
        <w:t xml:space="preserve"> </w:t>
      </w:r>
      <w:proofErr w:type="gramStart"/>
      <w:r>
        <w:t>IP;</w:t>
      </w:r>
      <w:proofErr w:type="gramEnd"/>
    </w:p>
    <w:p w14:paraId="506818CB" w14:textId="77777777" w:rsidR="00D757DA" w:rsidRDefault="0033254E">
      <w:pPr>
        <w:pStyle w:val="Odstavecseseznamem"/>
        <w:numPr>
          <w:ilvl w:val="2"/>
          <w:numId w:val="39"/>
        </w:numPr>
        <w:tabs>
          <w:tab w:val="left" w:pos="1253"/>
          <w:tab w:val="left" w:pos="1254"/>
        </w:tabs>
        <w:spacing w:before="19"/>
        <w:ind w:hanging="426"/>
      </w:pPr>
      <w:r>
        <w:t>participation in an IP</w:t>
      </w:r>
      <w:r>
        <w:rPr>
          <w:spacing w:val="-6"/>
        </w:rPr>
        <w:t xml:space="preserve"> </w:t>
      </w:r>
      <w:proofErr w:type="spellStart"/>
      <w:r>
        <w:t>Scantraining</w:t>
      </w:r>
      <w:proofErr w:type="spellEnd"/>
      <w:r>
        <w:t>.</w:t>
      </w:r>
    </w:p>
    <w:p w14:paraId="448C115E" w14:textId="77777777" w:rsidR="00D757DA" w:rsidRDefault="00D757DA">
      <w:pPr>
        <w:pStyle w:val="Zkladntext"/>
        <w:spacing w:before="5"/>
        <w:rPr>
          <w:sz w:val="28"/>
        </w:rPr>
      </w:pPr>
    </w:p>
    <w:p w14:paraId="4C832A06" w14:textId="77777777" w:rsidR="00D757DA" w:rsidRDefault="0033254E">
      <w:pPr>
        <w:pStyle w:val="Zkladntext"/>
        <w:ind w:left="120"/>
        <w:jc w:val="both"/>
      </w:pPr>
      <w:r>
        <w:t>The IPO will provide the list of the experts selected to the EUIPO.</w:t>
      </w:r>
    </w:p>
    <w:p w14:paraId="5EF01114" w14:textId="77777777" w:rsidR="00D757DA" w:rsidRDefault="00D757DA">
      <w:pPr>
        <w:pStyle w:val="Zkladntext"/>
        <w:spacing w:before="5"/>
        <w:rPr>
          <w:sz w:val="31"/>
        </w:rPr>
      </w:pPr>
    </w:p>
    <w:p w14:paraId="3ACC117F" w14:textId="77777777" w:rsidR="00D757DA" w:rsidRDefault="0033254E">
      <w:pPr>
        <w:pStyle w:val="Nadpis3"/>
        <w:jc w:val="both"/>
      </w:pPr>
      <w:bookmarkStart w:id="39" w:name="ARTICLE_31_-_TMVIEW_AND_DESIGNVIEW"/>
      <w:bookmarkEnd w:id="39"/>
      <w:r>
        <w:t>ARTICLE 31 - TMVIEW AND DESIGNVIEW</w:t>
      </w:r>
    </w:p>
    <w:p w14:paraId="41C7F7D3" w14:textId="77777777" w:rsidR="00D757DA" w:rsidRDefault="00D757DA">
      <w:pPr>
        <w:pStyle w:val="Zkladntext"/>
        <w:spacing w:before="9"/>
        <w:rPr>
          <w:b/>
          <w:sz w:val="20"/>
        </w:rPr>
      </w:pPr>
    </w:p>
    <w:p w14:paraId="2F7B2675" w14:textId="77777777" w:rsidR="00D757DA" w:rsidRDefault="0033254E">
      <w:pPr>
        <w:pStyle w:val="Odstavecseseznamem"/>
        <w:numPr>
          <w:ilvl w:val="1"/>
          <w:numId w:val="37"/>
        </w:numPr>
        <w:tabs>
          <w:tab w:val="left" w:pos="829"/>
        </w:tabs>
        <w:ind w:right="1435" w:firstLine="0"/>
        <w:jc w:val="both"/>
      </w:pPr>
      <w:r>
        <w:t xml:space="preserve">This provision applies to the EUIPO´s support to </w:t>
      </w:r>
      <w:proofErr w:type="spellStart"/>
      <w:r>
        <w:t>TMview</w:t>
      </w:r>
      <w:proofErr w:type="spellEnd"/>
      <w:r>
        <w:t xml:space="preserve"> and </w:t>
      </w:r>
      <w:proofErr w:type="spellStart"/>
      <w:r>
        <w:t>DSview</w:t>
      </w:r>
      <w:proofErr w:type="spellEnd"/>
      <w:r>
        <w:t>, whose form of contribution is financing not linked to cost, based on the Administrative Decision ADM</w:t>
      </w:r>
      <w:r>
        <w:rPr>
          <w:spacing w:val="-37"/>
        </w:rPr>
        <w:t xml:space="preserve"> </w:t>
      </w:r>
      <w:r>
        <w:t>25-23</w:t>
      </w:r>
    </w:p>
    <w:p w14:paraId="227F10F3" w14:textId="77777777" w:rsidR="00D757DA" w:rsidRDefault="00D757DA">
      <w:pPr>
        <w:pStyle w:val="Zkladntext"/>
        <w:spacing w:before="11"/>
        <w:rPr>
          <w:sz w:val="20"/>
        </w:rPr>
      </w:pPr>
    </w:p>
    <w:p w14:paraId="7FBA07D3" w14:textId="77777777" w:rsidR="00D757DA" w:rsidRDefault="0033254E">
      <w:pPr>
        <w:pStyle w:val="Odstavecseseznamem"/>
        <w:numPr>
          <w:ilvl w:val="1"/>
          <w:numId w:val="37"/>
        </w:numPr>
        <w:tabs>
          <w:tab w:val="left" w:pos="829"/>
        </w:tabs>
        <w:ind w:right="1433" w:firstLine="0"/>
        <w:jc w:val="both"/>
      </w:pPr>
      <w:r>
        <w:t xml:space="preserve">The IPO grants the EUIPO a royalty-free license to bulk download and incremental updates of data filed with the IPO and to use such data for </w:t>
      </w:r>
      <w:proofErr w:type="spellStart"/>
      <w:r>
        <w:t>TMView</w:t>
      </w:r>
      <w:proofErr w:type="spellEnd"/>
      <w:r>
        <w:t xml:space="preserve"> and </w:t>
      </w:r>
      <w:proofErr w:type="spellStart"/>
      <w:r>
        <w:t>Desingview</w:t>
      </w:r>
      <w:proofErr w:type="spellEnd"/>
      <w:r>
        <w:t xml:space="preserve"> in accordance with the terms specified in any agreement between the EUIPO and a third-party for the purposes of implementing any cooperation activity. For the purposes of this license, the data shall mean image files, bibliographical information and personal</w:t>
      </w:r>
      <w:r>
        <w:rPr>
          <w:spacing w:val="-20"/>
        </w:rPr>
        <w:t xml:space="preserve"> </w:t>
      </w:r>
      <w:r>
        <w:t>data.</w:t>
      </w:r>
    </w:p>
    <w:p w14:paraId="1ECB29C8" w14:textId="77777777" w:rsidR="00D757DA" w:rsidRDefault="00D757DA">
      <w:pPr>
        <w:pStyle w:val="Zkladntext"/>
        <w:spacing w:before="10"/>
        <w:rPr>
          <w:sz w:val="20"/>
        </w:rPr>
      </w:pPr>
    </w:p>
    <w:p w14:paraId="730EA882" w14:textId="77777777" w:rsidR="00D757DA" w:rsidRDefault="0033254E">
      <w:pPr>
        <w:pStyle w:val="Odstavecseseznamem"/>
        <w:numPr>
          <w:ilvl w:val="1"/>
          <w:numId w:val="37"/>
        </w:numPr>
        <w:tabs>
          <w:tab w:val="left" w:pos="829"/>
        </w:tabs>
        <w:ind w:right="1433" w:firstLine="0"/>
        <w:jc w:val="both"/>
      </w:pPr>
      <w:r>
        <w:t xml:space="preserve">If the IPO is connected to the </w:t>
      </w:r>
      <w:proofErr w:type="spellStart"/>
      <w:r>
        <w:t>TMDSview</w:t>
      </w:r>
      <w:proofErr w:type="spellEnd"/>
      <w:r>
        <w:t xml:space="preserve"> blockchain Network for the purposes of </w:t>
      </w:r>
      <w:proofErr w:type="spellStart"/>
      <w:r>
        <w:t>TMview</w:t>
      </w:r>
      <w:proofErr w:type="spellEnd"/>
      <w:r>
        <w:t xml:space="preserve"> and/or </w:t>
      </w:r>
      <w:proofErr w:type="spellStart"/>
      <w:r>
        <w:t>DesignView</w:t>
      </w:r>
      <w:proofErr w:type="spellEnd"/>
      <w:r>
        <w:t xml:space="preserve">, then the royalty-free license to download bulk and incremental updates of data is extended to those IPOs of the network that the IPO will choose to share data with. For the purposes of this license, the data shall mean at least the bibliographical information excluding personal data. The IPO may amplify the licensed data beyond those mentioned before, while both the EUIPO and the IPO are considered data </w:t>
      </w:r>
      <w:proofErr w:type="spellStart"/>
      <w:proofErr w:type="gramStart"/>
      <w:r>
        <w:t>controllers.The</w:t>
      </w:r>
      <w:proofErr w:type="spellEnd"/>
      <w:proofErr w:type="gramEnd"/>
      <w:r>
        <w:t xml:space="preserve"> EUIPO and the I</w:t>
      </w:r>
      <w:r>
        <w:t>PO undertakes that it shall not use or exploit the downloaded</w:t>
      </w:r>
      <w:r>
        <w:rPr>
          <w:spacing w:val="-23"/>
        </w:rPr>
        <w:t xml:space="preserve"> </w:t>
      </w:r>
      <w:r>
        <w:t>data:</w:t>
      </w:r>
    </w:p>
    <w:p w14:paraId="14636EAD" w14:textId="77777777" w:rsidR="00D757DA" w:rsidRDefault="00D757DA">
      <w:pPr>
        <w:pStyle w:val="Zkladntext"/>
        <w:spacing w:before="11"/>
        <w:rPr>
          <w:sz w:val="20"/>
        </w:rPr>
      </w:pPr>
    </w:p>
    <w:p w14:paraId="4599A89B" w14:textId="77777777" w:rsidR="00D757DA" w:rsidRDefault="0033254E">
      <w:pPr>
        <w:pStyle w:val="Odstavecseseznamem"/>
        <w:numPr>
          <w:ilvl w:val="2"/>
          <w:numId w:val="37"/>
        </w:numPr>
        <w:tabs>
          <w:tab w:val="left" w:pos="1253"/>
          <w:tab w:val="left" w:pos="1254"/>
        </w:tabs>
        <w:ind w:hanging="426"/>
      </w:pPr>
      <w:r>
        <w:t>other than for the purpose indicated under Article</w:t>
      </w:r>
      <w:r>
        <w:rPr>
          <w:spacing w:val="-8"/>
        </w:rPr>
        <w:t xml:space="preserve"> </w:t>
      </w:r>
      <w:proofErr w:type="gramStart"/>
      <w:r>
        <w:t>31.2;</w:t>
      </w:r>
      <w:proofErr w:type="gramEnd"/>
    </w:p>
    <w:p w14:paraId="32E62045" w14:textId="77777777" w:rsidR="00D757DA" w:rsidRDefault="00D757DA">
      <w:pPr>
        <w:pStyle w:val="Zkladntext"/>
        <w:spacing w:before="9"/>
        <w:rPr>
          <w:sz w:val="20"/>
        </w:rPr>
      </w:pPr>
    </w:p>
    <w:p w14:paraId="4170C85D" w14:textId="77777777" w:rsidR="00D757DA" w:rsidRDefault="0033254E">
      <w:pPr>
        <w:pStyle w:val="Odstavecseseznamem"/>
        <w:numPr>
          <w:ilvl w:val="2"/>
          <w:numId w:val="37"/>
        </w:numPr>
        <w:tabs>
          <w:tab w:val="left" w:pos="1253"/>
          <w:tab w:val="left" w:pos="1254"/>
        </w:tabs>
        <w:ind w:hanging="426"/>
      </w:pPr>
      <w:r>
        <w:t>for any unlawful act; or</w:t>
      </w:r>
    </w:p>
    <w:p w14:paraId="1EC374B3" w14:textId="77777777" w:rsidR="00D757DA" w:rsidRDefault="00D757DA">
      <w:pPr>
        <w:sectPr w:rsidR="00D757DA">
          <w:pgSz w:w="11910" w:h="16840"/>
          <w:pgMar w:top="1420" w:right="0" w:bottom="1160" w:left="1320" w:header="0" w:footer="881" w:gutter="0"/>
          <w:cols w:space="708"/>
        </w:sectPr>
      </w:pPr>
    </w:p>
    <w:p w14:paraId="4B60B37E" w14:textId="77777777" w:rsidR="00D757DA" w:rsidRDefault="0033254E">
      <w:pPr>
        <w:pStyle w:val="Odstavecseseznamem"/>
        <w:numPr>
          <w:ilvl w:val="2"/>
          <w:numId w:val="37"/>
        </w:numPr>
        <w:tabs>
          <w:tab w:val="left" w:pos="1254"/>
        </w:tabs>
        <w:spacing w:before="81"/>
        <w:ind w:right="1439"/>
        <w:jc w:val="both"/>
      </w:pPr>
      <w:r>
        <w:lastRenderedPageBreak/>
        <w:t>in</w:t>
      </w:r>
      <w:r>
        <w:rPr>
          <w:spacing w:val="-4"/>
        </w:rPr>
        <w:t xml:space="preserve"> </w:t>
      </w:r>
      <w:r>
        <w:t>a</w:t>
      </w:r>
      <w:r>
        <w:rPr>
          <w:spacing w:val="-4"/>
        </w:rPr>
        <w:t xml:space="preserve"> </w:t>
      </w:r>
      <w:r>
        <w:t>manner</w:t>
      </w:r>
      <w:r>
        <w:rPr>
          <w:spacing w:val="-5"/>
        </w:rPr>
        <w:t xml:space="preserve"> </w:t>
      </w:r>
      <w:r>
        <w:t>that</w:t>
      </w:r>
      <w:r>
        <w:rPr>
          <w:spacing w:val="-3"/>
        </w:rPr>
        <w:t xml:space="preserve"> </w:t>
      </w:r>
      <w:r>
        <w:t>violates</w:t>
      </w:r>
      <w:r>
        <w:rPr>
          <w:spacing w:val="-7"/>
        </w:rPr>
        <w:t xml:space="preserve"> </w:t>
      </w:r>
      <w:r>
        <w:t>the</w:t>
      </w:r>
      <w:r>
        <w:rPr>
          <w:spacing w:val="-4"/>
        </w:rPr>
        <w:t xml:space="preserve"> </w:t>
      </w:r>
      <w:r>
        <w:t>personal</w:t>
      </w:r>
      <w:r>
        <w:rPr>
          <w:spacing w:val="-5"/>
        </w:rPr>
        <w:t xml:space="preserve"> </w:t>
      </w:r>
      <w:r>
        <w:t>or</w:t>
      </w:r>
      <w:r>
        <w:rPr>
          <w:spacing w:val="-3"/>
        </w:rPr>
        <w:t xml:space="preserve"> </w:t>
      </w:r>
      <w:r>
        <w:t>property</w:t>
      </w:r>
      <w:r>
        <w:rPr>
          <w:spacing w:val="-6"/>
        </w:rPr>
        <w:t xml:space="preserve"> </w:t>
      </w:r>
      <w:r>
        <w:t>rights</w:t>
      </w:r>
      <w:r>
        <w:rPr>
          <w:spacing w:val="-3"/>
        </w:rPr>
        <w:t xml:space="preserve"> </w:t>
      </w:r>
      <w:r>
        <w:t>of</w:t>
      </w:r>
      <w:r>
        <w:rPr>
          <w:spacing w:val="-5"/>
        </w:rPr>
        <w:t xml:space="preserve"> </w:t>
      </w:r>
      <w:r>
        <w:t>third</w:t>
      </w:r>
      <w:r>
        <w:rPr>
          <w:spacing w:val="-4"/>
        </w:rPr>
        <w:t xml:space="preserve"> </w:t>
      </w:r>
      <w:r>
        <w:t>parties</w:t>
      </w:r>
      <w:r>
        <w:rPr>
          <w:spacing w:val="-4"/>
        </w:rPr>
        <w:t xml:space="preserve"> </w:t>
      </w:r>
      <w:r>
        <w:t>in</w:t>
      </w:r>
      <w:r>
        <w:rPr>
          <w:spacing w:val="-4"/>
        </w:rPr>
        <w:t xml:space="preserve"> </w:t>
      </w:r>
      <w:r>
        <w:t>the</w:t>
      </w:r>
      <w:r>
        <w:rPr>
          <w:spacing w:val="-3"/>
        </w:rPr>
        <w:t xml:space="preserve"> </w:t>
      </w:r>
      <w:r>
        <w:t>said downloaded</w:t>
      </w:r>
      <w:r>
        <w:rPr>
          <w:spacing w:val="-1"/>
        </w:rPr>
        <w:t xml:space="preserve"> </w:t>
      </w:r>
      <w:r>
        <w:t>data.</w:t>
      </w:r>
    </w:p>
    <w:p w14:paraId="57D2D904" w14:textId="77777777" w:rsidR="00D757DA" w:rsidRDefault="00D757DA">
      <w:pPr>
        <w:pStyle w:val="Zkladntext"/>
        <w:rPr>
          <w:sz w:val="21"/>
        </w:rPr>
      </w:pPr>
    </w:p>
    <w:p w14:paraId="4EDC4C0A" w14:textId="77777777" w:rsidR="00D757DA" w:rsidRDefault="0033254E">
      <w:pPr>
        <w:pStyle w:val="Odstavecseseznamem"/>
        <w:numPr>
          <w:ilvl w:val="1"/>
          <w:numId w:val="37"/>
        </w:numPr>
        <w:tabs>
          <w:tab w:val="left" w:pos="829"/>
        </w:tabs>
        <w:ind w:right="1436" w:firstLine="0"/>
        <w:jc w:val="both"/>
      </w:pPr>
      <w:r>
        <w:t>The</w:t>
      </w:r>
      <w:r>
        <w:rPr>
          <w:spacing w:val="-10"/>
        </w:rPr>
        <w:t xml:space="preserve"> </w:t>
      </w:r>
      <w:r>
        <w:t>IPO</w:t>
      </w:r>
      <w:r>
        <w:rPr>
          <w:spacing w:val="-7"/>
        </w:rPr>
        <w:t xml:space="preserve"> </w:t>
      </w:r>
      <w:r>
        <w:t>does</w:t>
      </w:r>
      <w:r>
        <w:rPr>
          <w:spacing w:val="-11"/>
        </w:rPr>
        <w:t xml:space="preserve"> </w:t>
      </w:r>
      <w:r>
        <w:t>not</w:t>
      </w:r>
      <w:r>
        <w:rPr>
          <w:spacing w:val="-10"/>
        </w:rPr>
        <w:t xml:space="preserve"> </w:t>
      </w:r>
      <w:r>
        <w:t>warrant</w:t>
      </w:r>
      <w:r>
        <w:rPr>
          <w:spacing w:val="-8"/>
        </w:rPr>
        <w:t xml:space="preserve"> </w:t>
      </w:r>
      <w:r>
        <w:t>the</w:t>
      </w:r>
      <w:r>
        <w:rPr>
          <w:spacing w:val="-9"/>
        </w:rPr>
        <w:t xml:space="preserve"> </w:t>
      </w:r>
      <w:r>
        <w:t>accuracy</w:t>
      </w:r>
      <w:r>
        <w:rPr>
          <w:spacing w:val="-11"/>
        </w:rPr>
        <w:t xml:space="preserve"> </w:t>
      </w:r>
      <w:r>
        <w:t>or</w:t>
      </w:r>
      <w:r>
        <w:rPr>
          <w:spacing w:val="-10"/>
        </w:rPr>
        <w:t xml:space="preserve"> </w:t>
      </w:r>
      <w:r>
        <w:t>completeness</w:t>
      </w:r>
      <w:r>
        <w:rPr>
          <w:spacing w:val="-9"/>
        </w:rPr>
        <w:t xml:space="preserve"> </w:t>
      </w:r>
      <w:r>
        <w:t>of</w:t>
      </w:r>
      <w:r>
        <w:rPr>
          <w:spacing w:val="-10"/>
        </w:rPr>
        <w:t xml:space="preserve"> </w:t>
      </w:r>
      <w:r>
        <w:t>any</w:t>
      </w:r>
      <w:r>
        <w:rPr>
          <w:spacing w:val="-9"/>
        </w:rPr>
        <w:t xml:space="preserve"> </w:t>
      </w:r>
      <w:r>
        <w:t>data</w:t>
      </w:r>
      <w:r>
        <w:rPr>
          <w:spacing w:val="-9"/>
        </w:rPr>
        <w:t xml:space="preserve"> </w:t>
      </w:r>
      <w:r>
        <w:t>nor</w:t>
      </w:r>
      <w:r>
        <w:rPr>
          <w:spacing w:val="-10"/>
        </w:rPr>
        <w:t xml:space="preserve"> </w:t>
      </w:r>
      <w:r>
        <w:t>the</w:t>
      </w:r>
      <w:r>
        <w:rPr>
          <w:spacing w:val="-12"/>
        </w:rPr>
        <w:t xml:space="preserve"> </w:t>
      </w:r>
      <w:r>
        <w:t>continued availability</w:t>
      </w:r>
      <w:r>
        <w:rPr>
          <w:spacing w:val="-4"/>
        </w:rPr>
        <w:t xml:space="preserve"> </w:t>
      </w:r>
      <w:r>
        <w:t>of</w:t>
      </w:r>
      <w:r>
        <w:rPr>
          <w:spacing w:val="-5"/>
        </w:rPr>
        <w:t xml:space="preserve"> </w:t>
      </w:r>
      <w:r>
        <w:t>the</w:t>
      </w:r>
      <w:r>
        <w:rPr>
          <w:spacing w:val="-6"/>
        </w:rPr>
        <w:t xml:space="preserve"> </w:t>
      </w:r>
      <w:r>
        <w:t>bulk</w:t>
      </w:r>
      <w:r>
        <w:rPr>
          <w:spacing w:val="-6"/>
        </w:rPr>
        <w:t xml:space="preserve"> </w:t>
      </w:r>
      <w:r>
        <w:t>download</w:t>
      </w:r>
      <w:r>
        <w:rPr>
          <w:spacing w:val="-4"/>
        </w:rPr>
        <w:t xml:space="preserve"> </w:t>
      </w:r>
      <w:r>
        <w:t>and</w:t>
      </w:r>
      <w:r>
        <w:rPr>
          <w:spacing w:val="-4"/>
        </w:rPr>
        <w:t xml:space="preserve"> </w:t>
      </w:r>
      <w:r>
        <w:t>incremental</w:t>
      </w:r>
      <w:r>
        <w:rPr>
          <w:spacing w:val="-7"/>
        </w:rPr>
        <w:t xml:space="preserve"> </w:t>
      </w:r>
      <w:r>
        <w:t>updates</w:t>
      </w:r>
      <w:r>
        <w:rPr>
          <w:spacing w:val="-6"/>
        </w:rPr>
        <w:t xml:space="preserve"> </w:t>
      </w:r>
      <w:r>
        <w:t>facility</w:t>
      </w:r>
      <w:r>
        <w:rPr>
          <w:spacing w:val="-6"/>
        </w:rPr>
        <w:t xml:space="preserve"> </w:t>
      </w:r>
      <w:r>
        <w:t>and</w:t>
      </w:r>
      <w:r>
        <w:rPr>
          <w:spacing w:val="-6"/>
        </w:rPr>
        <w:t xml:space="preserve"> </w:t>
      </w:r>
      <w:r>
        <w:t>all</w:t>
      </w:r>
      <w:r>
        <w:rPr>
          <w:spacing w:val="-5"/>
        </w:rPr>
        <w:t xml:space="preserve"> </w:t>
      </w:r>
      <w:r>
        <w:t>implied</w:t>
      </w:r>
      <w:r>
        <w:rPr>
          <w:spacing w:val="-4"/>
        </w:rPr>
        <w:t xml:space="preserve"> </w:t>
      </w:r>
      <w:r>
        <w:t>warranties</w:t>
      </w:r>
      <w:r>
        <w:rPr>
          <w:spacing w:val="-4"/>
        </w:rPr>
        <w:t xml:space="preserve"> </w:t>
      </w:r>
      <w:r>
        <w:t>or representations to that effect are hereby</w:t>
      </w:r>
      <w:r>
        <w:rPr>
          <w:spacing w:val="-10"/>
        </w:rPr>
        <w:t xml:space="preserve"> </w:t>
      </w:r>
      <w:r>
        <w:t>excluded.</w:t>
      </w:r>
    </w:p>
    <w:p w14:paraId="745DF073" w14:textId="77777777" w:rsidR="00D757DA" w:rsidRDefault="00D757DA">
      <w:pPr>
        <w:pStyle w:val="Zkladntext"/>
        <w:spacing w:before="9"/>
        <w:rPr>
          <w:sz w:val="20"/>
        </w:rPr>
      </w:pPr>
    </w:p>
    <w:p w14:paraId="52DE5D4B" w14:textId="77777777" w:rsidR="00D757DA" w:rsidRDefault="0033254E">
      <w:pPr>
        <w:pStyle w:val="Odstavecseseznamem"/>
        <w:numPr>
          <w:ilvl w:val="1"/>
          <w:numId w:val="37"/>
        </w:numPr>
        <w:tabs>
          <w:tab w:val="left" w:pos="829"/>
        </w:tabs>
        <w:ind w:right="1432" w:firstLine="0"/>
        <w:jc w:val="both"/>
      </w:pPr>
      <w:r>
        <w:t xml:space="preserve">The IPO </w:t>
      </w:r>
      <w:proofErr w:type="spellStart"/>
      <w:r>
        <w:t>recognises</w:t>
      </w:r>
      <w:proofErr w:type="spellEnd"/>
      <w:r>
        <w:t xml:space="preserve"> that </w:t>
      </w:r>
      <w:proofErr w:type="spellStart"/>
      <w:r>
        <w:t>harmonised</w:t>
      </w:r>
      <w:proofErr w:type="spellEnd"/>
      <w:r>
        <w:t xml:space="preserve"> trademark and design data via </w:t>
      </w:r>
      <w:proofErr w:type="spellStart"/>
      <w:r>
        <w:t>TMview</w:t>
      </w:r>
      <w:proofErr w:type="spellEnd"/>
      <w:r>
        <w:t xml:space="preserve"> and </w:t>
      </w:r>
      <w:proofErr w:type="spellStart"/>
      <w:r>
        <w:t>DesignView</w:t>
      </w:r>
      <w:proofErr w:type="spellEnd"/>
      <w:r>
        <w:rPr>
          <w:spacing w:val="-16"/>
        </w:rPr>
        <w:t xml:space="preserve"> </w:t>
      </w:r>
      <w:r>
        <w:t>are</w:t>
      </w:r>
      <w:r>
        <w:rPr>
          <w:spacing w:val="-15"/>
        </w:rPr>
        <w:t xml:space="preserve"> </w:t>
      </w:r>
      <w:r>
        <w:t>essential</w:t>
      </w:r>
      <w:r>
        <w:rPr>
          <w:spacing w:val="-17"/>
        </w:rPr>
        <w:t xml:space="preserve"> </w:t>
      </w:r>
      <w:r>
        <w:t>resources</w:t>
      </w:r>
      <w:r>
        <w:rPr>
          <w:spacing w:val="-17"/>
        </w:rPr>
        <w:t xml:space="preserve"> </w:t>
      </w:r>
      <w:r>
        <w:t>for</w:t>
      </w:r>
      <w:r>
        <w:rPr>
          <w:spacing w:val="-16"/>
        </w:rPr>
        <w:t xml:space="preserve"> </w:t>
      </w:r>
      <w:r>
        <w:t>the</w:t>
      </w:r>
      <w:r>
        <w:rPr>
          <w:spacing w:val="-15"/>
        </w:rPr>
        <w:t xml:space="preserve"> </w:t>
      </w:r>
      <w:r>
        <w:t>EU</w:t>
      </w:r>
      <w:r>
        <w:rPr>
          <w:spacing w:val="-18"/>
        </w:rPr>
        <w:t xml:space="preserve"> </w:t>
      </w:r>
      <w:r>
        <w:t>IP</w:t>
      </w:r>
      <w:r>
        <w:rPr>
          <w:spacing w:val="-18"/>
        </w:rPr>
        <w:t xml:space="preserve"> </w:t>
      </w:r>
      <w:r>
        <w:t>community,</w:t>
      </w:r>
      <w:r>
        <w:rPr>
          <w:spacing w:val="-15"/>
        </w:rPr>
        <w:t xml:space="preserve"> </w:t>
      </w:r>
      <w:r>
        <w:t>offering</w:t>
      </w:r>
      <w:r>
        <w:rPr>
          <w:spacing w:val="-17"/>
        </w:rPr>
        <w:t xml:space="preserve"> </w:t>
      </w:r>
      <w:r>
        <w:t>free,</w:t>
      </w:r>
      <w:r>
        <w:rPr>
          <w:spacing w:val="-16"/>
        </w:rPr>
        <w:t xml:space="preserve"> </w:t>
      </w:r>
      <w:proofErr w:type="spellStart"/>
      <w:r>
        <w:t>centralised</w:t>
      </w:r>
      <w:proofErr w:type="spellEnd"/>
      <w:r>
        <w:rPr>
          <w:spacing w:val="-15"/>
        </w:rPr>
        <w:t xml:space="preserve"> </w:t>
      </w:r>
      <w:r>
        <w:t xml:space="preserve">access that fosters transparency, legal certainty, and innovation. High-quality, complete data is crucial; incomplete information diminishes reliability and hampers effective searches, undermining the system’s value. Ongoing collaboration and data sharing are essential to maintaining accessible, reliable, and </w:t>
      </w:r>
      <w:proofErr w:type="spellStart"/>
      <w:r>
        <w:t>harmonised</w:t>
      </w:r>
      <w:proofErr w:type="spellEnd"/>
      <w:r>
        <w:t xml:space="preserve"> IP information, thereby strengtheni</w:t>
      </w:r>
      <w:r>
        <w:t>ng the EU’s economic efficiency and market</w:t>
      </w:r>
      <w:r>
        <w:rPr>
          <w:spacing w:val="-5"/>
        </w:rPr>
        <w:t xml:space="preserve"> </w:t>
      </w:r>
      <w:r>
        <w:t>competitiveness.</w:t>
      </w:r>
    </w:p>
    <w:p w14:paraId="37ADE747" w14:textId="77777777" w:rsidR="00D757DA" w:rsidRDefault="00D757DA">
      <w:pPr>
        <w:pStyle w:val="Zkladntext"/>
        <w:spacing w:before="11"/>
        <w:rPr>
          <w:sz w:val="20"/>
        </w:rPr>
      </w:pPr>
    </w:p>
    <w:p w14:paraId="258E7140" w14:textId="77777777" w:rsidR="00D757DA" w:rsidRDefault="0033254E">
      <w:pPr>
        <w:pStyle w:val="Odstavecseseznamem"/>
        <w:numPr>
          <w:ilvl w:val="1"/>
          <w:numId w:val="37"/>
        </w:numPr>
        <w:tabs>
          <w:tab w:val="left" w:pos="829"/>
        </w:tabs>
        <w:ind w:right="1430" w:firstLine="0"/>
        <w:jc w:val="both"/>
      </w:pPr>
      <w:r>
        <w:t>Immediately</w:t>
      </w:r>
      <w:r>
        <w:rPr>
          <w:spacing w:val="-14"/>
        </w:rPr>
        <w:t xml:space="preserve"> </w:t>
      </w:r>
      <w:r>
        <w:t>after</w:t>
      </w:r>
      <w:r>
        <w:rPr>
          <w:spacing w:val="-14"/>
        </w:rPr>
        <w:t xml:space="preserve"> </w:t>
      </w:r>
      <w:r>
        <w:t>its</w:t>
      </w:r>
      <w:r>
        <w:rPr>
          <w:spacing w:val="-14"/>
        </w:rPr>
        <w:t xml:space="preserve"> </w:t>
      </w:r>
      <w:r>
        <w:t>integration</w:t>
      </w:r>
      <w:r>
        <w:rPr>
          <w:spacing w:val="-15"/>
        </w:rPr>
        <w:t xml:space="preserve"> </w:t>
      </w:r>
      <w:r>
        <w:t>to</w:t>
      </w:r>
      <w:r>
        <w:rPr>
          <w:spacing w:val="-15"/>
        </w:rPr>
        <w:t xml:space="preserve"> </w:t>
      </w:r>
      <w:proofErr w:type="spellStart"/>
      <w:r>
        <w:t>TMview</w:t>
      </w:r>
      <w:proofErr w:type="spellEnd"/>
      <w:r>
        <w:rPr>
          <w:spacing w:val="-15"/>
        </w:rPr>
        <w:t xml:space="preserve"> </w:t>
      </w:r>
      <w:r>
        <w:t>and/or</w:t>
      </w:r>
      <w:r>
        <w:rPr>
          <w:spacing w:val="-14"/>
        </w:rPr>
        <w:t xml:space="preserve"> </w:t>
      </w:r>
      <w:r>
        <w:t>to</w:t>
      </w:r>
      <w:r>
        <w:rPr>
          <w:spacing w:val="-12"/>
        </w:rPr>
        <w:t xml:space="preserve"> </w:t>
      </w:r>
      <w:proofErr w:type="spellStart"/>
      <w:r>
        <w:t>DesignView</w:t>
      </w:r>
      <w:proofErr w:type="spellEnd"/>
      <w:r>
        <w:t>,</w:t>
      </w:r>
      <w:r>
        <w:rPr>
          <w:spacing w:val="-13"/>
        </w:rPr>
        <w:t xml:space="preserve"> </w:t>
      </w:r>
      <w:r>
        <w:t>the</w:t>
      </w:r>
      <w:r>
        <w:rPr>
          <w:spacing w:val="-15"/>
        </w:rPr>
        <w:t xml:space="preserve"> </w:t>
      </w:r>
      <w:r>
        <w:t>IPO</w:t>
      </w:r>
      <w:r>
        <w:rPr>
          <w:spacing w:val="-13"/>
        </w:rPr>
        <w:t xml:space="preserve"> </w:t>
      </w:r>
      <w:r>
        <w:t>shall</w:t>
      </w:r>
      <w:r>
        <w:rPr>
          <w:spacing w:val="-13"/>
        </w:rPr>
        <w:t xml:space="preserve"> </w:t>
      </w:r>
      <w:r>
        <w:t>provide a</w:t>
      </w:r>
      <w:r>
        <w:rPr>
          <w:spacing w:val="-12"/>
        </w:rPr>
        <w:t xml:space="preserve"> </w:t>
      </w:r>
      <w:r>
        <w:t>continuous,</w:t>
      </w:r>
      <w:r>
        <w:rPr>
          <w:spacing w:val="-12"/>
        </w:rPr>
        <w:t xml:space="preserve"> </w:t>
      </w:r>
      <w:r>
        <w:t>automatic</w:t>
      </w:r>
      <w:r>
        <w:rPr>
          <w:spacing w:val="-13"/>
        </w:rPr>
        <w:t xml:space="preserve"> </w:t>
      </w:r>
      <w:r>
        <w:t>supply</w:t>
      </w:r>
      <w:r>
        <w:rPr>
          <w:spacing w:val="-11"/>
        </w:rPr>
        <w:t xml:space="preserve"> </w:t>
      </w:r>
      <w:r>
        <w:t>service</w:t>
      </w:r>
      <w:r>
        <w:rPr>
          <w:spacing w:val="-11"/>
        </w:rPr>
        <w:t xml:space="preserve"> </w:t>
      </w:r>
      <w:r>
        <w:t>of</w:t>
      </w:r>
      <w:r>
        <w:rPr>
          <w:spacing w:val="-12"/>
        </w:rPr>
        <w:t xml:space="preserve"> </w:t>
      </w:r>
      <w:r>
        <w:t>agreed</w:t>
      </w:r>
      <w:r>
        <w:rPr>
          <w:spacing w:val="-16"/>
        </w:rPr>
        <w:t xml:space="preserve"> </w:t>
      </w:r>
      <w:proofErr w:type="gramStart"/>
      <w:r>
        <w:t>trade</w:t>
      </w:r>
      <w:r>
        <w:rPr>
          <w:spacing w:val="-15"/>
        </w:rPr>
        <w:t xml:space="preserve"> </w:t>
      </w:r>
      <w:r>
        <w:t>mark</w:t>
      </w:r>
      <w:proofErr w:type="gramEnd"/>
      <w:r>
        <w:rPr>
          <w:spacing w:val="-13"/>
        </w:rPr>
        <w:t xml:space="preserve"> </w:t>
      </w:r>
      <w:r>
        <w:t>and/or</w:t>
      </w:r>
      <w:r>
        <w:rPr>
          <w:spacing w:val="-13"/>
        </w:rPr>
        <w:t xml:space="preserve"> </w:t>
      </w:r>
      <w:r>
        <w:t>design</w:t>
      </w:r>
      <w:r>
        <w:rPr>
          <w:spacing w:val="-14"/>
        </w:rPr>
        <w:t xml:space="preserve"> </w:t>
      </w:r>
      <w:r>
        <w:t>data</w:t>
      </w:r>
      <w:r>
        <w:rPr>
          <w:spacing w:val="-16"/>
        </w:rPr>
        <w:t xml:space="preserve"> </w:t>
      </w:r>
      <w:r>
        <w:t>for</w:t>
      </w:r>
      <w:r>
        <w:rPr>
          <w:spacing w:val="-15"/>
        </w:rPr>
        <w:t xml:space="preserve"> </w:t>
      </w:r>
      <w:r>
        <w:t>the</w:t>
      </w:r>
      <w:r>
        <w:rPr>
          <w:spacing w:val="-14"/>
        </w:rPr>
        <w:t xml:space="preserve"> </w:t>
      </w:r>
      <w:r>
        <w:t xml:space="preserve">central applications of </w:t>
      </w:r>
      <w:proofErr w:type="spellStart"/>
      <w:r>
        <w:t>TMview</w:t>
      </w:r>
      <w:proofErr w:type="spellEnd"/>
      <w:r>
        <w:t xml:space="preserve"> and/or </w:t>
      </w:r>
      <w:proofErr w:type="spellStart"/>
      <w:r>
        <w:t>DesignView</w:t>
      </w:r>
      <w:proofErr w:type="spellEnd"/>
      <w:r>
        <w:t xml:space="preserve"> (hereafter, “the applications”), through web services within a central index model, in accordance with the terms and conditions hereafter agreed</w:t>
      </w:r>
      <w:r>
        <w:rPr>
          <w:spacing w:val="-1"/>
        </w:rPr>
        <w:t xml:space="preserve"> </w:t>
      </w:r>
      <w:r>
        <w:t>on.</w:t>
      </w:r>
    </w:p>
    <w:p w14:paraId="649B71A6" w14:textId="77777777" w:rsidR="00D757DA" w:rsidRDefault="00D757DA">
      <w:pPr>
        <w:pStyle w:val="Zkladntext"/>
        <w:spacing w:before="10"/>
        <w:rPr>
          <w:sz w:val="20"/>
        </w:rPr>
      </w:pPr>
    </w:p>
    <w:p w14:paraId="3A63DF7F" w14:textId="77777777" w:rsidR="00D757DA" w:rsidRDefault="0033254E">
      <w:pPr>
        <w:pStyle w:val="Odstavecseseznamem"/>
        <w:numPr>
          <w:ilvl w:val="1"/>
          <w:numId w:val="37"/>
        </w:numPr>
        <w:tabs>
          <w:tab w:val="left" w:pos="829"/>
        </w:tabs>
        <w:ind w:right="1441" w:firstLine="0"/>
        <w:jc w:val="both"/>
      </w:pPr>
      <w:r>
        <w:t xml:space="preserve">The deadline may be exceptionally derogated upon written request to the </w:t>
      </w:r>
      <w:proofErr w:type="spellStart"/>
      <w:r>
        <w:t>Authorising</w:t>
      </w:r>
      <w:proofErr w:type="spellEnd"/>
      <w:r>
        <w:t xml:space="preserve"> Officer.</w:t>
      </w:r>
    </w:p>
    <w:p w14:paraId="2481DE16" w14:textId="77777777" w:rsidR="00D757DA" w:rsidRDefault="00D757DA">
      <w:pPr>
        <w:pStyle w:val="Zkladntext"/>
        <w:spacing w:before="10"/>
        <w:rPr>
          <w:sz w:val="20"/>
        </w:rPr>
      </w:pPr>
    </w:p>
    <w:p w14:paraId="2531A864" w14:textId="77777777" w:rsidR="00D757DA" w:rsidRDefault="0033254E">
      <w:pPr>
        <w:pStyle w:val="Odstavecseseznamem"/>
        <w:numPr>
          <w:ilvl w:val="1"/>
          <w:numId w:val="37"/>
        </w:numPr>
        <w:tabs>
          <w:tab w:val="left" w:pos="829"/>
        </w:tabs>
        <w:spacing w:before="1"/>
        <w:ind w:left="828" w:hanging="709"/>
        <w:jc w:val="both"/>
      </w:pPr>
      <w:r>
        <w:t>Derogation shall be reported to the Management</w:t>
      </w:r>
      <w:r>
        <w:rPr>
          <w:spacing w:val="-11"/>
        </w:rPr>
        <w:t xml:space="preserve"> </w:t>
      </w:r>
      <w:r>
        <w:t>Board.</w:t>
      </w:r>
    </w:p>
    <w:p w14:paraId="7D15D938" w14:textId="77777777" w:rsidR="00D757DA" w:rsidRDefault="00D757DA">
      <w:pPr>
        <w:pStyle w:val="Zkladntext"/>
        <w:spacing w:before="8"/>
        <w:rPr>
          <w:sz w:val="20"/>
        </w:rPr>
      </w:pPr>
    </w:p>
    <w:p w14:paraId="4A3B31D4" w14:textId="77777777" w:rsidR="00D757DA" w:rsidRDefault="0033254E">
      <w:pPr>
        <w:pStyle w:val="Odstavecseseznamem"/>
        <w:numPr>
          <w:ilvl w:val="1"/>
          <w:numId w:val="37"/>
        </w:numPr>
        <w:tabs>
          <w:tab w:val="left" w:pos="829"/>
        </w:tabs>
        <w:spacing w:before="1"/>
        <w:ind w:left="828" w:hanging="709"/>
        <w:jc w:val="both"/>
      </w:pPr>
      <w:r>
        <w:t>The IPO shall provide the following</w:t>
      </w:r>
      <w:r>
        <w:rPr>
          <w:spacing w:val="-2"/>
        </w:rPr>
        <w:t xml:space="preserve"> </w:t>
      </w:r>
      <w:r>
        <w:t>services:</w:t>
      </w:r>
    </w:p>
    <w:p w14:paraId="5BF36EDA" w14:textId="77777777" w:rsidR="00D757DA" w:rsidRDefault="00D757DA">
      <w:pPr>
        <w:pStyle w:val="Zkladntext"/>
        <w:rPr>
          <w:sz w:val="21"/>
        </w:rPr>
      </w:pPr>
    </w:p>
    <w:p w14:paraId="24F07D0F" w14:textId="77777777" w:rsidR="00D757DA" w:rsidRDefault="0033254E">
      <w:pPr>
        <w:pStyle w:val="Odstavecseseznamem"/>
        <w:numPr>
          <w:ilvl w:val="2"/>
          <w:numId w:val="37"/>
        </w:numPr>
        <w:tabs>
          <w:tab w:val="left" w:pos="1254"/>
        </w:tabs>
        <w:ind w:right="1435"/>
        <w:jc w:val="both"/>
      </w:pPr>
      <w:r>
        <w:t xml:space="preserve">providing web services related to bibliographic data on a </w:t>
      </w:r>
      <w:proofErr w:type="gramStart"/>
      <w:r>
        <w:t>trade mark</w:t>
      </w:r>
      <w:proofErr w:type="gramEnd"/>
      <w:r>
        <w:t xml:space="preserve"> and design, trade</w:t>
      </w:r>
      <w:r>
        <w:rPr>
          <w:spacing w:val="-22"/>
        </w:rPr>
        <w:t xml:space="preserve"> </w:t>
      </w:r>
      <w:r>
        <w:t>mark</w:t>
      </w:r>
      <w:r>
        <w:rPr>
          <w:spacing w:val="-20"/>
        </w:rPr>
        <w:t xml:space="preserve"> </w:t>
      </w:r>
      <w:r>
        <w:t>and</w:t>
      </w:r>
      <w:r>
        <w:rPr>
          <w:spacing w:val="-20"/>
        </w:rPr>
        <w:t xml:space="preserve"> </w:t>
      </w:r>
      <w:r>
        <w:t>design</w:t>
      </w:r>
      <w:r>
        <w:rPr>
          <w:spacing w:val="-20"/>
        </w:rPr>
        <w:t xml:space="preserve"> </w:t>
      </w:r>
      <w:r>
        <w:t>representation</w:t>
      </w:r>
      <w:r>
        <w:rPr>
          <w:spacing w:val="-20"/>
        </w:rPr>
        <w:t xml:space="preserve"> </w:t>
      </w:r>
      <w:r>
        <w:t>media</w:t>
      </w:r>
      <w:r>
        <w:rPr>
          <w:spacing w:val="-20"/>
        </w:rPr>
        <w:t xml:space="preserve"> </w:t>
      </w:r>
      <w:r>
        <w:t>file,</w:t>
      </w:r>
      <w:r>
        <w:rPr>
          <w:spacing w:val="-18"/>
        </w:rPr>
        <w:t xml:space="preserve"> </w:t>
      </w:r>
      <w:r>
        <w:t>bibliographic</w:t>
      </w:r>
      <w:r>
        <w:rPr>
          <w:spacing w:val="-18"/>
        </w:rPr>
        <w:t xml:space="preserve"> </w:t>
      </w:r>
      <w:r>
        <w:t>data</w:t>
      </w:r>
      <w:r>
        <w:rPr>
          <w:spacing w:val="-20"/>
        </w:rPr>
        <w:t xml:space="preserve"> </w:t>
      </w:r>
      <w:r>
        <w:t>on</w:t>
      </w:r>
      <w:r>
        <w:rPr>
          <w:spacing w:val="-20"/>
        </w:rPr>
        <w:t xml:space="preserve"> </w:t>
      </w:r>
      <w:r>
        <w:t>an</w:t>
      </w:r>
      <w:r>
        <w:rPr>
          <w:spacing w:val="-17"/>
        </w:rPr>
        <w:t xml:space="preserve"> </w:t>
      </w:r>
      <w:r>
        <w:t xml:space="preserve">applicant and a representative, data on a correspondence address and trade mark and design image thumbnail, as well as any additional data required in corrective and adaptive releases of </w:t>
      </w:r>
      <w:proofErr w:type="spellStart"/>
      <w:r>
        <w:t>TMview</w:t>
      </w:r>
      <w:proofErr w:type="spellEnd"/>
      <w:r>
        <w:t xml:space="preserve"> and/or</w:t>
      </w:r>
      <w:r>
        <w:rPr>
          <w:spacing w:val="-4"/>
        </w:rPr>
        <w:t xml:space="preserve"> </w:t>
      </w:r>
      <w:proofErr w:type="spellStart"/>
      <w:r>
        <w:t>DesignView</w:t>
      </w:r>
      <w:proofErr w:type="spellEnd"/>
      <w:r>
        <w:t>;</w:t>
      </w:r>
    </w:p>
    <w:p w14:paraId="38FA7673" w14:textId="77777777" w:rsidR="00D757DA" w:rsidRDefault="00D757DA">
      <w:pPr>
        <w:pStyle w:val="Zkladntext"/>
        <w:spacing w:before="10"/>
        <w:rPr>
          <w:sz w:val="20"/>
        </w:rPr>
      </w:pPr>
    </w:p>
    <w:p w14:paraId="7B9EF6FC" w14:textId="77777777" w:rsidR="00D757DA" w:rsidRDefault="0033254E">
      <w:pPr>
        <w:pStyle w:val="Odstavecseseznamem"/>
        <w:numPr>
          <w:ilvl w:val="2"/>
          <w:numId w:val="37"/>
        </w:numPr>
        <w:tabs>
          <w:tab w:val="left" w:pos="1253"/>
          <w:tab w:val="left" w:pos="1254"/>
        </w:tabs>
        <w:spacing w:line="252" w:lineRule="exact"/>
        <w:ind w:hanging="426"/>
      </w:pPr>
      <w:r>
        <w:t>promoting among users the applications and supporting the EUIPO’s</w:t>
      </w:r>
      <w:r>
        <w:rPr>
          <w:spacing w:val="-22"/>
        </w:rPr>
        <w:t xml:space="preserve"> </w:t>
      </w:r>
      <w:r>
        <w:t>promotional</w:t>
      </w:r>
    </w:p>
    <w:p w14:paraId="1C762041" w14:textId="77777777" w:rsidR="00D757DA" w:rsidRDefault="0033254E">
      <w:pPr>
        <w:pStyle w:val="Zkladntext"/>
        <w:spacing w:line="252" w:lineRule="exact"/>
        <w:ind w:left="1253"/>
      </w:pPr>
      <w:r>
        <w:t xml:space="preserve">activities to this </w:t>
      </w:r>
      <w:proofErr w:type="gramStart"/>
      <w:r>
        <w:t>end;</w:t>
      </w:r>
      <w:proofErr w:type="gramEnd"/>
    </w:p>
    <w:p w14:paraId="7AC01714" w14:textId="77777777" w:rsidR="00D757DA" w:rsidRDefault="00D757DA">
      <w:pPr>
        <w:pStyle w:val="Zkladntext"/>
        <w:spacing w:before="9"/>
        <w:rPr>
          <w:sz w:val="20"/>
        </w:rPr>
      </w:pPr>
    </w:p>
    <w:p w14:paraId="364266AF" w14:textId="77777777" w:rsidR="00D757DA" w:rsidRDefault="0033254E">
      <w:pPr>
        <w:pStyle w:val="Odstavecseseznamem"/>
        <w:numPr>
          <w:ilvl w:val="2"/>
          <w:numId w:val="37"/>
        </w:numPr>
        <w:tabs>
          <w:tab w:val="left" w:pos="1254"/>
        </w:tabs>
        <w:ind w:right="1440"/>
        <w:jc w:val="both"/>
      </w:pPr>
      <w:r>
        <w:t>reviewing and approving labels, help files and any associated static text used in the applications in its official</w:t>
      </w:r>
      <w:r>
        <w:rPr>
          <w:spacing w:val="-7"/>
        </w:rPr>
        <w:t xml:space="preserve"> </w:t>
      </w:r>
      <w:r>
        <w:t>language(s</w:t>
      </w:r>
      <w:proofErr w:type="gramStart"/>
      <w:r>
        <w:t>);</w:t>
      </w:r>
      <w:proofErr w:type="gramEnd"/>
    </w:p>
    <w:p w14:paraId="2C6A0A56" w14:textId="77777777" w:rsidR="00D757DA" w:rsidRDefault="00D757DA">
      <w:pPr>
        <w:pStyle w:val="Zkladntext"/>
        <w:spacing w:before="10"/>
        <w:rPr>
          <w:sz w:val="20"/>
        </w:rPr>
      </w:pPr>
    </w:p>
    <w:p w14:paraId="7B1B5902" w14:textId="77777777" w:rsidR="00D757DA" w:rsidRDefault="0033254E">
      <w:pPr>
        <w:pStyle w:val="Odstavecseseznamem"/>
        <w:numPr>
          <w:ilvl w:val="2"/>
          <w:numId w:val="37"/>
        </w:numPr>
        <w:tabs>
          <w:tab w:val="left" w:pos="1254"/>
        </w:tabs>
        <w:spacing w:line="242" w:lineRule="auto"/>
        <w:ind w:right="1440"/>
        <w:jc w:val="both"/>
      </w:pPr>
      <w:r>
        <w:t>appointing and informing the EUIPO of contact persons involved in the applications and informing of any subsequent changes to the</w:t>
      </w:r>
      <w:r>
        <w:rPr>
          <w:spacing w:val="-14"/>
        </w:rPr>
        <w:t xml:space="preserve"> </w:t>
      </w:r>
      <w:proofErr w:type="gramStart"/>
      <w:r>
        <w:t>EUIPO;</w:t>
      </w:r>
      <w:proofErr w:type="gramEnd"/>
    </w:p>
    <w:p w14:paraId="6332A4C6" w14:textId="77777777" w:rsidR="00D757DA" w:rsidRDefault="00D757DA">
      <w:pPr>
        <w:pStyle w:val="Zkladntext"/>
        <w:spacing w:before="6"/>
        <w:rPr>
          <w:sz w:val="20"/>
        </w:rPr>
      </w:pPr>
    </w:p>
    <w:p w14:paraId="28E8344C" w14:textId="77777777" w:rsidR="00D757DA" w:rsidRDefault="0033254E">
      <w:pPr>
        <w:pStyle w:val="Odstavecseseznamem"/>
        <w:numPr>
          <w:ilvl w:val="2"/>
          <w:numId w:val="37"/>
        </w:numPr>
        <w:tabs>
          <w:tab w:val="left" w:pos="1253"/>
          <w:tab w:val="left" w:pos="1254"/>
        </w:tabs>
        <w:ind w:hanging="426"/>
      </w:pPr>
      <w:r>
        <w:t>supporting the EUIPO’s help desk function in relation to the</w:t>
      </w:r>
      <w:r>
        <w:rPr>
          <w:spacing w:val="-21"/>
        </w:rPr>
        <w:t xml:space="preserve"> </w:t>
      </w:r>
      <w:proofErr w:type="gramStart"/>
      <w:r>
        <w:t>applications;</w:t>
      </w:r>
      <w:proofErr w:type="gramEnd"/>
    </w:p>
    <w:p w14:paraId="6F2AFE74" w14:textId="77777777" w:rsidR="00D757DA" w:rsidRDefault="00D757DA">
      <w:pPr>
        <w:pStyle w:val="Zkladntext"/>
        <w:spacing w:before="9"/>
        <w:rPr>
          <w:sz w:val="20"/>
        </w:rPr>
      </w:pPr>
    </w:p>
    <w:p w14:paraId="5F70A6D8" w14:textId="77777777" w:rsidR="00D757DA" w:rsidRDefault="0033254E">
      <w:pPr>
        <w:pStyle w:val="Odstavecseseznamem"/>
        <w:numPr>
          <w:ilvl w:val="2"/>
          <w:numId w:val="37"/>
        </w:numPr>
        <w:tabs>
          <w:tab w:val="left" w:pos="1254"/>
        </w:tabs>
        <w:ind w:right="1437"/>
        <w:jc w:val="both"/>
      </w:pPr>
      <w:r>
        <w:t>informing the EUIPO of any and all user feed-back in relation to the applications on a regular</w:t>
      </w:r>
      <w:r>
        <w:rPr>
          <w:spacing w:val="-2"/>
        </w:rPr>
        <w:t xml:space="preserve"> </w:t>
      </w:r>
      <w:proofErr w:type="gramStart"/>
      <w:r>
        <w:t>basis;</w:t>
      </w:r>
      <w:proofErr w:type="gramEnd"/>
    </w:p>
    <w:p w14:paraId="7FBD8C4C" w14:textId="77777777" w:rsidR="00D757DA" w:rsidRDefault="00D757DA">
      <w:pPr>
        <w:pStyle w:val="Zkladntext"/>
        <w:spacing w:before="11"/>
        <w:rPr>
          <w:sz w:val="20"/>
        </w:rPr>
      </w:pPr>
    </w:p>
    <w:p w14:paraId="25BC4C07" w14:textId="77777777" w:rsidR="00D757DA" w:rsidRDefault="0033254E">
      <w:pPr>
        <w:pStyle w:val="Odstavecseseznamem"/>
        <w:numPr>
          <w:ilvl w:val="2"/>
          <w:numId w:val="37"/>
        </w:numPr>
        <w:tabs>
          <w:tab w:val="left" w:pos="1254"/>
        </w:tabs>
        <w:ind w:right="1436"/>
        <w:jc w:val="both"/>
      </w:pPr>
      <w:r>
        <w:t xml:space="preserve">developing and installing new versions/patches in integration layers and set-up adjustments in its local systems, when necessary to continue the supply of data, </w:t>
      </w:r>
      <w:proofErr w:type="gramStart"/>
      <w:r>
        <w:t>in particular after</w:t>
      </w:r>
      <w:proofErr w:type="gramEnd"/>
      <w:r>
        <w:t xml:space="preserve"> the release of corrective and adaptive versions of the applications.</w:t>
      </w:r>
    </w:p>
    <w:p w14:paraId="43BD6B4E" w14:textId="77777777" w:rsidR="00D757DA" w:rsidRDefault="00D757DA">
      <w:pPr>
        <w:pStyle w:val="Zkladntext"/>
        <w:spacing w:before="11"/>
        <w:rPr>
          <w:sz w:val="21"/>
        </w:rPr>
      </w:pPr>
    </w:p>
    <w:p w14:paraId="54CA631B" w14:textId="77777777" w:rsidR="00D757DA" w:rsidRDefault="0033254E">
      <w:pPr>
        <w:pStyle w:val="Odstavecseseznamem"/>
        <w:numPr>
          <w:ilvl w:val="1"/>
          <w:numId w:val="37"/>
        </w:numPr>
        <w:tabs>
          <w:tab w:val="left" w:pos="841"/>
        </w:tabs>
        <w:ind w:right="1438" w:firstLine="0"/>
        <w:jc w:val="both"/>
      </w:pPr>
      <w:r>
        <w:t>The IPO shall provide the index data in an incremental package with at least daily frequency.</w:t>
      </w:r>
      <w:r>
        <w:rPr>
          <w:spacing w:val="47"/>
        </w:rPr>
        <w:t xml:space="preserve"> </w:t>
      </w:r>
      <w:r>
        <w:t>Complete</w:t>
      </w:r>
      <w:r>
        <w:rPr>
          <w:spacing w:val="47"/>
        </w:rPr>
        <w:t xml:space="preserve"> </w:t>
      </w:r>
      <w:r>
        <w:t>packages</w:t>
      </w:r>
      <w:r>
        <w:rPr>
          <w:spacing w:val="49"/>
        </w:rPr>
        <w:t xml:space="preserve"> </w:t>
      </w:r>
      <w:r>
        <w:t>shall</w:t>
      </w:r>
      <w:r>
        <w:rPr>
          <w:spacing w:val="48"/>
        </w:rPr>
        <w:t xml:space="preserve"> </w:t>
      </w:r>
      <w:r>
        <w:t>be</w:t>
      </w:r>
      <w:r>
        <w:rPr>
          <w:spacing w:val="46"/>
        </w:rPr>
        <w:t xml:space="preserve"> </w:t>
      </w:r>
      <w:r>
        <w:t>required</w:t>
      </w:r>
      <w:r>
        <w:rPr>
          <w:spacing w:val="49"/>
        </w:rPr>
        <w:t xml:space="preserve"> </w:t>
      </w:r>
      <w:r>
        <w:t>for</w:t>
      </w:r>
      <w:r>
        <w:rPr>
          <w:spacing w:val="48"/>
        </w:rPr>
        <w:t xml:space="preserve"> </w:t>
      </w:r>
      <w:r>
        <w:t>fixing</w:t>
      </w:r>
      <w:r>
        <w:rPr>
          <w:spacing w:val="49"/>
        </w:rPr>
        <w:t xml:space="preserve"> </w:t>
      </w:r>
      <w:r>
        <w:t>relevant</w:t>
      </w:r>
      <w:r>
        <w:rPr>
          <w:spacing w:val="50"/>
        </w:rPr>
        <w:t xml:space="preserve"> </w:t>
      </w:r>
      <w:r>
        <w:t>data</w:t>
      </w:r>
      <w:r>
        <w:rPr>
          <w:spacing w:val="48"/>
        </w:rPr>
        <w:t xml:space="preserve"> </w:t>
      </w:r>
      <w:r>
        <w:t>inconsistencies</w:t>
      </w:r>
    </w:p>
    <w:p w14:paraId="7348DF7E" w14:textId="77777777" w:rsidR="00D757DA" w:rsidRDefault="00D757DA">
      <w:pPr>
        <w:jc w:val="both"/>
        <w:sectPr w:rsidR="00D757DA">
          <w:pgSz w:w="11910" w:h="16840"/>
          <w:pgMar w:top="1340" w:right="0" w:bottom="1160" w:left="1320" w:header="0" w:footer="881" w:gutter="0"/>
          <w:cols w:space="708"/>
        </w:sectPr>
      </w:pPr>
    </w:p>
    <w:p w14:paraId="4DB2D910" w14:textId="77777777" w:rsidR="00D757DA" w:rsidRDefault="0033254E">
      <w:pPr>
        <w:pStyle w:val="Zkladntext"/>
        <w:spacing w:before="81"/>
        <w:ind w:left="120" w:right="1432"/>
        <w:jc w:val="both"/>
      </w:pPr>
      <w:r>
        <w:lastRenderedPageBreak/>
        <w:pict w14:anchorId="3ED8AD6D">
          <v:line id="_x0000_s2110" style="position:absolute;left:0;text-align:left;z-index:-255621120;mso-position-horizontal-relative:page;mso-position-vertical-relative:page" from="208.35pt,359.5pt" to="434.25pt,359.5pt" strokeweight=".59pt">
            <w10:wrap anchorx="page" anchory="page"/>
          </v:line>
        </w:pict>
      </w:r>
      <w:r>
        <w:pict w14:anchorId="19820EE2">
          <v:group id="_x0000_s2100" style="position:absolute;left:0;text-align:left;margin-left:178.4pt;margin-top:557.7pt;width:315.6pt;height:194.45pt;z-index:-255620096;mso-position-horizontal-relative:page;mso-position-vertical-relative:page" coordorigin="3568,11154" coordsize="6312,3889">
            <v:shape id="_x0000_s2109" style="position:absolute;left:4797;top:11381;width:4586;height:2766" coordorigin="4797,11382" coordsize="4586,2766" path="m9383,11382r-71,42l9241,11467r-70,42l9100,11552r-70,43l8959,11637r-70,43l8818,11722r-70,43l8677,11807r-70,43l8536,11892r-71,43l8395,11978r-71,42l8254,12063r-71,42l8113,12148r-71,42l7972,12233r-71,42l7831,12318r-71,42l7689,12403r-70,43l7548,12488r-70,43l7407,12573r-70,43l7266,12658r-70,43l7125,12744r-70,42l6984,12829r-71,42l6843,12914r-71,42l6702,12999r-71,42l6561,13084r-71,42l6420,13169r-71,42l6279,13254r-71,43l6137,13339r-70,43l5996,13424r-70,43l5855,13509r-70,43l5714,13594r-71,43l5573,13680r-71,42l5432,13765r-71,42l5291,13850r-71,42l5150,13935r-71,42l5009,14020r-71,42l4868,14105r-71,43e" filled="f" strokecolor="#4f81bc" strokeweight="1.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8" type="#_x0000_t75" style="position:absolute;left:9322;top:11322;width:116;height:116">
              <v:imagedata r:id="rId13" o:title=""/>
            </v:shape>
            <v:shape id="_x0000_s2107" type="#_x0000_t75" style="position:absolute;left:8405;top:11876;width:116;height:116">
              <v:imagedata r:id="rId14" o:title=""/>
            </v:shape>
            <v:shape id="_x0000_s2106" type="#_x0000_t75" style="position:absolute;left:7489;top:12428;width:116;height:116">
              <v:imagedata r:id="rId13" o:title=""/>
            </v:shape>
            <v:shape id="_x0000_s2105" type="#_x0000_t75" style="position:absolute;left:6572;top:12983;width:116;height:116">
              <v:imagedata r:id="rId15" o:title=""/>
            </v:shape>
            <v:shape id="_x0000_s2104" type="#_x0000_t75" style="position:absolute;left:5655;top:13535;width:116;height:116">
              <v:imagedata r:id="rId15" o:title=""/>
            </v:shape>
            <v:shape id="_x0000_s2103" type="#_x0000_t75" style="position:absolute;left:4738;top:14089;width:116;height:116">
              <v:imagedata r:id="rId14" o:title=""/>
            </v:shape>
            <v:line id="_x0000_s2102" style="position:absolute" from="4797,14148" to="9383,11382" strokecolor="#4f81bc" strokeweight="1.5pt">
              <v:stroke dashstyle="dot"/>
            </v:line>
            <v:rect id="_x0000_s2101" style="position:absolute;left:3575;top:11161;width:6297;height:3874" filled="f" strokecolor="#d9d9d9"/>
            <w10:wrap anchorx="page" anchory="page"/>
          </v:group>
        </w:pict>
      </w:r>
      <w:r>
        <w:pict w14:anchorId="2D81B73D">
          <v:shapetype id="_x0000_t202" coordsize="21600,21600" o:spt="202" path="m,l,21600r21600,l21600,xe">
            <v:stroke joinstyle="miter"/>
            <v:path gradientshapeok="t" o:connecttype="rect"/>
          </v:shapetype>
          <v:shape id="_x0000_s2099" type="#_x0000_t202" style="position:absolute;left:0;text-align:left;margin-left:192.25pt;margin-top:616.15pt;width:12pt;height:44.4pt;z-index:-255619072;mso-position-horizontal-relative:page;mso-position-vertical-relative:page" filled="f" stroked="f">
            <v:textbox style="layout-flow:vertical;mso-layout-flow-alt:bottom-to-top" inset="0,0,0,0">
              <w:txbxContent>
                <w:p w14:paraId="5AD98C57" w14:textId="77777777" w:rsidR="00D757DA" w:rsidRDefault="0033254E">
                  <w:pPr>
                    <w:spacing w:line="223" w:lineRule="exact"/>
                    <w:ind w:left="20"/>
                    <w:rPr>
                      <w:rFonts w:ascii="Calibri"/>
                      <w:sz w:val="20"/>
                    </w:rPr>
                  </w:pPr>
                  <w:r>
                    <w:rPr>
                      <w:rFonts w:ascii="Calibri"/>
                      <w:color w:val="585858"/>
                      <w:sz w:val="20"/>
                    </w:rPr>
                    <w:t>SP3, Euros</w:t>
                  </w:r>
                </w:p>
              </w:txbxContent>
            </v:textbox>
            <w10:wrap anchorx="page" anchory="page"/>
          </v:shape>
        </w:pict>
      </w:r>
      <w:r>
        <w:pict w14:anchorId="645F6F68">
          <v:shape id="_x0000_s2098" type="#_x0000_t202" style="position:absolute;left:0;text-align:left;margin-left:239.5pt;margin-top:568.7pt;width:230.45pt;height:139.05pt;z-index:251666432;mso-position-horizontal-relative:page;mso-position-vertical-relative:page" filled="f" stroked="f">
            <v:textbox inset="0,0,0,0">
              <w:txbxContent>
                <w:tbl>
                  <w:tblPr>
                    <w:tblStyle w:val="TableNormal"/>
                    <w:tblW w:w="0" w:type="auto"/>
                    <w:tblInd w:w="7"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1E0" w:firstRow="1" w:lastRow="1" w:firstColumn="1" w:lastColumn="1" w:noHBand="0" w:noVBand="0"/>
                  </w:tblPr>
                  <w:tblGrid>
                    <w:gridCol w:w="917"/>
                    <w:gridCol w:w="916"/>
                    <w:gridCol w:w="916"/>
                    <w:gridCol w:w="916"/>
                    <w:gridCol w:w="917"/>
                  </w:tblGrid>
                  <w:tr w:rsidR="00D757DA" w14:paraId="01D43217" w14:textId="77777777">
                    <w:trPr>
                      <w:trHeight w:val="444"/>
                    </w:trPr>
                    <w:tc>
                      <w:tcPr>
                        <w:tcW w:w="917" w:type="dxa"/>
                        <w:tcBorders>
                          <w:left w:val="single" w:sz="6" w:space="0" w:color="BEBEBE"/>
                        </w:tcBorders>
                      </w:tcPr>
                      <w:p w14:paraId="321A164D" w14:textId="77777777" w:rsidR="00D757DA" w:rsidRDefault="00D757DA">
                        <w:pPr>
                          <w:pStyle w:val="TableParagraph"/>
                          <w:rPr>
                            <w:rFonts w:ascii="Times New Roman"/>
                            <w:sz w:val="20"/>
                          </w:rPr>
                        </w:pPr>
                      </w:p>
                    </w:tc>
                    <w:tc>
                      <w:tcPr>
                        <w:tcW w:w="916" w:type="dxa"/>
                      </w:tcPr>
                      <w:p w14:paraId="2DD650A8" w14:textId="77777777" w:rsidR="00D757DA" w:rsidRDefault="00D757DA">
                        <w:pPr>
                          <w:pStyle w:val="TableParagraph"/>
                          <w:rPr>
                            <w:rFonts w:ascii="Times New Roman"/>
                            <w:sz w:val="20"/>
                          </w:rPr>
                        </w:pPr>
                      </w:p>
                    </w:tc>
                    <w:tc>
                      <w:tcPr>
                        <w:tcW w:w="916" w:type="dxa"/>
                      </w:tcPr>
                      <w:p w14:paraId="11E0F7DA" w14:textId="77777777" w:rsidR="00D757DA" w:rsidRDefault="00D757DA">
                        <w:pPr>
                          <w:pStyle w:val="TableParagraph"/>
                          <w:rPr>
                            <w:rFonts w:ascii="Times New Roman"/>
                            <w:sz w:val="20"/>
                          </w:rPr>
                        </w:pPr>
                      </w:p>
                    </w:tc>
                    <w:tc>
                      <w:tcPr>
                        <w:tcW w:w="916" w:type="dxa"/>
                      </w:tcPr>
                      <w:p w14:paraId="7E913039" w14:textId="77777777" w:rsidR="00D757DA" w:rsidRDefault="00D757DA">
                        <w:pPr>
                          <w:pStyle w:val="TableParagraph"/>
                          <w:rPr>
                            <w:rFonts w:ascii="Times New Roman"/>
                            <w:sz w:val="20"/>
                          </w:rPr>
                        </w:pPr>
                      </w:p>
                    </w:tc>
                    <w:tc>
                      <w:tcPr>
                        <w:tcW w:w="917" w:type="dxa"/>
                      </w:tcPr>
                      <w:p w14:paraId="22F3E63B" w14:textId="77777777" w:rsidR="00D757DA" w:rsidRDefault="0033254E">
                        <w:pPr>
                          <w:pStyle w:val="TableParagraph"/>
                          <w:spacing w:line="103" w:lineRule="exact"/>
                          <w:ind w:left="251"/>
                          <w:rPr>
                            <w:rFonts w:ascii="Calibri"/>
                            <w:sz w:val="18"/>
                          </w:rPr>
                        </w:pPr>
                        <w:r>
                          <w:rPr>
                            <w:rFonts w:ascii="Calibri"/>
                            <w:color w:val="404040"/>
                            <w:sz w:val="18"/>
                          </w:rPr>
                          <w:t>60,000</w:t>
                        </w:r>
                      </w:p>
                    </w:tc>
                  </w:tr>
                  <w:tr w:rsidR="00D757DA" w14:paraId="4A942925" w14:textId="77777777">
                    <w:trPr>
                      <w:trHeight w:val="448"/>
                    </w:trPr>
                    <w:tc>
                      <w:tcPr>
                        <w:tcW w:w="917" w:type="dxa"/>
                        <w:tcBorders>
                          <w:left w:val="single" w:sz="6" w:space="0" w:color="BEBEBE"/>
                        </w:tcBorders>
                      </w:tcPr>
                      <w:p w14:paraId="449248DD" w14:textId="77777777" w:rsidR="00D757DA" w:rsidRDefault="00D757DA">
                        <w:pPr>
                          <w:pStyle w:val="TableParagraph"/>
                          <w:rPr>
                            <w:rFonts w:ascii="Times New Roman"/>
                            <w:sz w:val="20"/>
                          </w:rPr>
                        </w:pPr>
                      </w:p>
                    </w:tc>
                    <w:tc>
                      <w:tcPr>
                        <w:tcW w:w="916" w:type="dxa"/>
                      </w:tcPr>
                      <w:p w14:paraId="3B021C15" w14:textId="77777777" w:rsidR="00D757DA" w:rsidRDefault="00D757DA">
                        <w:pPr>
                          <w:pStyle w:val="TableParagraph"/>
                          <w:rPr>
                            <w:rFonts w:ascii="Times New Roman"/>
                            <w:sz w:val="20"/>
                          </w:rPr>
                        </w:pPr>
                      </w:p>
                    </w:tc>
                    <w:tc>
                      <w:tcPr>
                        <w:tcW w:w="916" w:type="dxa"/>
                      </w:tcPr>
                      <w:p w14:paraId="5AFC1B48" w14:textId="77777777" w:rsidR="00D757DA" w:rsidRDefault="00D757DA">
                        <w:pPr>
                          <w:pStyle w:val="TableParagraph"/>
                          <w:rPr>
                            <w:rFonts w:ascii="Times New Roman"/>
                            <w:sz w:val="20"/>
                          </w:rPr>
                        </w:pPr>
                      </w:p>
                    </w:tc>
                    <w:tc>
                      <w:tcPr>
                        <w:tcW w:w="916" w:type="dxa"/>
                      </w:tcPr>
                      <w:p w14:paraId="14AF8834" w14:textId="77777777" w:rsidR="00D757DA" w:rsidRDefault="0033254E">
                        <w:pPr>
                          <w:pStyle w:val="TableParagraph"/>
                          <w:spacing w:line="196" w:lineRule="exact"/>
                          <w:ind w:left="250"/>
                          <w:rPr>
                            <w:rFonts w:ascii="Calibri"/>
                            <w:sz w:val="18"/>
                          </w:rPr>
                        </w:pPr>
                        <w:r>
                          <w:rPr>
                            <w:rFonts w:ascii="Calibri"/>
                            <w:color w:val="404040"/>
                            <w:sz w:val="18"/>
                          </w:rPr>
                          <w:t>48,000</w:t>
                        </w:r>
                      </w:p>
                    </w:tc>
                    <w:tc>
                      <w:tcPr>
                        <w:tcW w:w="917" w:type="dxa"/>
                      </w:tcPr>
                      <w:p w14:paraId="2D08EDB6" w14:textId="77777777" w:rsidR="00D757DA" w:rsidRDefault="00D757DA">
                        <w:pPr>
                          <w:pStyle w:val="TableParagraph"/>
                          <w:rPr>
                            <w:rFonts w:ascii="Times New Roman"/>
                            <w:sz w:val="20"/>
                          </w:rPr>
                        </w:pPr>
                      </w:p>
                    </w:tc>
                  </w:tr>
                  <w:tr w:rsidR="00D757DA" w14:paraId="43C24795" w14:textId="77777777">
                    <w:trPr>
                      <w:trHeight w:val="445"/>
                    </w:trPr>
                    <w:tc>
                      <w:tcPr>
                        <w:tcW w:w="917" w:type="dxa"/>
                        <w:tcBorders>
                          <w:left w:val="single" w:sz="6" w:space="0" w:color="BEBEBE"/>
                        </w:tcBorders>
                      </w:tcPr>
                      <w:p w14:paraId="30FB5BF7" w14:textId="77777777" w:rsidR="00D757DA" w:rsidRDefault="00D757DA">
                        <w:pPr>
                          <w:pStyle w:val="TableParagraph"/>
                          <w:rPr>
                            <w:rFonts w:ascii="Times New Roman"/>
                            <w:sz w:val="20"/>
                          </w:rPr>
                        </w:pPr>
                      </w:p>
                    </w:tc>
                    <w:tc>
                      <w:tcPr>
                        <w:tcW w:w="916" w:type="dxa"/>
                      </w:tcPr>
                      <w:p w14:paraId="3603DF4F" w14:textId="77777777" w:rsidR="00D757DA" w:rsidRDefault="00D757DA">
                        <w:pPr>
                          <w:pStyle w:val="TableParagraph"/>
                          <w:rPr>
                            <w:rFonts w:ascii="Times New Roman"/>
                            <w:sz w:val="20"/>
                          </w:rPr>
                        </w:pPr>
                      </w:p>
                    </w:tc>
                    <w:tc>
                      <w:tcPr>
                        <w:tcW w:w="916" w:type="dxa"/>
                      </w:tcPr>
                      <w:p w14:paraId="4D9AA59A" w14:textId="77777777" w:rsidR="00D757DA" w:rsidRDefault="0033254E">
                        <w:pPr>
                          <w:pStyle w:val="TableParagraph"/>
                          <w:spacing w:before="67"/>
                          <w:ind w:left="248"/>
                          <w:rPr>
                            <w:rFonts w:ascii="Calibri"/>
                            <w:sz w:val="18"/>
                          </w:rPr>
                        </w:pPr>
                        <w:r>
                          <w:rPr>
                            <w:rFonts w:ascii="Calibri"/>
                            <w:color w:val="404040"/>
                            <w:sz w:val="18"/>
                          </w:rPr>
                          <w:t>36,000</w:t>
                        </w:r>
                      </w:p>
                    </w:tc>
                    <w:tc>
                      <w:tcPr>
                        <w:tcW w:w="916" w:type="dxa"/>
                      </w:tcPr>
                      <w:p w14:paraId="40CFDEDC" w14:textId="77777777" w:rsidR="00D757DA" w:rsidRDefault="00D757DA">
                        <w:pPr>
                          <w:pStyle w:val="TableParagraph"/>
                          <w:rPr>
                            <w:rFonts w:ascii="Times New Roman"/>
                            <w:sz w:val="20"/>
                          </w:rPr>
                        </w:pPr>
                      </w:p>
                    </w:tc>
                    <w:tc>
                      <w:tcPr>
                        <w:tcW w:w="917" w:type="dxa"/>
                      </w:tcPr>
                      <w:p w14:paraId="01A57691" w14:textId="77777777" w:rsidR="00D757DA" w:rsidRDefault="00D757DA">
                        <w:pPr>
                          <w:pStyle w:val="TableParagraph"/>
                          <w:rPr>
                            <w:rFonts w:ascii="Times New Roman"/>
                            <w:sz w:val="20"/>
                          </w:rPr>
                        </w:pPr>
                      </w:p>
                    </w:tc>
                  </w:tr>
                  <w:tr w:rsidR="00D757DA" w14:paraId="6E1E1616" w14:textId="77777777">
                    <w:trPr>
                      <w:trHeight w:val="445"/>
                    </w:trPr>
                    <w:tc>
                      <w:tcPr>
                        <w:tcW w:w="917" w:type="dxa"/>
                        <w:tcBorders>
                          <w:left w:val="single" w:sz="6" w:space="0" w:color="BEBEBE"/>
                        </w:tcBorders>
                      </w:tcPr>
                      <w:p w14:paraId="0F40EDBC" w14:textId="77777777" w:rsidR="00D757DA" w:rsidRDefault="00D757DA">
                        <w:pPr>
                          <w:pStyle w:val="TableParagraph"/>
                          <w:rPr>
                            <w:rFonts w:ascii="Times New Roman"/>
                            <w:sz w:val="20"/>
                          </w:rPr>
                        </w:pPr>
                      </w:p>
                    </w:tc>
                    <w:tc>
                      <w:tcPr>
                        <w:tcW w:w="916" w:type="dxa"/>
                      </w:tcPr>
                      <w:p w14:paraId="48ECF2A1" w14:textId="77777777" w:rsidR="00D757DA" w:rsidRDefault="0033254E">
                        <w:pPr>
                          <w:pStyle w:val="TableParagraph"/>
                          <w:spacing w:before="159"/>
                          <w:ind w:left="247"/>
                          <w:rPr>
                            <w:rFonts w:ascii="Calibri"/>
                            <w:sz w:val="18"/>
                          </w:rPr>
                        </w:pPr>
                        <w:r>
                          <w:rPr>
                            <w:rFonts w:ascii="Calibri"/>
                            <w:color w:val="404040"/>
                            <w:sz w:val="18"/>
                          </w:rPr>
                          <w:t>24,000</w:t>
                        </w:r>
                      </w:p>
                    </w:tc>
                    <w:tc>
                      <w:tcPr>
                        <w:tcW w:w="916" w:type="dxa"/>
                      </w:tcPr>
                      <w:p w14:paraId="4524E035" w14:textId="77777777" w:rsidR="00D757DA" w:rsidRDefault="00D757DA">
                        <w:pPr>
                          <w:pStyle w:val="TableParagraph"/>
                          <w:rPr>
                            <w:rFonts w:ascii="Times New Roman"/>
                            <w:sz w:val="20"/>
                          </w:rPr>
                        </w:pPr>
                      </w:p>
                    </w:tc>
                    <w:tc>
                      <w:tcPr>
                        <w:tcW w:w="916" w:type="dxa"/>
                      </w:tcPr>
                      <w:p w14:paraId="32BA234D" w14:textId="77777777" w:rsidR="00D757DA" w:rsidRDefault="00D757DA">
                        <w:pPr>
                          <w:pStyle w:val="TableParagraph"/>
                          <w:rPr>
                            <w:rFonts w:ascii="Times New Roman"/>
                            <w:sz w:val="20"/>
                          </w:rPr>
                        </w:pPr>
                      </w:p>
                    </w:tc>
                    <w:tc>
                      <w:tcPr>
                        <w:tcW w:w="917" w:type="dxa"/>
                      </w:tcPr>
                      <w:p w14:paraId="29E916D8" w14:textId="77777777" w:rsidR="00D757DA" w:rsidRDefault="00D757DA">
                        <w:pPr>
                          <w:pStyle w:val="TableParagraph"/>
                          <w:rPr>
                            <w:rFonts w:ascii="Times New Roman"/>
                            <w:sz w:val="20"/>
                          </w:rPr>
                        </w:pPr>
                      </w:p>
                    </w:tc>
                  </w:tr>
                  <w:tr w:rsidR="00D757DA" w14:paraId="75F12E5B" w14:textId="77777777">
                    <w:trPr>
                      <w:trHeight w:val="445"/>
                    </w:trPr>
                    <w:tc>
                      <w:tcPr>
                        <w:tcW w:w="917" w:type="dxa"/>
                        <w:tcBorders>
                          <w:left w:val="single" w:sz="6" w:space="0" w:color="BEBEBE"/>
                        </w:tcBorders>
                      </w:tcPr>
                      <w:p w14:paraId="13423DFC" w14:textId="77777777" w:rsidR="00D757DA" w:rsidRDefault="00D757DA">
                        <w:pPr>
                          <w:pStyle w:val="TableParagraph"/>
                          <w:spacing w:before="10"/>
                          <w:rPr>
                            <w:sz w:val="21"/>
                          </w:rPr>
                        </w:pPr>
                      </w:p>
                      <w:p w14:paraId="6F50A6EA" w14:textId="77777777" w:rsidR="00D757DA" w:rsidRDefault="0033254E">
                        <w:pPr>
                          <w:pStyle w:val="TableParagraph"/>
                          <w:spacing w:line="174" w:lineRule="exact"/>
                          <w:ind w:left="247"/>
                          <w:rPr>
                            <w:rFonts w:ascii="Calibri"/>
                            <w:sz w:val="18"/>
                          </w:rPr>
                        </w:pPr>
                        <w:r>
                          <w:rPr>
                            <w:rFonts w:ascii="Calibri"/>
                            <w:color w:val="404040"/>
                            <w:sz w:val="18"/>
                          </w:rPr>
                          <w:t>12,000</w:t>
                        </w:r>
                      </w:p>
                    </w:tc>
                    <w:tc>
                      <w:tcPr>
                        <w:tcW w:w="916" w:type="dxa"/>
                      </w:tcPr>
                      <w:p w14:paraId="04204BF5" w14:textId="77777777" w:rsidR="00D757DA" w:rsidRDefault="00D757DA">
                        <w:pPr>
                          <w:pStyle w:val="TableParagraph"/>
                          <w:rPr>
                            <w:rFonts w:ascii="Times New Roman"/>
                            <w:sz w:val="20"/>
                          </w:rPr>
                        </w:pPr>
                      </w:p>
                    </w:tc>
                    <w:tc>
                      <w:tcPr>
                        <w:tcW w:w="916" w:type="dxa"/>
                      </w:tcPr>
                      <w:p w14:paraId="660EADAC" w14:textId="77777777" w:rsidR="00D757DA" w:rsidRDefault="00D757DA">
                        <w:pPr>
                          <w:pStyle w:val="TableParagraph"/>
                          <w:rPr>
                            <w:rFonts w:ascii="Times New Roman"/>
                            <w:sz w:val="20"/>
                          </w:rPr>
                        </w:pPr>
                      </w:p>
                    </w:tc>
                    <w:tc>
                      <w:tcPr>
                        <w:tcW w:w="916" w:type="dxa"/>
                      </w:tcPr>
                      <w:p w14:paraId="5C299E1D" w14:textId="77777777" w:rsidR="00D757DA" w:rsidRDefault="00D757DA">
                        <w:pPr>
                          <w:pStyle w:val="TableParagraph"/>
                          <w:rPr>
                            <w:rFonts w:ascii="Times New Roman"/>
                            <w:sz w:val="20"/>
                          </w:rPr>
                        </w:pPr>
                      </w:p>
                    </w:tc>
                    <w:tc>
                      <w:tcPr>
                        <w:tcW w:w="917" w:type="dxa"/>
                      </w:tcPr>
                      <w:p w14:paraId="43A39753" w14:textId="77777777" w:rsidR="00D757DA" w:rsidRDefault="00D757DA">
                        <w:pPr>
                          <w:pStyle w:val="TableParagraph"/>
                          <w:rPr>
                            <w:rFonts w:ascii="Times New Roman"/>
                            <w:sz w:val="20"/>
                          </w:rPr>
                        </w:pPr>
                      </w:p>
                    </w:tc>
                  </w:tr>
                  <w:tr w:rsidR="00D757DA" w14:paraId="5E26AFBA" w14:textId="77777777">
                    <w:trPr>
                      <w:trHeight w:val="445"/>
                    </w:trPr>
                    <w:tc>
                      <w:tcPr>
                        <w:tcW w:w="917" w:type="dxa"/>
                        <w:tcBorders>
                          <w:left w:val="single" w:sz="6" w:space="0" w:color="BEBEBE"/>
                          <w:bottom w:val="single" w:sz="6" w:space="0" w:color="BEBEBE"/>
                        </w:tcBorders>
                      </w:tcPr>
                      <w:p w14:paraId="408C45C8" w14:textId="77777777" w:rsidR="00D757DA" w:rsidRDefault="00D757DA">
                        <w:pPr>
                          <w:pStyle w:val="TableParagraph"/>
                          <w:rPr>
                            <w:rFonts w:ascii="Times New Roman"/>
                            <w:sz w:val="20"/>
                          </w:rPr>
                        </w:pPr>
                      </w:p>
                    </w:tc>
                    <w:tc>
                      <w:tcPr>
                        <w:tcW w:w="916" w:type="dxa"/>
                        <w:tcBorders>
                          <w:bottom w:val="single" w:sz="6" w:space="0" w:color="BEBEBE"/>
                        </w:tcBorders>
                      </w:tcPr>
                      <w:p w14:paraId="605DD2B6" w14:textId="77777777" w:rsidR="00D757DA" w:rsidRDefault="00D757DA">
                        <w:pPr>
                          <w:pStyle w:val="TableParagraph"/>
                          <w:rPr>
                            <w:rFonts w:ascii="Times New Roman"/>
                            <w:sz w:val="20"/>
                          </w:rPr>
                        </w:pPr>
                      </w:p>
                    </w:tc>
                    <w:tc>
                      <w:tcPr>
                        <w:tcW w:w="916" w:type="dxa"/>
                        <w:tcBorders>
                          <w:bottom w:val="single" w:sz="6" w:space="0" w:color="BEBEBE"/>
                        </w:tcBorders>
                      </w:tcPr>
                      <w:p w14:paraId="0A696DC8" w14:textId="77777777" w:rsidR="00D757DA" w:rsidRDefault="00D757DA">
                        <w:pPr>
                          <w:pStyle w:val="TableParagraph"/>
                          <w:rPr>
                            <w:rFonts w:ascii="Times New Roman"/>
                            <w:sz w:val="20"/>
                          </w:rPr>
                        </w:pPr>
                      </w:p>
                    </w:tc>
                    <w:tc>
                      <w:tcPr>
                        <w:tcW w:w="916" w:type="dxa"/>
                        <w:tcBorders>
                          <w:bottom w:val="single" w:sz="6" w:space="0" w:color="BEBEBE"/>
                        </w:tcBorders>
                      </w:tcPr>
                      <w:p w14:paraId="09A54715" w14:textId="77777777" w:rsidR="00D757DA" w:rsidRDefault="00D757DA">
                        <w:pPr>
                          <w:pStyle w:val="TableParagraph"/>
                          <w:rPr>
                            <w:rFonts w:ascii="Times New Roman"/>
                            <w:sz w:val="20"/>
                          </w:rPr>
                        </w:pPr>
                      </w:p>
                    </w:tc>
                    <w:tc>
                      <w:tcPr>
                        <w:tcW w:w="917" w:type="dxa"/>
                        <w:tcBorders>
                          <w:bottom w:val="single" w:sz="6" w:space="0" w:color="BEBEBE"/>
                        </w:tcBorders>
                      </w:tcPr>
                      <w:p w14:paraId="24A4B7AA" w14:textId="77777777" w:rsidR="00D757DA" w:rsidRDefault="00D757DA">
                        <w:pPr>
                          <w:pStyle w:val="TableParagraph"/>
                          <w:rPr>
                            <w:rFonts w:ascii="Times New Roman"/>
                            <w:sz w:val="20"/>
                          </w:rPr>
                        </w:pPr>
                      </w:p>
                    </w:tc>
                  </w:tr>
                </w:tbl>
                <w:p w14:paraId="0D304A8A" w14:textId="77777777" w:rsidR="00D757DA" w:rsidRDefault="00D757DA">
                  <w:pPr>
                    <w:pStyle w:val="Zkladntext"/>
                  </w:pPr>
                </w:p>
              </w:txbxContent>
            </v:textbox>
            <w10:wrap anchorx="page" anchory="page"/>
          </v:shape>
        </w:pict>
      </w:r>
      <w:r>
        <w:t>between</w:t>
      </w:r>
      <w:r>
        <w:rPr>
          <w:spacing w:val="-7"/>
        </w:rPr>
        <w:t xml:space="preserve"> </w:t>
      </w:r>
      <w:r>
        <w:t>the</w:t>
      </w:r>
      <w:r>
        <w:rPr>
          <w:spacing w:val="-7"/>
        </w:rPr>
        <w:t xml:space="preserve"> </w:t>
      </w:r>
      <w:r>
        <w:t>portal</w:t>
      </w:r>
      <w:r>
        <w:rPr>
          <w:spacing w:val="-7"/>
        </w:rPr>
        <w:t xml:space="preserve"> </w:t>
      </w:r>
      <w:r>
        <w:t>and</w:t>
      </w:r>
      <w:r>
        <w:rPr>
          <w:spacing w:val="-9"/>
        </w:rPr>
        <w:t xml:space="preserve"> </w:t>
      </w:r>
      <w:r>
        <w:t>the</w:t>
      </w:r>
      <w:r>
        <w:rPr>
          <w:spacing w:val="-7"/>
        </w:rPr>
        <w:t xml:space="preserve"> </w:t>
      </w:r>
      <w:r>
        <w:t>IPO.</w:t>
      </w:r>
      <w:r>
        <w:rPr>
          <w:spacing w:val="-6"/>
        </w:rPr>
        <w:t xml:space="preserve"> </w:t>
      </w:r>
      <w:r>
        <w:t>The</w:t>
      </w:r>
      <w:r>
        <w:rPr>
          <w:spacing w:val="-6"/>
        </w:rPr>
        <w:t xml:space="preserve"> </w:t>
      </w:r>
      <w:r>
        <w:t>thumbnail</w:t>
      </w:r>
      <w:r>
        <w:rPr>
          <w:spacing w:val="-7"/>
        </w:rPr>
        <w:t xml:space="preserve"> </w:t>
      </w:r>
      <w:r>
        <w:t>service</w:t>
      </w:r>
      <w:r>
        <w:rPr>
          <w:spacing w:val="-7"/>
        </w:rPr>
        <w:t xml:space="preserve"> </w:t>
      </w:r>
      <w:r>
        <w:t>for</w:t>
      </w:r>
      <w:r>
        <w:rPr>
          <w:spacing w:val="-5"/>
        </w:rPr>
        <w:t xml:space="preserve"> </w:t>
      </w:r>
      <w:r>
        <w:t>images</w:t>
      </w:r>
      <w:r>
        <w:rPr>
          <w:spacing w:val="-7"/>
        </w:rPr>
        <w:t xml:space="preserve"> </w:t>
      </w:r>
      <w:r>
        <w:t>is</w:t>
      </w:r>
      <w:r>
        <w:rPr>
          <w:spacing w:val="-6"/>
        </w:rPr>
        <w:t xml:space="preserve"> </w:t>
      </w:r>
      <w:r>
        <w:t>optional</w:t>
      </w:r>
      <w:r>
        <w:rPr>
          <w:spacing w:val="-7"/>
        </w:rPr>
        <w:t xml:space="preserve"> </w:t>
      </w:r>
      <w:r>
        <w:t>for</w:t>
      </w:r>
      <w:r>
        <w:rPr>
          <w:spacing w:val="-6"/>
        </w:rPr>
        <w:t xml:space="preserve"> </w:t>
      </w:r>
      <w:r>
        <w:t>the</w:t>
      </w:r>
      <w:r>
        <w:rPr>
          <w:spacing w:val="-9"/>
        </w:rPr>
        <w:t xml:space="preserve"> </w:t>
      </w:r>
      <w:r>
        <w:t>IPO.</w:t>
      </w:r>
      <w:r>
        <w:rPr>
          <w:spacing w:val="-6"/>
        </w:rPr>
        <w:t xml:space="preserve"> </w:t>
      </w:r>
      <w:r>
        <w:t>The IPO</w:t>
      </w:r>
      <w:r>
        <w:rPr>
          <w:spacing w:val="-11"/>
        </w:rPr>
        <w:t xml:space="preserve"> </w:t>
      </w:r>
      <w:r>
        <w:t>shall</w:t>
      </w:r>
      <w:r>
        <w:rPr>
          <w:spacing w:val="-10"/>
        </w:rPr>
        <w:t xml:space="preserve"> </w:t>
      </w:r>
      <w:r>
        <w:t>provide</w:t>
      </w:r>
      <w:r>
        <w:rPr>
          <w:spacing w:val="-12"/>
        </w:rPr>
        <w:t xml:space="preserve"> </w:t>
      </w:r>
      <w:r>
        <w:t>the</w:t>
      </w:r>
      <w:r>
        <w:rPr>
          <w:spacing w:val="-12"/>
        </w:rPr>
        <w:t xml:space="preserve"> </w:t>
      </w:r>
      <w:r>
        <w:t>public</w:t>
      </w:r>
      <w:r>
        <w:rPr>
          <w:spacing w:val="-8"/>
        </w:rPr>
        <w:t xml:space="preserve"> </w:t>
      </w:r>
      <w:r>
        <w:t>parts</w:t>
      </w:r>
      <w:r>
        <w:rPr>
          <w:spacing w:val="-12"/>
        </w:rPr>
        <w:t xml:space="preserve"> </w:t>
      </w:r>
      <w:r>
        <w:t>of</w:t>
      </w:r>
      <w:r>
        <w:rPr>
          <w:spacing w:val="-10"/>
        </w:rPr>
        <w:t xml:space="preserve"> </w:t>
      </w:r>
      <w:r>
        <w:t>data</w:t>
      </w:r>
      <w:r>
        <w:rPr>
          <w:spacing w:val="-11"/>
        </w:rPr>
        <w:t xml:space="preserve"> </w:t>
      </w:r>
      <w:r>
        <w:t>as</w:t>
      </w:r>
      <w:r>
        <w:rPr>
          <w:spacing w:val="-11"/>
        </w:rPr>
        <w:t xml:space="preserve"> </w:t>
      </w:r>
      <w:r>
        <w:t>laid</w:t>
      </w:r>
      <w:r>
        <w:rPr>
          <w:spacing w:val="-9"/>
        </w:rPr>
        <w:t xml:space="preserve"> </w:t>
      </w:r>
      <w:r>
        <w:t>down</w:t>
      </w:r>
      <w:r>
        <w:rPr>
          <w:spacing w:val="-9"/>
        </w:rPr>
        <w:t xml:space="preserve"> </w:t>
      </w:r>
      <w:r>
        <w:t>in</w:t>
      </w:r>
      <w:r>
        <w:rPr>
          <w:spacing w:val="-12"/>
        </w:rPr>
        <w:t xml:space="preserve"> </w:t>
      </w:r>
      <w:r>
        <w:t>the</w:t>
      </w:r>
      <w:r>
        <w:rPr>
          <w:spacing w:val="-9"/>
        </w:rPr>
        <w:t xml:space="preserve"> </w:t>
      </w:r>
      <w:r>
        <w:t>ST66</w:t>
      </w:r>
      <w:r>
        <w:rPr>
          <w:spacing w:val="-11"/>
        </w:rPr>
        <w:t xml:space="preserve"> </w:t>
      </w:r>
      <w:r>
        <w:t>and</w:t>
      </w:r>
      <w:r>
        <w:rPr>
          <w:spacing w:val="-11"/>
        </w:rPr>
        <w:t xml:space="preserve"> </w:t>
      </w:r>
      <w:r>
        <w:t>ST86</w:t>
      </w:r>
      <w:r>
        <w:rPr>
          <w:spacing w:val="-11"/>
        </w:rPr>
        <w:t xml:space="preserve"> </w:t>
      </w:r>
      <w:r>
        <w:t>standards,</w:t>
      </w:r>
      <w:r>
        <w:rPr>
          <w:spacing w:val="-10"/>
        </w:rPr>
        <w:t xml:space="preserve"> </w:t>
      </w:r>
      <w:r>
        <w:t xml:space="preserve">within the constraints of national legal rules. In particular, the data to be supplied shall </w:t>
      </w:r>
      <w:proofErr w:type="gramStart"/>
      <w:r>
        <w:t>be in compliance with</w:t>
      </w:r>
      <w:proofErr w:type="gramEnd"/>
      <w:r>
        <w:t xml:space="preserve"> the technical specifications agreed within the project brief and the set-up integration</w:t>
      </w:r>
      <w:r>
        <w:rPr>
          <w:spacing w:val="-1"/>
        </w:rPr>
        <w:t xml:space="preserve"> </w:t>
      </w:r>
      <w:r>
        <w:t>documentation.</w:t>
      </w:r>
    </w:p>
    <w:p w14:paraId="613E110E" w14:textId="77777777" w:rsidR="00D757DA" w:rsidRDefault="00D757DA">
      <w:pPr>
        <w:pStyle w:val="Zkladntext"/>
        <w:spacing w:before="11"/>
        <w:rPr>
          <w:sz w:val="21"/>
        </w:rPr>
      </w:pPr>
    </w:p>
    <w:p w14:paraId="2521228D" w14:textId="77777777" w:rsidR="00D757DA" w:rsidRDefault="0033254E">
      <w:pPr>
        <w:pStyle w:val="Odstavecseseznamem"/>
        <w:numPr>
          <w:ilvl w:val="1"/>
          <w:numId w:val="37"/>
        </w:numPr>
        <w:tabs>
          <w:tab w:val="left" w:pos="841"/>
        </w:tabs>
        <w:ind w:right="1431" w:firstLine="0"/>
        <w:jc w:val="both"/>
      </w:pPr>
      <w:r>
        <w:t xml:space="preserve">The calculation of the allowance shall rely on different service values (SV). Each one of those values corresponds to a service parameter (SP), recorded over the service period. The following method shall be used for that purpose: “Financial contribution to </w:t>
      </w:r>
      <w:proofErr w:type="spellStart"/>
      <w:r>
        <w:t>TMview</w:t>
      </w:r>
      <w:proofErr w:type="spellEnd"/>
      <w:r>
        <w:t xml:space="preserve"> and </w:t>
      </w:r>
      <w:proofErr w:type="spellStart"/>
      <w:r>
        <w:t>DesignView</w:t>
      </w:r>
      <w:proofErr w:type="spellEnd"/>
      <w:r>
        <w:t xml:space="preserve"> =</w:t>
      </w:r>
      <w:r>
        <w:rPr>
          <w:spacing w:val="-1"/>
        </w:rPr>
        <w:t xml:space="preserve"> </w:t>
      </w:r>
      <w:r>
        <w:t>SP3+SP4+SP5”</w:t>
      </w:r>
    </w:p>
    <w:p w14:paraId="0337343F" w14:textId="77777777" w:rsidR="00D757DA" w:rsidRDefault="00D757DA">
      <w:pPr>
        <w:pStyle w:val="Zkladntext"/>
      </w:pPr>
    </w:p>
    <w:p w14:paraId="77DC1120" w14:textId="77777777" w:rsidR="00D757DA" w:rsidRDefault="0033254E">
      <w:pPr>
        <w:pStyle w:val="Odstavecseseznamem"/>
        <w:numPr>
          <w:ilvl w:val="1"/>
          <w:numId w:val="37"/>
        </w:numPr>
        <w:tabs>
          <w:tab w:val="left" w:pos="841"/>
        </w:tabs>
        <w:ind w:right="1440" w:firstLine="0"/>
        <w:jc w:val="both"/>
      </w:pPr>
      <w:r>
        <w:t xml:space="preserve">For the application of the calculation method, the following service value levels and service parameters are agreed for both </w:t>
      </w:r>
      <w:proofErr w:type="spellStart"/>
      <w:r>
        <w:t>TMview</w:t>
      </w:r>
      <w:proofErr w:type="spellEnd"/>
      <w:r>
        <w:t xml:space="preserve"> and </w:t>
      </w:r>
      <w:proofErr w:type="spellStart"/>
      <w:r>
        <w:t>DesignView</w:t>
      </w:r>
      <w:proofErr w:type="spellEnd"/>
      <w:r>
        <w:rPr>
          <w:spacing w:val="-16"/>
        </w:rPr>
        <w:t xml:space="preserve"> </w:t>
      </w:r>
      <w:r>
        <w:t>applications:</w:t>
      </w:r>
    </w:p>
    <w:p w14:paraId="5089FA54" w14:textId="77777777" w:rsidR="00D757DA" w:rsidRDefault="00D757DA">
      <w:pPr>
        <w:pStyle w:val="Zkladntext"/>
        <w:spacing w:before="2"/>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7161"/>
      </w:tblGrid>
      <w:tr w:rsidR="00D757DA" w14:paraId="3A67F83B" w14:textId="77777777">
        <w:trPr>
          <w:trHeight w:val="873"/>
        </w:trPr>
        <w:tc>
          <w:tcPr>
            <w:tcW w:w="1858" w:type="dxa"/>
          </w:tcPr>
          <w:p w14:paraId="5855431A" w14:textId="77777777" w:rsidR="00D757DA" w:rsidRDefault="0033254E">
            <w:pPr>
              <w:pStyle w:val="TableParagraph"/>
              <w:spacing w:before="147" w:line="276" w:lineRule="auto"/>
              <w:ind w:left="335" w:right="307" w:firstLine="139"/>
              <w:rPr>
                <w:b/>
              </w:rPr>
            </w:pPr>
            <w:r>
              <w:rPr>
                <w:b/>
              </w:rPr>
              <w:t>Services description</w:t>
            </w:r>
          </w:p>
        </w:tc>
        <w:tc>
          <w:tcPr>
            <w:tcW w:w="7161" w:type="dxa"/>
          </w:tcPr>
          <w:p w14:paraId="59FC2D70" w14:textId="77777777" w:rsidR="00D757DA" w:rsidRDefault="0033254E">
            <w:pPr>
              <w:pStyle w:val="TableParagraph"/>
              <w:spacing w:before="147" w:line="276" w:lineRule="auto"/>
              <w:ind w:left="2349" w:right="300" w:hanging="2024"/>
              <w:rPr>
                <w:b/>
              </w:rPr>
            </w:pPr>
            <w:r>
              <w:rPr>
                <w:b/>
              </w:rPr>
              <w:t>Agreed service value levels (averages over the service period) and service parameters</w:t>
            </w:r>
          </w:p>
        </w:tc>
      </w:tr>
      <w:tr w:rsidR="00D757DA" w14:paraId="72A48BA9" w14:textId="77777777">
        <w:trPr>
          <w:trHeight w:val="9308"/>
        </w:trPr>
        <w:tc>
          <w:tcPr>
            <w:tcW w:w="1858" w:type="dxa"/>
          </w:tcPr>
          <w:p w14:paraId="41AAC168" w14:textId="77777777" w:rsidR="00D757DA" w:rsidRDefault="0033254E">
            <w:pPr>
              <w:pStyle w:val="TableParagraph"/>
              <w:tabs>
                <w:tab w:val="left" w:pos="520"/>
                <w:tab w:val="left" w:pos="988"/>
                <w:tab w:val="left" w:pos="1580"/>
              </w:tabs>
              <w:spacing w:before="119"/>
              <w:ind w:left="107" w:right="99"/>
              <w:rPr>
                <w:sz w:val="20"/>
              </w:rPr>
            </w:pPr>
            <w:r>
              <w:rPr>
                <w:b/>
                <w:sz w:val="20"/>
              </w:rPr>
              <w:t xml:space="preserve">SV3: Index data update frequency through FTP </w:t>
            </w:r>
            <w:r>
              <w:rPr>
                <w:sz w:val="20"/>
              </w:rPr>
              <w:t>(i.e. this service value reflects the ability of</w:t>
            </w:r>
            <w:r>
              <w:rPr>
                <w:sz w:val="20"/>
              </w:rPr>
              <w:tab/>
              <w:t>an</w:t>
            </w:r>
            <w:r>
              <w:rPr>
                <w:sz w:val="20"/>
              </w:rPr>
              <w:tab/>
              <w:t>IPO</w:t>
            </w:r>
            <w:r>
              <w:rPr>
                <w:sz w:val="20"/>
              </w:rPr>
              <w:tab/>
            </w:r>
            <w:r>
              <w:rPr>
                <w:spacing w:val="-9"/>
                <w:sz w:val="20"/>
              </w:rPr>
              <w:t xml:space="preserve">to </w:t>
            </w:r>
            <w:r>
              <w:rPr>
                <w:sz w:val="20"/>
              </w:rPr>
              <w:t>update daily the central index</w:t>
            </w:r>
            <w:r>
              <w:rPr>
                <w:spacing w:val="-15"/>
                <w:sz w:val="20"/>
              </w:rPr>
              <w:t xml:space="preserve"> </w:t>
            </w:r>
            <w:r>
              <w:rPr>
                <w:sz w:val="20"/>
              </w:rPr>
              <w:t>data)</w:t>
            </w:r>
          </w:p>
        </w:tc>
        <w:tc>
          <w:tcPr>
            <w:tcW w:w="7161" w:type="dxa"/>
          </w:tcPr>
          <w:p w14:paraId="4ECA81AE" w14:textId="77777777" w:rsidR="00D757DA" w:rsidRDefault="0033254E">
            <w:pPr>
              <w:pStyle w:val="TableParagraph"/>
              <w:spacing w:before="119"/>
              <w:ind w:left="278" w:right="281"/>
              <w:jc w:val="both"/>
              <w:rPr>
                <w:sz w:val="20"/>
              </w:rPr>
            </w:pPr>
            <w:r>
              <w:rPr>
                <w:sz w:val="20"/>
              </w:rPr>
              <w:t xml:space="preserve">It is expected that the central index data is updated by the IPO </w:t>
            </w:r>
            <w:proofErr w:type="gramStart"/>
            <w:r>
              <w:rPr>
                <w:sz w:val="20"/>
              </w:rPr>
              <w:t>on a daily basis</w:t>
            </w:r>
            <w:proofErr w:type="gramEnd"/>
            <w:r>
              <w:rPr>
                <w:sz w:val="20"/>
              </w:rPr>
              <w:t xml:space="preserve"> (SV3) with an automatic delivery of a differential file through FTP.</w:t>
            </w:r>
          </w:p>
          <w:p w14:paraId="49DDD451" w14:textId="77777777" w:rsidR="00D757DA" w:rsidRDefault="00D757DA">
            <w:pPr>
              <w:pStyle w:val="TableParagraph"/>
            </w:pPr>
          </w:p>
          <w:p w14:paraId="5E26F4AD" w14:textId="77777777" w:rsidR="00D757DA" w:rsidRDefault="0033254E">
            <w:pPr>
              <w:pStyle w:val="TableParagraph"/>
              <w:spacing w:before="194" w:line="194" w:lineRule="exact"/>
              <w:ind w:left="848" w:right="1745"/>
              <w:jc w:val="center"/>
              <w:rPr>
                <w:rFonts w:ascii="Cambria Math"/>
                <w:sz w:val="20"/>
              </w:rPr>
            </w:pPr>
            <w:r>
              <w:rPr>
                <w:rFonts w:ascii="Cambria Math"/>
                <w:sz w:val="20"/>
              </w:rPr>
              <w:t>Number of days when the Central Index was updated</w:t>
            </w:r>
          </w:p>
          <w:p w14:paraId="1785751B" w14:textId="77777777" w:rsidR="00D757DA" w:rsidRDefault="0033254E">
            <w:pPr>
              <w:pStyle w:val="TableParagraph"/>
              <w:spacing w:line="144" w:lineRule="exact"/>
              <w:ind w:left="278"/>
              <w:rPr>
                <w:rFonts w:ascii="Cambria Math"/>
                <w:sz w:val="20"/>
              </w:rPr>
            </w:pPr>
            <w:r>
              <w:rPr>
                <w:rFonts w:ascii="Cambria Math"/>
                <w:sz w:val="20"/>
              </w:rPr>
              <w:t>SV3 =</w:t>
            </w:r>
          </w:p>
          <w:p w14:paraId="75EA41A1" w14:textId="77777777" w:rsidR="00D757DA" w:rsidRDefault="0033254E">
            <w:pPr>
              <w:pStyle w:val="TableParagraph"/>
              <w:spacing w:line="184" w:lineRule="exact"/>
              <w:ind w:left="842" w:right="1745"/>
              <w:jc w:val="center"/>
              <w:rPr>
                <w:rFonts w:ascii="Cambria Math" w:eastAsia="Cambria Math"/>
                <w:sz w:val="20"/>
              </w:rPr>
            </w:pPr>
            <w:r>
              <w:rPr>
                <w:rFonts w:ascii="Cambria Math" w:eastAsia="Cambria Math"/>
                <w:sz w:val="20"/>
              </w:rPr>
              <w:t>𝑁𝑢𝑚𝑏𝑒𝑟</w:t>
            </w:r>
            <w:r>
              <w:rPr>
                <w:rFonts w:ascii="Cambria Math" w:eastAsia="Cambria Math"/>
                <w:sz w:val="20"/>
              </w:rPr>
              <w:t xml:space="preserve"> </w:t>
            </w:r>
            <w:r>
              <w:rPr>
                <w:rFonts w:ascii="Cambria Math" w:eastAsia="Cambria Math"/>
                <w:sz w:val="20"/>
              </w:rPr>
              <w:t>𝑜𝑓</w:t>
            </w:r>
            <w:r>
              <w:rPr>
                <w:rFonts w:ascii="Cambria Math" w:eastAsia="Cambria Math"/>
                <w:sz w:val="20"/>
              </w:rPr>
              <w:t xml:space="preserve"> </w:t>
            </w:r>
            <w:r>
              <w:rPr>
                <w:rFonts w:ascii="Cambria Math" w:eastAsia="Cambria Math"/>
                <w:sz w:val="20"/>
              </w:rPr>
              <w:t>𝑑𝑎𝑦𝑠</w:t>
            </w:r>
            <w:r>
              <w:rPr>
                <w:rFonts w:ascii="Cambria Math" w:eastAsia="Cambria Math"/>
                <w:sz w:val="20"/>
              </w:rPr>
              <w:t xml:space="preserve"> </w:t>
            </w:r>
            <w:r>
              <w:rPr>
                <w:rFonts w:ascii="Cambria Math" w:eastAsia="Cambria Math"/>
                <w:sz w:val="20"/>
              </w:rPr>
              <w:t>𝑖𝑛</w:t>
            </w:r>
            <w:r>
              <w:rPr>
                <w:rFonts w:ascii="Cambria Math" w:eastAsia="Cambria Math"/>
                <w:sz w:val="20"/>
              </w:rPr>
              <w:t xml:space="preserve"> </w:t>
            </w:r>
            <w:r>
              <w:rPr>
                <w:rFonts w:ascii="Cambria Math" w:eastAsia="Cambria Math"/>
                <w:sz w:val="20"/>
              </w:rPr>
              <w:t>𝑎</w:t>
            </w:r>
            <w:r>
              <w:rPr>
                <w:rFonts w:ascii="Cambria Math" w:eastAsia="Cambria Math"/>
                <w:sz w:val="20"/>
              </w:rPr>
              <w:t xml:space="preserve"> </w:t>
            </w:r>
            <w:r>
              <w:rPr>
                <w:rFonts w:ascii="Cambria Math" w:eastAsia="Cambria Math"/>
                <w:sz w:val="20"/>
              </w:rPr>
              <w:t>𝑝𝑒𝑟𝑖𝑜𝑑</w:t>
            </w:r>
          </w:p>
          <w:p w14:paraId="36E4BFDD" w14:textId="77777777" w:rsidR="00D757DA" w:rsidRDefault="00D757DA">
            <w:pPr>
              <w:pStyle w:val="TableParagraph"/>
              <w:rPr>
                <w:sz w:val="20"/>
              </w:rPr>
            </w:pPr>
          </w:p>
          <w:p w14:paraId="00A15D3A" w14:textId="77777777" w:rsidR="00D757DA" w:rsidRDefault="00D757DA">
            <w:pPr>
              <w:pStyle w:val="TableParagraph"/>
              <w:spacing w:before="9"/>
              <w:rPr>
                <w:sz w:val="20"/>
              </w:rPr>
            </w:pPr>
          </w:p>
          <w:p w14:paraId="498228AD" w14:textId="77777777" w:rsidR="00D757DA" w:rsidRDefault="0033254E">
            <w:pPr>
              <w:pStyle w:val="TableParagraph"/>
              <w:ind w:left="278" w:right="276"/>
              <w:jc w:val="both"/>
              <w:rPr>
                <w:sz w:val="20"/>
              </w:rPr>
            </w:pPr>
            <w:r>
              <w:rPr>
                <w:sz w:val="20"/>
              </w:rPr>
              <w:t>SP3</w:t>
            </w:r>
            <w:r>
              <w:rPr>
                <w:spacing w:val="-9"/>
                <w:sz w:val="20"/>
              </w:rPr>
              <w:t xml:space="preserve"> </w:t>
            </w:r>
            <w:r>
              <w:rPr>
                <w:sz w:val="20"/>
              </w:rPr>
              <w:t>means</w:t>
            </w:r>
            <w:r>
              <w:rPr>
                <w:spacing w:val="-8"/>
                <w:sz w:val="20"/>
              </w:rPr>
              <w:t xml:space="preserve"> </w:t>
            </w:r>
            <w:r>
              <w:rPr>
                <w:sz w:val="20"/>
              </w:rPr>
              <w:t>the</w:t>
            </w:r>
            <w:r>
              <w:rPr>
                <w:spacing w:val="-8"/>
                <w:sz w:val="20"/>
              </w:rPr>
              <w:t xml:space="preserve"> </w:t>
            </w:r>
            <w:r>
              <w:rPr>
                <w:sz w:val="20"/>
              </w:rPr>
              <w:t>correction</w:t>
            </w:r>
            <w:r>
              <w:rPr>
                <w:spacing w:val="-9"/>
                <w:sz w:val="20"/>
              </w:rPr>
              <w:t xml:space="preserve"> </w:t>
            </w:r>
            <w:r>
              <w:rPr>
                <w:sz w:val="20"/>
              </w:rPr>
              <w:t>factor</w:t>
            </w:r>
            <w:r>
              <w:rPr>
                <w:spacing w:val="-8"/>
                <w:sz w:val="20"/>
              </w:rPr>
              <w:t xml:space="preserve"> </w:t>
            </w:r>
            <w:r>
              <w:rPr>
                <w:sz w:val="20"/>
              </w:rPr>
              <w:t>for</w:t>
            </w:r>
            <w:r>
              <w:rPr>
                <w:spacing w:val="-7"/>
                <w:sz w:val="20"/>
              </w:rPr>
              <w:t xml:space="preserve"> </w:t>
            </w:r>
            <w:r>
              <w:rPr>
                <w:sz w:val="20"/>
              </w:rPr>
              <w:t>variances</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frequency</w:t>
            </w:r>
            <w:r>
              <w:rPr>
                <w:spacing w:val="-7"/>
                <w:sz w:val="20"/>
              </w:rPr>
              <w:t xml:space="preserve"> </w:t>
            </w:r>
            <w:r>
              <w:rPr>
                <w:sz w:val="20"/>
              </w:rPr>
              <w:t>of</w:t>
            </w:r>
            <w:r>
              <w:rPr>
                <w:spacing w:val="-9"/>
                <w:sz w:val="20"/>
              </w:rPr>
              <w:t xml:space="preserve"> </w:t>
            </w:r>
            <w:r>
              <w:rPr>
                <w:sz w:val="20"/>
              </w:rPr>
              <w:t>update</w:t>
            </w:r>
            <w:r>
              <w:rPr>
                <w:spacing w:val="-9"/>
                <w:sz w:val="20"/>
              </w:rPr>
              <w:t xml:space="preserve"> </w:t>
            </w:r>
            <w:r>
              <w:rPr>
                <w:sz w:val="20"/>
              </w:rPr>
              <w:t xml:space="preserve">of the index data (SV3). </w:t>
            </w:r>
            <w:proofErr w:type="gramStart"/>
            <w:r>
              <w:rPr>
                <w:sz w:val="20"/>
              </w:rPr>
              <w:t>Therefore</w:t>
            </w:r>
            <w:proofErr w:type="gramEnd"/>
            <w:r>
              <w:rPr>
                <w:sz w:val="20"/>
              </w:rPr>
              <w:t xml:space="preserve"> on annual basis the SP3 is calculated as follows:</w:t>
            </w:r>
          </w:p>
          <w:p w14:paraId="215F4DF1" w14:textId="77777777" w:rsidR="00D757DA" w:rsidRDefault="00D757DA">
            <w:pPr>
              <w:pStyle w:val="TableParagraph"/>
            </w:pPr>
          </w:p>
          <w:p w14:paraId="603DD45D" w14:textId="77777777" w:rsidR="00D757DA" w:rsidRDefault="00D757DA">
            <w:pPr>
              <w:pStyle w:val="TableParagraph"/>
              <w:spacing w:before="10"/>
              <w:rPr>
                <w:sz w:val="18"/>
              </w:rPr>
            </w:pPr>
          </w:p>
          <w:p w14:paraId="3F08EE5E" w14:textId="77777777" w:rsidR="00D757DA" w:rsidRDefault="0033254E">
            <w:pPr>
              <w:pStyle w:val="TableParagraph"/>
              <w:ind w:left="278"/>
              <w:rPr>
                <w:rFonts w:ascii="Cambria Math" w:eastAsia="Cambria Math" w:hAnsi="Cambria Math"/>
                <w:sz w:val="20"/>
              </w:rPr>
            </w:pPr>
            <w:r>
              <w:rPr>
                <w:rFonts w:ascii="Cambria Math" w:eastAsia="Cambria Math" w:hAnsi="Cambria Math"/>
                <w:sz w:val="20"/>
              </w:rPr>
              <w:t>𝑆𝑃</w:t>
            </w:r>
            <w:r>
              <w:rPr>
                <w:rFonts w:ascii="Cambria Math" w:eastAsia="Cambria Math" w:hAnsi="Cambria Math"/>
                <w:sz w:val="20"/>
              </w:rPr>
              <w:t xml:space="preserve">3 = 600 000 × </w:t>
            </w:r>
            <w:r>
              <w:rPr>
                <w:rFonts w:ascii="Cambria Math" w:eastAsia="Cambria Math" w:hAnsi="Cambria Math"/>
                <w:sz w:val="20"/>
              </w:rPr>
              <w:t>𝑆𝑉</w:t>
            </w:r>
            <w:r>
              <w:rPr>
                <w:rFonts w:ascii="Cambria Math" w:eastAsia="Cambria Math" w:hAnsi="Cambria Math"/>
                <w:sz w:val="20"/>
              </w:rPr>
              <w:t>3 − 540 000</w:t>
            </w:r>
          </w:p>
          <w:p w14:paraId="54AD6C48" w14:textId="77777777" w:rsidR="00D757DA" w:rsidRDefault="00D757DA">
            <w:pPr>
              <w:pStyle w:val="TableParagraph"/>
              <w:rPr>
                <w:sz w:val="20"/>
              </w:rPr>
            </w:pPr>
          </w:p>
          <w:p w14:paraId="1C1FE1B9" w14:textId="77777777" w:rsidR="00D757DA" w:rsidRDefault="00D757DA">
            <w:pPr>
              <w:pStyle w:val="TableParagraph"/>
              <w:spacing w:before="11"/>
              <w:rPr>
                <w:sz w:val="20"/>
              </w:rPr>
            </w:pPr>
          </w:p>
          <w:p w14:paraId="0E232856" w14:textId="77777777" w:rsidR="00D757DA" w:rsidRDefault="0033254E">
            <w:pPr>
              <w:pStyle w:val="TableParagraph"/>
              <w:ind w:left="278"/>
              <w:jc w:val="both"/>
              <w:rPr>
                <w:sz w:val="20"/>
              </w:rPr>
            </w:pPr>
            <w:r>
              <w:rPr>
                <w:sz w:val="20"/>
              </w:rPr>
              <w:t>According to the calculation, SP3max = 60 000 € when SV3 = 100%, and</w:t>
            </w:r>
          </w:p>
          <w:p w14:paraId="75CF3292" w14:textId="77777777" w:rsidR="00D757DA" w:rsidRDefault="00D757DA">
            <w:pPr>
              <w:pStyle w:val="TableParagraph"/>
            </w:pPr>
          </w:p>
          <w:p w14:paraId="28D4083F" w14:textId="77777777" w:rsidR="00D757DA" w:rsidRDefault="00D757DA">
            <w:pPr>
              <w:pStyle w:val="TableParagraph"/>
              <w:spacing w:before="8"/>
              <w:rPr>
                <w:sz w:val="18"/>
              </w:rPr>
            </w:pPr>
          </w:p>
          <w:p w14:paraId="694D2071" w14:textId="77777777" w:rsidR="00D757DA" w:rsidRDefault="0033254E">
            <w:pPr>
              <w:pStyle w:val="TableParagraph"/>
              <w:ind w:left="321"/>
              <w:rPr>
                <w:rFonts w:ascii="Cambria Math" w:hAnsi="Cambria Math"/>
                <w:sz w:val="20"/>
              </w:rPr>
            </w:pPr>
            <w:r>
              <w:rPr>
                <w:rFonts w:ascii="Cambria Math" w:hAnsi="Cambria Math"/>
                <w:sz w:val="20"/>
              </w:rPr>
              <w:t>SP3min = 0 € when SV3 &lt;= 90%.</w:t>
            </w:r>
          </w:p>
          <w:p w14:paraId="4EE27ACC" w14:textId="77777777" w:rsidR="00D757DA" w:rsidRDefault="00D757DA">
            <w:pPr>
              <w:pStyle w:val="TableParagraph"/>
              <w:rPr>
                <w:sz w:val="20"/>
              </w:rPr>
            </w:pPr>
          </w:p>
          <w:p w14:paraId="618DC597" w14:textId="77777777" w:rsidR="00D757DA" w:rsidRDefault="00D757DA">
            <w:pPr>
              <w:pStyle w:val="TableParagraph"/>
              <w:spacing w:before="7"/>
              <w:rPr>
                <w:sz w:val="29"/>
              </w:rPr>
            </w:pPr>
          </w:p>
          <w:p w14:paraId="16E217C3" w14:textId="77777777" w:rsidR="00D757DA" w:rsidRDefault="0033254E">
            <w:pPr>
              <w:pStyle w:val="TableParagraph"/>
              <w:ind w:left="831"/>
              <w:rPr>
                <w:rFonts w:ascii="Calibri"/>
                <w:sz w:val="18"/>
              </w:rPr>
            </w:pPr>
            <w:r>
              <w:rPr>
                <w:rFonts w:ascii="Calibri"/>
                <w:color w:val="585858"/>
                <w:sz w:val="18"/>
              </w:rPr>
              <w:t>60,000</w:t>
            </w:r>
          </w:p>
          <w:p w14:paraId="7AB64883" w14:textId="77777777" w:rsidR="00D757DA" w:rsidRDefault="00D757DA">
            <w:pPr>
              <w:pStyle w:val="TableParagraph"/>
              <w:rPr>
                <w:sz w:val="21"/>
              </w:rPr>
            </w:pPr>
          </w:p>
          <w:p w14:paraId="3E08BE07" w14:textId="77777777" w:rsidR="00D757DA" w:rsidRDefault="0033254E">
            <w:pPr>
              <w:pStyle w:val="TableParagraph"/>
              <w:ind w:left="831"/>
              <w:rPr>
                <w:rFonts w:ascii="Calibri"/>
                <w:sz w:val="18"/>
              </w:rPr>
            </w:pPr>
            <w:r>
              <w:rPr>
                <w:rFonts w:ascii="Calibri"/>
                <w:color w:val="585858"/>
                <w:sz w:val="18"/>
              </w:rPr>
              <w:t>50,000</w:t>
            </w:r>
          </w:p>
          <w:p w14:paraId="706EF6DF" w14:textId="77777777" w:rsidR="00D757DA" w:rsidRDefault="00D757DA">
            <w:pPr>
              <w:pStyle w:val="TableParagraph"/>
              <w:rPr>
                <w:sz w:val="21"/>
              </w:rPr>
            </w:pPr>
          </w:p>
          <w:p w14:paraId="6C01AB2A" w14:textId="77777777" w:rsidR="00D757DA" w:rsidRDefault="0033254E">
            <w:pPr>
              <w:pStyle w:val="TableParagraph"/>
              <w:ind w:left="831"/>
              <w:rPr>
                <w:rFonts w:ascii="Calibri"/>
                <w:sz w:val="18"/>
              </w:rPr>
            </w:pPr>
            <w:r>
              <w:rPr>
                <w:rFonts w:ascii="Calibri"/>
                <w:color w:val="585858"/>
                <w:sz w:val="18"/>
              </w:rPr>
              <w:t>40,000</w:t>
            </w:r>
          </w:p>
          <w:p w14:paraId="171068AA" w14:textId="77777777" w:rsidR="00D757DA" w:rsidRDefault="00D757DA">
            <w:pPr>
              <w:pStyle w:val="TableParagraph"/>
              <w:rPr>
                <w:sz w:val="21"/>
              </w:rPr>
            </w:pPr>
          </w:p>
          <w:p w14:paraId="6B8C05B7" w14:textId="77777777" w:rsidR="00D757DA" w:rsidRDefault="0033254E">
            <w:pPr>
              <w:pStyle w:val="TableParagraph"/>
              <w:ind w:left="831"/>
              <w:rPr>
                <w:rFonts w:ascii="Calibri"/>
                <w:sz w:val="18"/>
              </w:rPr>
            </w:pPr>
            <w:r>
              <w:rPr>
                <w:rFonts w:ascii="Calibri"/>
                <w:color w:val="585858"/>
                <w:sz w:val="18"/>
              </w:rPr>
              <w:t>30,000</w:t>
            </w:r>
          </w:p>
          <w:p w14:paraId="75C43404" w14:textId="77777777" w:rsidR="00D757DA" w:rsidRDefault="00D757DA">
            <w:pPr>
              <w:pStyle w:val="TableParagraph"/>
              <w:rPr>
                <w:sz w:val="21"/>
              </w:rPr>
            </w:pPr>
          </w:p>
          <w:p w14:paraId="030C6515" w14:textId="77777777" w:rsidR="00D757DA" w:rsidRDefault="0033254E">
            <w:pPr>
              <w:pStyle w:val="TableParagraph"/>
              <w:ind w:left="831"/>
              <w:rPr>
                <w:rFonts w:ascii="Calibri"/>
                <w:sz w:val="18"/>
              </w:rPr>
            </w:pPr>
            <w:r>
              <w:rPr>
                <w:rFonts w:ascii="Calibri"/>
                <w:color w:val="585858"/>
                <w:sz w:val="18"/>
              </w:rPr>
              <w:t>20,000</w:t>
            </w:r>
          </w:p>
          <w:p w14:paraId="0D8E9233" w14:textId="77777777" w:rsidR="00D757DA" w:rsidRDefault="00D757DA">
            <w:pPr>
              <w:pStyle w:val="TableParagraph"/>
              <w:rPr>
                <w:sz w:val="21"/>
              </w:rPr>
            </w:pPr>
          </w:p>
          <w:p w14:paraId="318B7184" w14:textId="77777777" w:rsidR="00D757DA" w:rsidRDefault="0033254E">
            <w:pPr>
              <w:pStyle w:val="TableParagraph"/>
              <w:ind w:left="831"/>
              <w:rPr>
                <w:rFonts w:ascii="Calibri"/>
                <w:sz w:val="18"/>
              </w:rPr>
            </w:pPr>
            <w:r>
              <w:rPr>
                <w:rFonts w:ascii="Calibri"/>
                <w:color w:val="585858"/>
                <w:sz w:val="18"/>
              </w:rPr>
              <w:t>10,000</w:t>
            </w:r>
          </w:p>
          <w:p w14:paraId="4D8EAE44" w14:textId="77777777" w:rsidR="00D757DA" w:rsidRDefault="00D757DA">
            <w:pPr>
              <w:pStyle w:val="TableParagraph"/>
              <w:spacing w:before="11"/>
              <w:rPr>
                <w:sz w:val="20"/>
              </w:rPr>
            </w:pPr>
          </w:p>
          <w:p w14:paraId="75C05452" w14:textId="77777777" w:rsidR="00D757DA" w:rsidRDefault="0033254E">
            <w:pPr>
              <w:pStyle w:val="TableParagraph"/>
              <w:ind w:left="1241"/>
              <w:rPr>
                <w:rFonts w:ascii="Calibri"/>
                <w:sz w:val="18"/>
              </w:rPr>
            </w:pPr>
            <w:r>
              <w:rPr>
                <w:rFonts w:ascii="Calibri"/>
                <w:shadow/>
                <w:color w:val="585858"/>
                <w:sz w:val="18"/>
              </w:rPr>
              <w:t>0</w:t>
            </w:r>
          </w:p>
          <w:p w14:paraId="6E6FC406" w14:textId="77777777" w:rsidR="00D757DA" w:rsidRDefault="0033254E">
            <w:pPr>
              <w:pStyle w:val="TableParagraph"/>
              <w:tabs>
                <w:tab w:val="left" w:pos="2192"/>
                <w:tab w:val="left" w:pos="3109"/>
                <w:tab w:val="left" w:pos="4027"/>
                <w:tab w:val="left" w:pos="4944"/>
                <w:tab w:val="left" w:pos="5816"/>
              </w:tabs>
              <w:spacing w:before="14"/>
              <w:ind w:left="1275"/>
              <w:rPr>
                <w:rFonts w:ascii="Calibri"/>
                <w:sz w:val="18"/>
              </w:rPr>
            </w:pPr>
            <w:r>
              <w:rPr>
                <w:rFonts w:ascii="Calibri"/>
                <w:color w:val="585858"/>
                <w:sz w:val="18"/>
              </w:rPr>
              <w:t>90.0%</w:t>
            </w:r>
            <w:r>
              <w:rPr>
                <w:rFonts w:ascii="Calibri"/>
                <w:color w:val="585858"/>
                <w:sz w:val="18"/>
              </w:rPr>
              <w:tab/>
              <w:t>92.0%</w:t>
            </w:r>
            <w:r>
              <w:rPr>
                <w:rFonts w:ascii="Calibri"/>
                <w:color w:val="585858"/>
                <w:sz w:val="18"/>
              </w:rPr>
              <w:tab/>
              <w:t>94.0%</w:t>
            </w:r>
            <w:r>
              <w:rPr>
                <w:rFonts w:ascii="Calibri"/>
                <w:color w:val="585858"/>
                <w:sz w:val="18"/>
              </w:rPr>
              <w:tab/>
              <w:t>96.0%</w:t>
            </w:r>
            <w:r>
              <w:rPr>
                <w:rFonts w:ascii="Calibri"/>
                <w:color w:val="585858"/>
                <w:sz w:val="18"/>
              </w:rPr>
              <w:tab/>
              <w:t>98.0%</w:t>
            </w:r>
            <w:r>
              <w:rPr>
                <w:rFonts w:ascii="Calibri"/>
                <w:color w:val="585858"/>
                <w:sz w:val="18"/>
              </w:rPr>
              <w:tab/>
              <w:t>100.0%</w:t>
            </w:r>
          </w:p>
          <w:p w14:paraId="50C00C4B" w14:textId="77777777" w:rsidR="00D757DA" w:rsidRDefault="0033254E">
            <w:pPr>
              <w:pStyle w:val="TableParagraph"/>
              <w:spacing w:before="61"/>
              <w:ind w:left="2151"/>
              <w:rPr>
                <w:rFonts w:ascii="Calibri"/>
                <w:sz w:val="20"/>
              </w:rPr>
            </w:pPr>
            <w:r>
              <w:rPr>
                <w:rFonts w:ascii="Calibri"/>
                <w:color w:val="585858"/>
                <w:sz w:val="20"/>
              </w:rPr>
              <w:t>Central Index update frequency (SV3), %</w:t>
            </w:r>
          </w:p>
        </w:tc>
      </w:tr>
    </w:tbl>
    <w:p w14:paraId="2D8EBA3F" w14:textId="77777777" w:rsidR="00D757DA" w:rsidRDefault="00D757DA">
      <w:pPr>
        <w:rPr>
          <w:rFonts w:ascii="Calibri"/>
          <w:sz w:val="20"/>
        </w:rPr>
        <w:sectPr w:rsidR="00D757DA">
          <w:pgSz w:w="11910" w:h="16840"/>
          <w:pgMar w:top="1340" w:right="0" w:bottom="1160" w:left="1320" w:header="0" w:footer="881" w:gutter="0"/>
          <w:cols w:space="708"/>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277"/>
        <w:gridCol w:w="1570"/>
        <w:gridCol w:w="3502"/>
        <w:gridCol w:w="860"/>
        <w:gridCol w:w="953"/>
      </w:tblGrid>
      <w:tr w:rsidR="00D757DA" w14:paraId="3B44E279" w14:textId="77777777">
        <w:trPr>
          <w:trHeight w:val="873"/>
        </w:trPr>
        <w:tc>
          <w:tcPr>
            <w:tcW w:w="1858" w:type="dxa"/>
          </w:tcPr>
          <w:p w14:paraId="578BD36F" w14:textId="77777777" w:rsidR="00D757DA" w:rsidRDefault="0033254E">
            <w:pPr>
              <w:pStyle w:val="TableParagraph"/>
              <w:spacing w:before="146" w:line="276" w:lineRule="auto"/>
              <w:ind w:left="335" w:right="307" w:firstLine="139"/>
              <w:rPr>
                <w:b/>
              </w:rPr>
            </w:pPr>
            <w:r>
              <w:rPr>
                <w:b/>
              </w:rPr>
              <w:lastRenderedPageBreak/>
              <w:t>Services description</w:t>
            </w:r>
          </w:p>
        </w:tc>
        <w:tc>
          <w:tcPr>
            <w:tcW w:w="7162" w:type="dxa"/>
            <w:gridSpan w:val="5"/>
          </w:tcPr>
          <w:p w14:paraId="2A3B2D48" w14:textId="77777777" w:rsidR="00D757DA" w:rsidRDefault="0033254E">
            <w:pPr>
              <w:pStyle w:val="TableParagraph"/>
              <w:spacing w:before="146" w:line="276" w:lineRule="auto"/>
              <w:ind w:left="2349" w:right="301" w:hanging="2024"/>
              <w:rPr>
                <w:b/>
              </w:rPr>
            </w:pPr>
            <w:r>
              <w:rPr>
                <w:b/>
              </w:rPr>
              <w:t>Agreed service value levels (averages over the service period) and service parameters</w:t>
            </w:r>
          </w:p>
        </w:tc>
      </w:tr>
      <w:tr w:rsidR="00D757DA" w14:paraId="3E97E554" w14:textId="77777777">
        <w:trPr>
          <w:trHeight w:val="353"/>
        </w:trPr>
        <w:tc>
          <w:tcPr>
            <w:tcW w:w="1858" w:type="dxa"/>
            <w:tcBorders>
              <w:bottom w:val="nil"/>
            </w:tcBorders>
          </w:tcPr>
          <w:p w14:paraId="5CB10217" w14:textId="77777777" w:rsidR="00D757DA" w:rsidRDefault="0033254E">
            <w:pPr>
              <w:pStyle w:val="TableParagraph"/>
              <w:spacing w:before="119" w:line="214" w:lineRule="exact"/>
              <w:ind w:left="107"/>
              <w:rPr>
                <w:b/>
                <w:sz w:val="20"/>
              </w:rPr>
            </w:pPr>
            <w:r>
              <w:rPr>
                <w:b/>
                <w:sz w:val="20"/>
              </w:rPr>
              <w:t>SV3: Index data</w:t>
            </w:r>
          </w:p>
        </w:tc>
        <w:tc>
          <w:tcPr>
            <w:tcW w:w="7162" w:type="dxa"/>
            <w:gridSpan w:val="5"/>
            <w:vMerge w:val="restart"/>
            <w:tcBorders>
              <w:bottom w:val="nil"/>
            </w:tcBorders>
          </w:tcPr>
          <w:p w14:paraId="0DAA06CC" w14:textId="77777777" w:rsidR="00D757DA" w:rsidRDefault="0033254E">
            <w:pPr>
              <w:pStyle w:val="TableParagraph"/>
              <w:spacing w:before="119"/>
              <w:ind w:left="278" w:right="273"/>
              <w:jc w:val="both"/>
              <w:rPr>
                <w:sz w:val="20"/>
              </w:rPr>
            </w:pPr>
            <w:r>
              <w:rPr>
                <w:sz w:val="20"/>
              </w:rPr>
              <w:t xml:space="preserve">It is expected that the central index data is updated by the IPO on a daily basis (SV3) with an automatic delivery of a differential file through </w:t>
            </w:r>
            <w:proofErr w:type="spellStart"/>
            <w:r>
              <w:t>TMDSview</w:t>
            </w:r>
            <w:proofErr w:type="spellEnd"/>
            <w:r>
              <w:t xml:space="preserve"> blockchain </w:t>
            </w:r>
            <w:proofErr w:type="gramStart"/>
            <w:r>
              <w:t xml:space="preserve">Network </w:t>
            </w:r>
            <w:r>
              <w:rPr>
                <w:sz w:val="20"/>
              </w:rPr>
              <w:t>.</w:t>
            </w:r>
            <w:proofErr w:type="gramEnd"/>
            <w:r>
              <w:rPr>
                <w:sz w:val="20"/>
              </w:rPr>
              <w:t xml:space="preserve"> The measurement will be based on evidence that prove server’s connection on the blockchain network during a period.</w:t>
            </w:r>
          </w:p>
          <w:p w14:paraId="4ED37CCD" w14:textId="77777777" w:rsidR="00D757DA" w:rsidRDefault="00D757DA">
            <w:pPr>
              <w:pStyle w:val="TableParagraph"/>
            </w:pPr>
          </w:p>
          <w:p w14:paraId="2267A342" w14:textId="77777777" w:rsidR="00D757DA" w:rsidRDefault="0033254E">
            <w:pPr>
              <w:pStyle w:val="TableParagraph"/>
              <w:spacing w:before="197" w:line="194" w:lineRule="exact"/>
              <w:ind w:left="856" w:right="260"/>
              <w:jc w:val="center"/>
              <w:rPr>
                <w:rFonts w:ascii="Cambria Math"/>
                <w:sz w:val="20"/>
              </w:rPr>
            </w:pPr>
            <w:r>
              <w:rPr>
                <w:rFonts w:ascii="Cambria Math"/>
                <w:sz w:val="20"/>
              </w:rPr>
              <w:t>Number of received notifications</w:t>
            </w:r>
          </w:p>
          <w:p w14:paraId="7CEEEC32" w14:textId="77777777" w:rsidR="00D757DA" w:rsidRDefault="0033254E">
            <w:pPr>
              <w:pStyle w:val="TableParagraph"/>
              <w:spacing w:line="144" w:lineRule="exact"/>
              <w:ind w:left="1219"/>
              <w:rPr>
                <w:rFonts w:ascii="Cambria Math"/>
                <w:sz w:val="20"/>
              </w:rPr>
            </w:pPr>
            <w:r>
              <w:rPr>
                <w:rFonts w:ascii="Cambria Math"/>
                <w:sz w:val="20"/>
              </w:rPr>
              <w:t>SV3 =</w:t>
            </w:r>
          </w:p>
          <w:p w14:paraId="74E83678" w14:textId="77777777" w:rsidR="00D757DA" w:rsidRDefault="0033254E">
            <w:pPr>
              <w:pStyle w:val="TableParagraph"/>
              <w:spacing w:line="184" w:lineRule="exact"/>
              <w:ind w:left="856" w:right="266"/>
              <w:jc w:val="center"/>
              <w:rPr>
                <w:rFonts w:ascii="Cambria Math" w:eastAsia="Cambria Math"/>
                <w:sz w:val="20"/>
              </w:rPr>
            </w:pPr>
            <w:r>
              <w:rPr>
                <w:rFonts w:ascii="Cambria Math" w:eastAsia="Cambria Math"/>
                <w:sz w:val="20"/>
              </w:rPr>
              <w:t>𝑁𝑢𝑚𝑏𝑒𝑟</w:t>
            </w:r>
            <w:r>
              <w:rPr>
                <w:rFonts w:ascii="Cambria Math" w:eastAsia="Cambria Math"/>
                <w:sz w:val="20"/>
              </w:rPr>
              <w:t xml:space="preserve"> </w:t>
            </w:r>
            <w:r>
              <w:rPr>
                <w:rFonts w:ascii="Cambria Math" w:eastAsia="Cambria Math"/>
                <w:sz w:val="20"/>
              </w:rPr>
              <w:t>𝑜𝑓</w:t>
            </w:r>
            <w:r>
              <w:rPr>
                <w:rFonts w:ascii="Cambria Math" w:eastAsia="Cambria Math"/>
                <w:sz w:val="20"/>
              </w:rPr>
              <w:t xml:space="preserve"> </w:t>
            </w:r>
            <w:r>
              <w:rPr>
                <w:rFonts w:ascii="Cambria Math" w:eastAsia="Cambria Math"/>
                <w:sz w:val="20"/>
              </w:rPr>
              <w:t>𝑒𝑥𝑝𝑒𝑐𝑡𝑒𝑑</w:t>
            </w:r>
            <w:r>
              <w:rPr>
                <w:rFonts w:ascii="Cambria Math" w:eastAsia="Cambria Math"/>
                <w:sz w:val="20"/>
              </w:rPr>
              <w:t xml:space="preserve"> </w:t>
            </w:r>
            <w:r>
              <w:rPr>
                <w:rFonts w:ascii="Cambria Math" w:eastAsia="Cambria Math"/>
                <w:sz w:val="20"/>
              </w:rPr>
              <w:t>𝑛𝑜𝑡𝑖𝑓𝑖𝑐𝑎𝑡𝑖𝑜𝑛𝑠</w:t>
            </w:r>
            <w:r>
              <w:rPr>
                <w:rFonts w:ascii="Cambria Math" w:eastAsia="Cambria Math"/>
                <w:sz w:val="20"/>
              </w:rPr>
              <w:t xml:space="preserve"> </w:t>
            </w:r>
            <w:r>
              <w:rPr>
                <w:rFonts w:ascii="Cambria Math" w:eastAsia="Cambria Math"/>
                <w:sz w:val="20"/>
              </w:rPr>
              <w:t>𝑖𝑛</w:t>
            </w:r>
            <w:r>
              <w:rPr>
                <w:rFonts w:ascii="Cambria Math" w:eastAsia="Cambria Math"/>
                <w:sz w:val="20"/>
              </w:rPr>
              <w:t xml:space="preserve"> </w:t>
            </w:r>
            <w:r>
              <w:rPr>
                <w:rFonts w:ascii="Cambria Math" w:eastAsia="Cambria Math"/>
                <w:sz w:val="20"/>
              </w:rPr>
              <w:t>𝑎</w:t>
            </w:r>
            <w:r>
              <w:rPr>
                <w:rFonts w:ascii="Cambria Math" w:eastAsia="Cambria Math"/>
                <w:sz w:val="20"/>
              </w:rPr>
              <w:t xml:space="preserve"> </w:t>
            </w:r>
            <w:r>
              <w:rPr>
                <w:rFonts w:ascii="Cambria Math" w:eastAsia="Cambria Math"/>
                <w:sz w:val="20"/>
              </w:rPr>
              <w:t>𝑝𝑒𝑟𝑖𝑜𝑑</w:t>
            </w:r>
          </w:p>
          <w:p w14:paraId="0B7E80A0" w14:textId="77777777" w:rsidR="00D757DA" w:rsidRDefault="00D757DA">
            <w:pPr>
              <w:pStyle w:val="TableParagraph"/>
              <w:rPr>
                <w:sz w:val="20"/>
              </w:rPr>
            </w:pPr>
          </w:p>
          <w:p w14:paraId="0F192450" w14:textId="77777777" w:rsidR="00D757DA" w:rsidRDefault="00D757DA">
            <w:pPr>
              <w:pStyle w:val="TableParagraph"/>
              <w:spacing w:before="6"/>
              <w:rPr>
                <w:sz w:val="20"/>
              </w:rPr>
            </w:pPr>
          </w:p>
          <w:p w14:paraId="5292CEA7" w14:textId="77777777" w:rsidR="00D757DA" w:rsidRDefault="0033254E">
            <w:pPr>
              <w:pStyle w:val="TableParagraph"/>
              <w:spacing w:before="1"/>
              <w:ind w:left="278" w:right="277"/>
              <w:jc w:val="both"/>
              <w:rPr>
                <w:sz w:val="20"/>
              </w:rPr>
            </w:pPr>
            <w:r>
              <w:rPr>
                <w:sz w:val="20"/>
              </w:rPr>
              <w:t>SP3</w:t>
            </w:r>
            <w:r>
              <w:rPr>
                <w:spacing w:val="-9"/>
                <w:sz w:val="20"/>
              </w:rPr>
              <w:t xml:space="preserve"> </w:t>
            </w:r>
            <w:r>
              <w:rPr>
                <w:sz w:val="20"/>
              </w:rPr>
              <w:t>means</w:t>
            </w:r>
            <w:r>
              <w:rPr>
                <w:spacing w:val="-8"/>
                <w:sz w:val="20"/>
              </w:rPr>
              <w:t xml:space="preserve"> </w:t>
            </w:r>
            <w:r>
              <w:rPr>
                <w:sz w:val="20"/>
              </w:rPr>
              <w:t>the</w:t>
            </w:r>
            <w:r>
              <w:rPr>
                <w:spacing w:val="-8"/>
                <w:sz w:val="20"/>
              </w:rPr>
              <w:t xml:space="preserve"> </w:t>
            </w:r>
            <w:r>
              <w:rPr>
                <w:sz w:val="20"/>
              </w:rPr>
              <w:t>correction</w:t>
            </w:r>
            <w:r>
              <w:rPr>
                <w:spacing w:val="-9"/>
                <w:sz w:val="20"/>
              </w:rPr>
              <w:t xml:space="preserve"> </w:t>
            </w:r>
            <w:r>
              <w:rPr>
                <w:sz w:val="20"/>
              </w:rPr>
              <w:t>factor</w:t>
            </w:r>
            <w:r>
              <w:rPr>
                <w:spacing w:val="-8"/>
                <w:sz w:val="20"/>
              </w:rPr>
              <w:t xml:space="preserve"> </w:t>
            </w:r>
            <w:r>
              <w:rPr>
                <w:sz w:val="20"/>
              </w:rPr>
              <w:t>for</w:t>
            </w:r>
            <w:r>
              <w:rPr>
                <w:spacing w:val="-7"/>
                <w:sz w:val="20"/>
              </w:rPr>
              <w:t xml:space="preserve"> </w:t>
            </w:r>
            <w:r>
              <w:rPr>
                <w:sz w:val="20"/>
              </w:rPr>
              <w:t>variances</w:t>
            </w:r>
            <w:r>
              <w:rPr>
                <w:spacing w:val="-8"/>
                <w:sz w:val="20"/>
              </w:rPr>
              <w:t xml:space="preserve"> </w:t>
            </w:r>
            <w:r>
              <w:rPr>
                <w:sz w:val="20"/>
              </w:rPr>
              <w:t>of</w:t>
            </w:r>
            <w:r>
              <w:rPr>
                <w:spacing w:val="-7"/>
                <w:sz w:val="20"/>
              </w:rPr>
              <w:t xml:space="preserve"> </w:t>
            </w:r>
            <w:r>
              <w:rPr>
                <w:sz w:val="20"/>
              </w:rPr>
              <w:t>the</w:t>
            </w:r>
            <w:r>
              <w:rPr>
                <w:spacing w:val="-7"/>
                <w:sz w:val="20"/>
              </w:rPr>
              <w:t xml:space="preserve"> </w:t>
            </w:r>
            <w:r>
              <w:rPr>
                <w:sz w:val="20"/>
              </w:rPr>
              <w:t>frequency</w:t>
            </w:r>
            <w:r>
              <w:rPr>
                <w:spacing w:val="-7"/>
                <w:sz w:val="20"/>
              </w:rPr>
              <w:t xml:space="preserve"> </w:t>
            </w:r>
            <w:r>
              <w:rPr>
                <w:sz w:val="20"/>
              </w:rPr>
              <w:t>of</w:t>
            </w:r>
            <w:r>
              <w:rPr>
                <w:spacing w:val="-9"/>
                <w:sz w:val="20"/>
              </w:rPr>
              <w:t xml:space="preserve"> </w:t>
            </w:r>
            <w:r>
              <w:rPr>
                <w:sz w:val="20"/>
              </w:rPr>
              <w:t>update</w:t>
            </w:r>
            <w:r>
              <w:rPr>
                <w:spacing w:val="-9"/>
                <w:sz w:val="20"/>
              </w:rPr>
              <w:t xml:space="preserve"> </w:t>
            </w:r>
            <w:r>
              <w:rPr>
                <w:sz w:val="20"/>
              </w:rPr>
              <w:t xml:space="preserve">of the index data (SV3). </w:t>
            </w:r>
            <w:proofErr w:type="gramStart"/>
            <w:r>
              <w:rPr>
                <w:sz w:val="20"/>
              </w:rPr>
              <w:t>Therefore</w:t>
            </w:r>
            <w:proofErr w:type="gramEnd"/>
            <w:r>
              <w:rPr>
                <w:sz w:val="20"/>
              </w:rPr>
              <w:t xml:space="preserve"> on annual basis the SP3 is calculated as follows:</w:t>
            </w:r>
          </w:p>
          <w:p w14:paraId="650EC258" w14:textId="77777777" w:rsidR="00D757DA" w:rsidRDefault="00D757DA">
            <w:pPr>
              <w:pStyle w:val="TableParagraph"/>
            </w:pPr>
          </w:p>
          <w:p w14:paraId="02429678" w14:textId="77777777" w:rsidR="00D757DA" w:rsidRDefault="00D757DA">
            <w:pPr>
              <w:pStyle w:val="TableParagraph"/>
              <w:spacing w:before="9"/>
              <w:rPr>
                <w:sz w:val="18"/>
              </w:rPr>
            </w:pPr>
          </w:p>
          <w:p w14:paraId="4F932DAB" w14:textId="77777777" w:rsidR="00D757DA" w:rsidRDefault="0033254E">
            <w:pPr>
              <w:pStyle w:val="TableParagraph"/>
              <w:ind w:left="278"/>
              <w:jc w:val="both"/>
              <w:rPr>
                <w:rFonts w:ascii="Cambria Math" w:eastAsia="Cambria Math" w:hAnsi="Cambria Math"/>
                <w:sz w:val="20"/>
              </w:rPr>
            </w:pPr>
            <w:r>
              <w:rPr>
                <w:rFonts w:ascii="Cambria Math" w:eastAsia="Cambria Math" w:hAnsi="Cambria Math"/>
                <w:sz w:val="20"/>
              </w:rPr>
              <w:t>𝑆𝑃</w:t>
            </w:r>
            <w:r>
              <w:rPr>
                <w:rFonts w:ascii="Cambria Math" w:eastAsia="Cambria Math" w:hAnsi="Cambria Math"/>
                <w:sz w:val="20"/>
              </w:rPr>
              <w:t xml:space="preserve">3 = 600 000 × </w:t>
            </w:r>
            <w:r>
              <w:rPr>
                <w:rFonts w:ascii="Cambria Math" w:eastAsia="Cambria Math" w:hAnsi="Cambria Math"/>
                <w:sz w:val="20"/>
              </w:rPr>
              <w:t>𝑆𝑉</w:t>
            </w:r>
            <w:r>
              <w:rPr>
                <w:rFonts w:ascii="Cambria Math" w:eastAsia="Cambria Math" w:hAnsi="Cambria Math"/>
                <w:sz w:val="20"/>
              </w:rPr>
              <w:t>3 − 540 000</w:t>
            </w:r>
          </w:p>
          <w:p w14:paraId="5C4BDC2D" w14:textId="77777777" w:rsidR="00D757DA" w:rsidRDefault="00D757DA">
            <w:pPr>
              <w:pStyle w:val="TableParagraph"/>
              <w:rPr>
                <w:sz w:val="20"/>
              </w:rPr>
            </w:pPr>
          </w:p>
          <w:p w14:paraId="654AA022" w14:textId="77777777" w:rsidR="00D757DA" w:rsidRDefault="00D757DA">
            <w:pPr>
              <w:pStyle w:val="TableParagraph"/>
              <w:spacing w:before="11"/>
              <w:rPr>
                <w:sz w:val="20"/>
              </w:rPr>
            </w:pPr>
          </w:p>
          <w:p w14:paraId="7AEE26DE" w14:textId="77777777" w:rsidR="00D757DA" w:rsidRDefault="0033254E">
            <w:pPr>
              <w:pStyle w:val="TableParagraph"/>
              <w:ind w:left="278"/>
              <w:jc w:val="both"/>
              <w:rPr>
                <w:sz w:val="20"/>
              </w:rPr>
            </w:pPr>
            <w:r>
              <w:rPr>
                <w:sz w:val="20"/>
              </w:rPr>
              <w:t>According to the calculation, SP3max = 60 000 € when SV3 = 100%, and</w:t>
            </w:r>
          </w:p>
          <w:p w14:paraId="1D560FC8" w14:textId="77777777" w:rsidR="00D757DA" w:rsidRDefault="00D757DA">
            <w:pPr>
              <w:pStyle w:val="TableParagraph"/>
            </w:pPr>
          </w:p>
          <w:p w14:paraId="09A82C53" w14:textId="77777777" w:rsidR="00D757DA" w:rsidRDefault="00D757DA">
            <w:pPr>
              <w:pStyle w:val="TableParagraph"/>
              <w:spacing w:before="11"/>
              <w:rPr>
                <w:sz w:val="18"/>
              </w:rPr>
            </w:pPr>
          </w:p>
          <w:p w14:paraId="13B91644" w14:textId="77777777" w:rsidR="00D757DA" w:rsidRDefault="0033254E">
            <w:pPr>
              <w:pStyle w:val="TableParagraph"/>
              <w:ind w:left="278"/>
              <w:jc w:val="both"/>
              <w:rPr>
                <w:rFonts w:ascii="Cambria Math" w:hAnsi="Cambria Math"/>
                <w:sz w:val="20"/>
              </w:rPr>
            </w:pPr>
            <w:r>
              <w:rPr>
                <w:rFonts w:ascii="Cambria Math" w:hAnsi="Cambria Math"/>
                <w:sz w:val="20"/>
              </w:rPr>
              <w:t>SP3min = 0 € when SV3 &lt;= 90%</w:t>
            </w:r>
          </w:p>
        </w:tc>
      </w:tr>
      <w:tr w:rsidR="00D757DA" w14:paraId="5647BF04" w14:textId="77777777">
        <w:trPr>
          <w:trHeight w:val="230"/>
        </w:trPr>
        <w:tc>
          <w:tcPr>
            <w:tcW w:w="1858" w:type="dxa"/>
            <w:tcBorders>
              <w:top w:val="nil"/>
              <w:bottom w:val="nil"/>
            </w:tcBorders>
          </w:tcPr>
          <w:p w14:paraId="64458AF3" w14:textId="77777777" w:rsidR="00D757DA" w:rsidRDefault="0033254E">
            <w:pPr>
              <w:pStyle w:val="TableParagraph"/>
              <w:spacing w:line="210" w:lineRule="exact"/>
              <w:ind w:left="107"/>
              <w:rPr>
                <w:b/>
                <w:sz w:val="20"/>
              </w:rPr>
            </w:pPr>
            <w:r>
              <w:rPr>
                <w:b/>
                <w:sz w:val="20"/>
              </w:rPr>
              <w:t>update</w:t>
            </w:r>
          </w:p>
        </w:tc>
        <w:tc>
          <w:tcPr>
            <w:tcW w:w="7162" w:type="dxa"/>
            <w:gridSpan w:val="5"/>
            <w:vMerge/>
            <w:tcBorders>
              <w:top w:val="nil"/>
              <w:bottom w:val="nil"/>
            </w:tcBorders>
          </w:tcPr>
          <w:p w14:paraId="5AF07866" w14:textId="77777777" w:rsidR="00D757DA" w:rsidRDefault="00D757DA">
            <w:pPr>
              <w:rPr>
                <w:sz w:val="2"/>
                <w:szCs w:val="2"/>
              </w:rPr>
            </w:pPr>
          </w:p>
        </w:tc>
      </w:tr>
      <w:tr w:rsidR="00D757DA" w14:paraId="0BBB053A" w14:textId="77777777">
        <w:trPr>
          <w:trHeight w:val="229"/>
        </w:trPr>
        <w:tc>
          <w:tcPr>
            <w:tcW w:w="1858" w:type="dxa"/>
            <w:tcBorders>
              <w:top w:val="nil"/>
              <w:bottom w:val="nil"/>
            </w:tcBorders>
          </w:tcPr>
          <w:p w14:paraId="1977CDC1" w14:textId="77777777" w:rsidR="00D757DA" w:rsidRDefault="0033254E">
            <w:pPr>
              <w:pStyle w:val="TableParagraph"/>
              <w:spacing w:line="209" w:lineRule="exact"/>
              <w:ind w:left="107"/>
              <w:rPr>
                <w:b/>
                <w:sz w:val="20"/>
              </w:rPr>
            </w:pPr>
            <w:r>
              <w:rPr>
                <w:b/>
                <w:sz w:val="20"/>
              </w:rPr>
              <w:t>frequency</w:t>
            </w:r>
          </w:p>
        </w:tc>
        <w:tc>
          <w:tcPr>
            <w:tcW w:w="7162" w:type="dxa"/>
            <w:gridSpan w:val="5"/>
            <w:vMerge/>
            <w:tcBorders>
              <w:top w:val="nil"/>
              <w:bottom w:val="nil"/>
            </w:tcBorders>
          </w:tcPr>
          <w:p w14:paraId="241D1BAA" w14:textId="77777777" w:rsidR="00D757DA" w:rsidRDefault="00D757DA">
            <w:pPr>
              <w:rPr>
                <w:sz w:val="2"/>
                <w:szCs w:val="2"/>
              </w:rPr>
            </w:pPr>
          </w:p>
        </w:tc>
      </w:tr>
      <w:tr w:rsidR="00D757DA" w14:paraId="671CA11A" w14:textId="77777777">
        <w:trPr>
          <w:trHeight w:val="229"/>
        </w:trPr>
        <w:tc>
          <w:tcPr>
            <w:tcW w:w="1858" w:type="dxa"/>
            <w:tcBorders>
              <w:top w:val="nil"/>
              <w:bottom w:val="nil"/>
            </w:tcBorders>
          </w:tcPr>
          <w:p w14:paraId="20C44BF4" w14:textId="77777777" w:rsidR="00D757DA" w:rsidRDefault="0033254E">
            <w:pPr>
              <w:pStyle w:val="TableParagraph"/>
              <w:spacing w:line="209" w:lineRule="exact"/>
              <w:ind w:left="107"/>
              <w:rPr>
                <w:b/>
                <w:sz w:val="20"/>
              </w:rPr>
            </w:pPr>
            <w:r>
              <w:rPr>
                <w:b/>
                <w:sz w:val="20"/>
              </w:rPr>
              <w:t>through</w:t>
            </w:r>
          </w:p>
        </w:tc>
        <w:tc>
          <w:tcPr>
            <w:tcW w:w="7162" w:type="dxa"/>
            <w:gridSpan w:val="5"/>
            <w:vMerge/>
            <w:tcBorders>
              <w:top w:val="nil"/>
              <w:bottom w:val="nil"/>
            </w:tcBorders>
          </w:tcPr>
          <w:p w14:paraId="25A286DD" w14:textId="77777777" w:rsidR="00D757DA" w:rsidRDefault="00D757DA">
            <w:pPr>
              <w:rPr>
                <w:sz w:val="2"/>
                <w:szCs w:val="2"/>
              </w:rPr>
            </w:pPr>
          </w:p>
        </w:tc>
      </w:tr>
      <w:tr w:rsidR="00D757DA" w14:paraId="4AEC7CA4" w14:textId="77777777">
        <w:trPr>
          <w:trHeight w:val="230"/>
        </w:trPr>
        <w:tc>
          <w:tcPr>
            <w:tcW w:w="1858" w:type="dxa"/>
            <w:tcBorders>
              <w:top w:val="nil"/>
              <w:bottom w:val="nil"/>
            </w:tcBorders>
          </w:tcPr>
          <w:p w14:paraId="505D53F6" w14:textId="77777777" w:rsidR="00D757DA" w:rsidRDefault="0033254E">
            <w:pPr>
              <w:pStyle w:val="TableParagraph"/>
              <w:tabs>
                <w:tab w:val="left" w:pos="1413"/>
              </w:tabs>
              <w:spacing w:line="210" w:lineRule="exact"/>
              <w:ind w:left="107"/>
              <w:rPr>
                <w:sz w:val="20"/>
              </w:rPr>
            </w:pPr>
            <w:r>
              <w:rPr>
                <w:b/>
                <w:sz w:val="20"/>
              </w:rPr>
              <w:t>Blockchain</w:t>
            </w:r>
            <w:r>
              <w:rPr>
                <w:b/>
                <w:sz w:val="20"/>
              </w:rPr>
              <w:tab/>
            </w:r>
            <w:r>
              <w:rPr>
                <w:sz w:val="20"/>
              </w:rPr>
              <w:t>(i.e.</w:t>
            </w:r>
          </w:p>
        </w:tc>
        <w:tc>
          <w:tcPr>
            <w:tcW w:w="7162" w:type="dxa"/>
            <w:gridSpan w:val="5"/>
            <w:vMerge/>
            <w:tcBorders>
              <w:top w:val="nil"/>
              <w:bottom w:val="nil"/>
            </w:tcBorders>
          </w:tcPr>
          <w:p w14:paraId="276AE554" w14:textId="77777777" w:rsidR="00D757DA" w:rsidRDefault="00D757DA">
            <w:pPr>
              <w:rPr>
                <w:sz w:val="2"/>
                <w:szCs w:val="2"/>
              </w:rPr>
            </w:pPr>
          </w:p>
        </w:tc>
      </w:tr>
      <w:tr w:rsidR="00D757DA" w14:paraId="1CCAF719" w14:textId="77777777">
        <w:trPr>
          <w:trHeight w:val="230"/>
        </w:trPr>
        <w:tc>
          <w:tcPr>
            <w:tcW w:w="1858" w:type="dxa"/>
            <w:tcBorders>
              <w:top w:val="nil"/>
              <w:bottom w:val="nil"/>
            </w:tcBorders>
          </w:tcPr>
          <w:p w14:paraId="6D767119" w14:textId="77777777" w:rsidR="00D757DA" w:rsidRDefault="0033254E">
            <w:pPr>
              <w:pStyle w:val="TableParagraph"/>
              <w:spacing w:line="210" w:lineRule="exact"/>
              <w:ind w:left="107"/>
              <w:rPr>
                <w:sz w:val="20"/>
              </w:rPr>
            </w:pPr>
            <w:r>
              <w:rPr>
                <w:sz w:val="20"/>
              </w:rPr>
              <w:t>this service value</w:t>
            </w:r>
          </w:p>
        </w:tc>
        <w:tc>
          <w:tcPr>
            <w:tcW w:w="7162" w:type="dxa"/>
            <w:gridSpan w:val="5"/>
            <w:vMerge/>
            <w:tcBorders>
              <w:top w:val="nil"/>
              <w:bottom w:val="nil"/>
            </w:tcBorders>
          </w:tcPr>
          <w:p w14:paraId="73DDBDE5" w14:textId="77777777" w:rsidR="00D757DA" w:rsidRDefault="00D757DA">
            <w:pPr>
              <w:rPr>
                <w:sz w:val="2"/>
                <w:szCs w:val="2"/>
              </w:rPr>
            </w:pPr>
          </w:p>
        </w:tc>
      </w:tr>
      <w:tr w:rsidR="00D757DA" w14:paraId="742AA88A" w14:textId="77777777">
        <w:trPr>
          <w:trHeight w:val="230"/>
        </w:trPr>
        <w:tc>
          <w:tcPr>
            <w:tcW w:w="1858" w:type="dxa"/>
            <w:tcBorders>
              <w:top w:val="nil"/>
              <w:bottom w:val="nil"/>
            </w:tcBorders>
          </w:tcPr>
          <w:p w14:paraId="31764C21" w14:textId="77777777" w:rsidR="00D757DA" w:rsidRDefault="0033254E">
            <w:pPr>
              <w:pStyle w:val="TableParagraph"/>
              <w:spacing w:line="210" w:lineRule="exact"/>
              <w:ind w:left="107"/>
              <w:rPr>
                <w:sz w:val="20"/>
              </w:rPr>
            </w:pPr>
            <w:r>
              <w:rPr>
                <w:sz w:val="20"/>
              </w:rPr>
              <w:t>reflects the ability</w:t>
            </w:r>
          </w:p>
        </w:tc>
        <w:tc>
          <w:tcPr>
            <w:tcW w:w="7162" w:type="dxa"/>
            <w:gridSpan w:val="5"/>
            <w:vMerge/>
            <w:tcBorders>
              <w:top w:val="nil"/>
              <w:bottom w:val="nil"/>
            </w:tcBorders>
          </w:tcPr>
          <w:p w14:paraId="225363DC" w14:textId="77777777" w:rsidR="00D757DA" w:rsidRDefault="00D757DA">
            <w:pPr>
              <w:rPr>
                <w:sz w:val="2"/>
                <w:szCs w:val="2"/>
              </w:rPr>
            </w:pPr>
          </w:p>
        </w:tc>
      </w:tr>
      <w:tr w:rsidR="00D757DA" w14:paraId="1A65C839" w14:textId="77777777">
        <w:trPr>
          <w:trHeight w:val="230"/>
        </w:trPr>
        <w:tc>
          <w:tcPr>
            <w:tcW w:w="1858" w:type="dxa"/>
            <w:tcBorders>
              <w:top w:val="nil"/>
              <w:bottom w:val="nil"/>
            </w:tcBorders>
          </w:tcPr>
          <w:p w14:paraId="2390AA20" w14:textId="77777777" w:rsidR="00D757DA" w:rsidRDefault="0033254E">
            <w:pPr>
              <w:pStyle w:val="TableParagraph"/>
              <w:tabs>
                <w:tab w:val="left" w:pos="520"/>
                <w:tab w:val="left" w:pos="988"/>
                <w:tab w:val="left" w:pos="1580"/>
              </w:tabs>
              <w:spacing w:line="210" w:lineRule="exact"/>
              <w:ind w:left="107"/>
              <w:rPr>
                <w:sz w:val="20"/>
              </w:rPr>
            </w:pPr>
            <w:r>
              <w:rPr>
                <w:sz w:val="20"/>
              </w:rPr>
              <w:t>of</w:t>
            </w:r>
            <w:r>
              <w:rPr>
                <w:sz w:val="20"/>
              </w:rPr>
              <w:tab/>
              <w:t>an</w:t>
            </w:r>
            <w:r>
              <w:rPr>
                <w:sz w:val="20"/>
              </w:rPr>
              <w:tab/>
              <w:t>IPO</w:t>
            </w:r>
            <w:r>
              <w:rPr>
                <w:sz w:val="20"/>
              </w:rPr>
              <w:tab/>
              <w:t>to</w:t>
            </w:r>
          </w:p>
        </w:tc>
        <w:tc>
          <w:tcPr>
            <w:tcW w:w="7162" w:type="dxa"/>
            <w:gridSpan w:val="5"/>
            <w:vMerge/>
            <w:tcBorders>
              <w:top w:val="nil"/>
              <w:bottom w:val="nil"/>
            </w:tcBorders>
          </w:tcPr>
          <w:p w14:paraId="7FDB47FE" w14:textId="77777777" w:rsidR="00D757DA" w:rsidRDefault="00D757DA">
            <w:pPr>
              <w:rPr>
                <w:sz w:val="2"/>
                <w:szCs w:val="2"/>
              </w:rPr>
            </w:pPr>
          </w:p>
        </w:tc>
      </w:tr>
      <w:tr w:rsidR="00D757DA" w14:paraId="182024A8" w14:textId="77777777">
        <w:trPr>
          <w:trHeight w:val="230"/>
        </w:trPr>
        <w:tc>
          <w:tcPr>
            <w:tcW w:w="1858" w:type="dxa"/>
            <w:tcBorders>
              <w:top w:val="nil"/>
              <w:bottom w:val="nil"/>
            </w:tcBorders>
          </w:tcPr>
          <w:p w14:paraId="4DBEEA61" w14:textId="77777777" w:rsidR="00D757DA" w:rsidRDefault="0033254E">
            <w:pPr>
              <w:pStyle w:val="TableParagraph"/>
              <w:spacing w:line="210" w:lineRule="exact"/>
              <w:ind w:left="107"/>
              <w:rPr>
                <w:sz w:val="20"/>
              </w:rPr>
            </w:pPr>
            <w:r>
              <w:rPr>
                <w:sz w:val="20"/>
              </w:rPr>
              <w:t>update daily</w:t>
            </w:r>
            <w:r>
              <w:rPr>
                <w:spacing w:val="53"/>
                <w:sz w:val="20"/>
              </w:rPr>
              <w:t xml:space="preserve"> </w:t>
            </w:r>
            <w:r>
              <w:rPr>
                <w:sz w:val="20"/>
              </w:rPr>
              <w:t>the</w:t>
            </w:r>
          </w:p>
        </w:tc>
        <w:tc>
          <w:tcPr>
            <w:tcW w:w="7162" w:type="dxa"/>
            <w:gridSpan w:val="5"/>
            <w:vMerge/>
            <w:tcBorders>
              <w:top w:val="nil"/>
              <w:bottom w:val="nil"/>
            </w:tcBorders>
          </w:tcPr>
          <w:p w14:paraId="30326381" w14:textId="77777777" w:rsidR="00D757DA" w:rsidRDefault="00D757DA">
            <w:pPr>
              <w:rPr>
                <w:sz w:val="2"/>
                <w:szCs w:val="2"/>
              </w:rPr>
            </w:pPr>
          </w:p>
        </w:tc>
      </w:tr>
      <w:tr w:rsidR="00D757DA" w14:paraId="41723547" w14:textId="77777777">
        <w:trPr>
          <w:trHeight w:val="3448"/>
        </w:trPr>
        <w:tc>
          <w:tcPr>
            <w:tcW w:w="1858" w:type="dxa"/>
            <w:tcBorders>
              <w:top w:val="nil"/>
              <w:bottom w:val="nil"/>
            </w:tcBorders>
          </w:tcPr>
          <w:p w14:paraId="242AFDE0" w14:textId="77777777" w:rsidR="00D757DA" w:rsidRDefault="0033254E">
            <w:pPr>
              <w:pStyle w:val="TableParagraph"/>
              <w:spacing w:line="227" w:lineRule="exact"/>
              <w:ind w:left="107"/>
              <w:rPr>
                <w:sz w:val="20"/>
              </w:rPr>
            </w:pPr>
            <w:r>
              <w:rPr>
                <w:sz w:val="20"/>
              </w:rPr>
              <w:t>central index data)</w:t>
            </w:r>
          </w:p>
        </w:tc>
        <w:tc>
          <w:tcPr>
            <w:tcW w:w="7162" w:type="dxa"/>
            <w:gridSpan w:val="5"/>
            <w:vMerge/>
            <w:tcBorders>
              <w:top w:val="nil"/>
              <w:bottom w:val="nil"/>
            </w:tcBorders>
          </w:tcPr>
          <w:p w14:paraId="205A40BC" w14:textId="77777777" w:rsidR="00D757DA" w:rsidRDefault="00D757DA">
            <w:pPr>
              <w:rPr>
                <w:sz w:val="2"/>
                <w:szCs w:val="2"/>
              </w:rPr>
            </w:pPr>
          </w:p>
        </w:tc>
      </w:tr>
      <w:tr w:rsidR="00D757DA" w14:paraId="0C3A935D" w14:textId="77777777">
        <w:trPr>
          <w:trHeight w:val="437"/>
        </w:trPr>
        <w:tc>
          <w:tcPr>
            <w:tcW w:w="1858" w:type="dxa"/>
            <w:tcBorders>
              <w:top w:val="nil"/>
              <w:bottom w:val="nil"/>
            </w:tcBorders>
          </w:tcPr>
          <w:p w14:paraId="5572BB7C" w14:textId="77777777" w:rsidR="00D757DA" w:rsidRDefault="00D757DA">
            <w:pPr>
              <w:pStyle w:val="TableParagraph"/>
              <w:rPr>
                <w:rFonts w:ascii="Times New Roman"/>
                <w:sz w:val="20"/>
              </w:rPr>
            </w:pPr>
          </w:p>
        </w:tc>
        <w:tc>
          <w:tcPr>
            <w:tcW w:w="277" w:type="dxa"/>
            <w:vMerge w:val="restart"/>
            <w:tcBorders>
              <w:top w:val="nil"/>
              <w:right w:val="single" w:sz="6" w:space="0" w:color="D9D9D9"/>
            </w:tcBorders>
          </w:tcPr>
          <w:p w14:paraId="2D8F63F5" w14:textId="77777777" w:rsidR="00D757DA" w:rsidRDefault="00D757DA">
            <w:pPr>
              <w:pStyle w:val="TableParagraph"/>
              <w:rPr>
                <w:rFonts w:ascii="Times New Roman"/>
                <w:sz w:val="20"/>
              </w:rPr>
            </w:pPr>
          </w:p>
        </w:tc>
        <w:tc>
          <w:tcPr>
            <w:tcW w:w="1570" w:type="dxa"/>
            <w:tcBorders>
              <w:top w:val="single" w:sz="6" w:space="0" w:color="D9D9D9"/>
              <w:left w:val="single" w:sz="6" w:space="0" w:color="D9D9D9"/>
              <w:bottom w:val="nil"/>
              <w:right w:val="nil"/>
            </w:tcBorders>
          </w:tcPr>
          <w:p w14:paraId="70FA74A9" w14:textId="77777777" w:rsidR="00D757DA" w:rsidRDefault="0033254E">
            <w:pPr>
              <w:pStyle w:val="TableParagraph"/>
              <w:spacing w:before="93"/>
              <w:ind w:left="551"/>
              <w:rPr>
                <w:rFonts w:ascii="Calibri"/>
                <w:sz w:val="18"/>
              </w:rPr>
            </w:pPr>
            <w:r>
              <w:rPr>
                <w:rFonts w:ascii="Calibri"/>
                <w:color w:val="585858"/>
                <w:sz w:val="18"/>
              </w:rPr>
              <w:t>60,000</w:t>
            </w:r>
          </w:p>
        </w:tc>
        <w:tc>
          <w:tcPr>
            <w:tcW w:w="3502" w:type="dxa"/>
            <w:tcBorders>
              <w:top w:val="single" w:sz="6" w:space="0" w:color="D9D9D9"/>
              <w:left w:val="nil"/>
              <w:bottom w:val="nil"/>
              <w:right w:val="nil"/>
            </w:tcBorders>
          </w:tcPr>
          <w:p w14:paraId="535A5C3F" w14:textId="77777777" w:rsidR="00D757DA" w:rsidRDefault="00D757DA">
            <w:pPr>
              <w:pStyle w:val="TableParagraph"/>
              <w:rPr>
                <w:rFonts w:ascii="Times New Roman"/>
                <w:sz w:val="20"/>
              </w:rPr>
            </w:pPr>
          </w:p>
        </w:tc>
        <w:tc>
          <w:tcPr>
            <w:tcW w:w="860" w:type="dxa"/>
            <w:tcBorders>
              <w:top w:val="single" w:sz="6" w:space="0" w:color="D9D9D9"/>
              <w:left w:val="nil"/>
              <w:bottom w:val="nil"/>
              <w:right w:val="single" w:sz="6" w:space="0" w:color="D9D9D9"/>
            </w:tcBorders>
          </w:tcPr>
          <w:p w14:paraId="4C91C99B" w14:textId="77777777" w:rsidR="00D757DA" w:rsidRDefault="00D757DA">
            <w:pPr>
              <w:pStyle w:val="TableParagraph"/>
              <w:rPr>
                <w:rFonts w:ascii="Times New Roman"/>
                <w:sz w:val="20"/>
              </w:rPr>
            </w:pPr>
          </w:p>
        </w:tc>
        <w:tc>
          <w:tcPr>
            <w:tcW w:w="953" w:type="dxa"/>
            <w:vMerge w:val="restart"/>
            <w:tcBorders>
              <w:top w:val="nil"/>
              <w:left w:val="single" w:sz="6" w:space="0" w:color="D9D9D9"/>
            </w:tcBorders>
          </w:tcPr>
          <w:p w14:paraId="0FF02EA8" w14:textId="77777777" w:rsidR="00D757DA" w:rsidRDefault="00D757DA">
            <w:pPr>
              <w:pStyle w:val="TableParagraph"/>
              <w:rPr>
                <w:rFonts w:ascii="Times New Roman"/>
                <w:sz w:val="20"/>
              </w:rPr>
            </w:pPr>
          </w:p>
        </w:tc>
      </w:tr>
      <w:tr w:rsidR="00D757DA" w14:paraId="267D4F99" w14:textId="77777777">
        <w:trPr>
          <w:trHeight w:val="436"/>
        </w:trPr>
        <w:tc>
          <w:tcPr>
            <w:tcW w:w="1858" w:type="dxa"/>
            <w:tcBorders>
              <w:top w:val="nil"/>
              <w:bottom w:val="nil"/>
            </w:tcBorders>
          </w:tcPr>
          <w:p w14:paraId="3E341055" w14:textId="77777777" w:rsidR="00D757DA" w:rsidRDefault="00D757DA">
            <w:pPr>
              <w:pStyle w:val="TableParagraph"/>
              <w:rPr>
                <w:rFonts w:ascii="Times New Roman"/>
                <w:sz w:val="20"/>
              </w:rPr>
            </w:pPr>
          </w:p>
        </w:tc>
        <w:tc>
          <w:tcPr>
            <w:tcW w:w="277" w:type="dxa"/>
            <w:vMerge/>
            <w:tcBorders>
              <w:top w:val="nil"/>
              <w:right w:val="single" w:sz="6" w:space="0" w:color="D9D9D9"/>
            </w:tcBorders>
          </w:tcPr>
          <w:p w14:paraId="6E635389" w14:textId="77777777" w:rsidR="00D757DA" w:rsidRDefault="00D757DA">
            <w:pPr>
              <w:rPr>
                <w:sz w:val="2"/>
                <w:szCs w:val="2"/>
              </w:rPr>
            </w:pPr>
          </w:p>
        </w:tc>
        <w:tc>
          <w:tcPr>
            <w:tcW w:w="1570" w:type="dxa"/>
            <w:tcBorders>
              <w:top w:val="nil"/>
              <w:left w:val="single" w:sz="6" w:space="0" w:color="D9D9D9"/>
              <w:bottom w:val="nil"/>
              <w:right w:val="nil"/>
            </w:tcBorders>
          </w:tcPr>
          <w:p w14:paraId="7388939F" w14:textId="77777777" w:rsidR="00D757DA" w:rsidRDefault="0033254E">
            <w:pPr>
              <w:pStyle w:val="TableParagraph"/>
              <w:spacing w:before="92"/>
              <w:ind w:left="551"/>
              <w:rPr>
                <w:rFonts w:ascii="Calibri"/>
                <w:sz w:val="18"/>
              </w:rPr>
            </w:pPr>
            <w:r>
              <w:rPr>
                <w:rFonts w:ascii="Calibri"/>
                <w:color w:val="585858"/>
                <w:sz w:val="18"/>
              </w:rPr>
              <w:t>50,000</w:t>
            </w:r>
          </w:p>
        </w:tc>
        <w:tc>
          <w:tcPr>
            <w:tcW w:w="3502" w:type="dxa"/>
            <w:tcBorders>
              <w:top w:val="nil"/>
              <w:left w:val="nil"/>
              <w:bottom w:val="nil"/>
              <w:right w:val="nil"/>
            </w:tcBorders>
          </w:tcPr>
          <w:p w14:paraId="5994277B" w14:textId="77777777" w:rsidR="00D757DA" w:rsidRDefault="00D757DA">
            <w:pPr>
              <w:pStyle w:val="TableParagraph"/>
              <w:rPr>
                <w:rFonts w:ascii="Times New Roman"/>
                <w:sz w:val="20"/>
              </w:rPr>
            </w:pPr>
          </w:p>
        </w:tc>
        <w:tc>
          <w:tcPr>
            <w:tcW w:w="860" w:type="dxa"/>
            <w:tcBorders>
              <w:top w:val="nil"/>
              <w:left w:val="nil"/>
              <w:bottom w:val="nil"/>
              <w:right w:val="single" w:sz="6" w:space="0" w:color="D9D9D9"/>
            </w:tcBorders>
          </w:tcPr>
          <w:p w14:paraId="23BB891B" w14:textId="77777777" w:rsidR="00D757DA" w:rsidRDefault="00D757DA">
            <w:pPr>
              <w:pStyle w:val="TableParagraph"/>
              <w:rPr>
                <w:rFonts w:ascii="Times New Roman"/>
                <w:sz w:val="20"/>
              </w:rPr>
            </w:pPr>
          </w:p>
        </w:tc>
        <w:tc>
          <w:tcPr>
            <w:tcW w:w="953" w:type="dxa"/>
            <w:vMerge/>
            <w:tcBorders>
              <w:top w:val="nil"/>
              <w:left w:val="single" w:sz="6" w:space="0" w:color="D9D9D9"/>
            </w:tcBorders>
          </w:tcPr>
          <w:p w14:paraId="6C87881A" w14:textId="77777777" w:rsidR="00D757DA" w:rsidRDefault="00D757DA">
            <w:pPr>
              <w:rPr>
                <w:sz w:val="2"/>
                <w:szCs w:val="2"/>
              </w:rPr>
            </w:pPr>
          </w:p>
        </w:tc>
      </w:tr>
      <w:tr w:rsidR="00D757DA" w14:paraId="34266662" w14:textId="77777777">
        <w:trPr>
          <w:trHeight w:val="436"/>
        </w:trPr>
        <w:tc>
          <w:tcPr>
            <w:tcW w:w="1858" w:type="dxa"/>
            <w:tcBorders>
              <w:top w:val="nil"/>
              <w:bottom w:val="nil"/>
            </w:tcBorders>
          </w:tcPr>
          <w:p w14:paraId="306367B1" w14:textId="77777777" w:rsidR="00D757DA" w:rsidRDefault="00D757DA">
            <w:pPr>
              <w:pStyle w:val="TableParagraph"/>
              <w:rPr>
                <w:rFonts w:ascii="Times New Roman"/>
                <w:sz w:val="20"/>
              </w:rPr>
            </w:pPr>
          </w:p>
        </w:tc>
        <w:tc>
          <w:tcPr>
            <w:tcW w:w="277" w:type="dxa"/>
            <w:vMerge/>
            <w:tcBorders>
              <w:top w:val="nil"/>
              <w:right w:val="single" w:sz="6" w:space="0" w:color="D9D9D9"/>
            </w:tcBorders>
          </w:tcPr>
          <w:p w14:paraId="708DB33C" w14:textId="77777777" w:rsidR="00D757DA" w:rsidRDefault="00D757DA">
            <w:pPr>
              <w:rPr>
                <w:sz w:val="2"/>
                <w:szCs w:val="2"/>
              </w:rPr>
            </w:pPr>
          </w:p>
        </w:tc>
        <w:tc>
          <w:tcPr>
            <w:tcW w:w="1570" w:type="dxa"/>
            <w:tcBorders>
              <w:top w:val="nil"/>
              <w:left w:val="single" w:sz="6" w:space="0" w:color="D9D9D9"/>
              <w:bottom w:val="nil"/>
              <w:right w:val="nil"/>
            </w:tcBorders>
          </w:tcPr>
          <w:p w14:paraId="0721FF02" w14:textId="77777777" w:rsidR="00D757DA" w:rsidRDefault="0033254E">
            <w:pPr>
              <w:pStyle w:val="TableParagraph"/>
              <w:spacing w:before="92"/>
              <w:ind w:left="551"/>
              <w:rPr>
                <w:rFonts w:ascii="Calibri"/>
                <w:sz w:val="18"/>
              </w:rPr>
            </w:pPr>
            <w:r>
              <w:rPr>
                <w:rFonts w:ascii="Calibri"/>
                <w:color w:val="585858"/>
                <w:sz w:val="18"/>
              </w:rPr>
              <w:t>40,000</w:t>
            </w:r>
          </w:p>
        </w:tc>
        <w:tc>
          <w:tcPr>
            <w:tcW w:w="3502" w:type="dxa"/>
            <w:tcBorders>
              <w:top w:val="nil"/>
              <w:left w:val="nil"/>
              <w:bottom w:val="nil"/>
              <w:right w:val="nil"/>
            </w:tcBorders>
          </w:tcPr>
          <w:p w14:paraId="3E40AD18" w14:textId="77777777" w:rsidR="00D757DA" w:rsidRDefault="00D757DA">
            <w:pPr>
              <w:pStyle w:val="TableParagraph"/>
              <w:rPr>
                <w:rFonts w:ascii="Times New Roman"/>
                <w:sz w:val="20"/>
              </w:rPr>
            </w:pPr>
          </w:p>
        </w:tc>
        <w:tc>
          <w:tcPr>
            <w:tcW w:w="860" w:type="dxa"/>
            <w:tcBorders>
              <w:top w:val="nil"/>
              <w:left w:val="nil"/>
              <w:bottom w:val="nil"/>
              <w:right w:val="single" w:sz="6" w:space="0" w:color="D9D9D9"/>
            </w:tcBorders>
          </w:tcPr>
          <w:p w14:paraId="523D427E" w14:textId="77777777" w:rsidR="00D757DA" w:rsidRDefault="00D757DA">
            <w:pPr>
              <w:pStyle w:val="TableParagraph"/>
              <w:rPr>
                <w:rFonts w:ascii="Times New Roman"/>
                <w:sz w:val="20"/>
              </w:rPr>
            </w:pPr>
          </w:p>
        </w:tc>
        <w:tc>
          <w:tcPr>
            <w:tcW w:w="953" w:type="dxa"/>
            <w:vMerge/>
            <w:tcBorders>
              <w:top w:val="nil"/>
              <w:left w:val="single" w:sz="6" w:space="0" w:color="D9D9D9"/>
            </w:tcBorders>
          </w:tcPr>
          <w:p w14:paraId="132CAE46" w14:textId="77777777" w:rsidR="00D757DA" w:rsidRDefault="00D757DA">
            <w:pPr>
              <w:rPr>
                <w:sz w:val="2"/>
                <w:szCs w:val="2"/>
              </w:rPr>
            </w:pPr>
          </w:p>
        </w:tc>
      </w:tr>
      <w:tr w:rsidR="00D757DA" w14:paraId="7AFD3611" w14:textId="77777777">
        <w:trPr>
          <w:trHeight w:val="436"/>
        </w:trPr>
        <w:tc>
          <w:tcPr>
            <w:tcW w:w="1858" w:type="dxa"/>
            <w:tcBorders>
              <w:top w:val="nil"/>
              <w:bottom w:val="nil"/>
            </w:tcBorders>
          </w:tcPr>
          <w:p w14:paraId="403284DC" w14:textId="77777777" w:rsidR="00D757DA" w:rsidRDefault="00D757DA">
            <w:pPr>
              <w:pStyle w:val="TableParagraph"/>
              <w:rPr>
                <w:rFonts w:ascii="Times New Roman"/>
                <w:sz w:val="20"/>
              </w:rPr>
            </w:pPr>
          </w:p>
        </w:tc>
        <w:tc>
          <w:tcPr>
            <w:tcW w:w="277" w:type="dxa"/>
            <w:vMerge/>
            <w:tcBorders>
              <w:top w:val="nil"/>
              <w:right w:val="single" w:sz="6" w:space="0" w:color="D9D9D9"/>
            </w:tcBorders>
          </w:tcPr>
          <w:p w14:paraId="6D1FBBCB" w14:textId="77777777" w:rsidR="00D757DA" w:rsidRDefault="00D757DA">
            <w:pPr>
              <w:rPr>
                <w:sz w:val="2"/>
                <w:szCs w:val="2"/>
              </w:rPr>
            </w:pPr>
          </w:p>
        </w:tc>
        <w:tc>
          <w:tcPr>
            <w:tcW w:w="1570" w:type="dxa"/>
            <w:tcBorders>
              <w:top w:val="nil"/>
              <w:left w:val="single" w:sz="6" w:space="0" w:color="D9D9D9"/>
              <w:bottom w:val="nil"/>
              <w:right w:val="nil"/>
            </w:tcBorders>
          </w:tcPr>
          <w:p w14:paraId="75744CB6" w14:textId="77777777" w:rsidR="00D757DA" w:rsidRDefault="0033254E">
            <w:pPr>
              <w:pStyle w:val="TableParagraph"/>
              <w:spacing w:before="92"/>
              <w:ind w:left="551"/>
              <w:rPr>
                <w:rFonts w:ascii="Calibri"/>
                <w:sz w:val="18"/>
              </w:rPr>
            </w:pPr>
            <w:r>
              <w:rPr>
                <w:rFonts w:ascii="Calibri"/>
                <w:color w:val="585858"/>
                <w:sz w:val="18"/>
              </w:rPr>
              <w:t>30,000</w:t>
            </w:r>
          </w:p>
        </w:tc>
        <w:tc>
          <w:tcPr>
            <w:tcW w:w="3502" w:type="dxa"/>
            <w:tcBorders>
              <w:top w:val="nil"/>
              <w:left w:val="nil"/>
              <w:bottom w:val="nil"/>
              <w:right w:val="nil"/>
            </w:tcBorders>
          </w:tcPr>
          <w:p w14:paraId="09AFC69A" w14:textId="77777777" w:rsidR="00D757DA" w:rsidRDefault="00D757DA">
            <w:pPr>
              <w:pStyle w:val="TableParagraph"/>
              <w:rPr>
                <w:rFonts w:ascii="Times New Roman"/>
                <w:sz w:val="20"/>
              </w:rPr>
            </w:pPr>
          </w:p>
        </w:tc>
        <w:tc>
          <w:tcPr>
            <w:tcW w:w="860" w:type="dxa"/>
            <w:tcBorders>
              <w:top w:val="nil"/>
              <w:left w:val="nil"/>
              <w:bottom w:val="nil"/>
              <w:right w:val="single" w:sz="6" w:space="0" w:color="D9D9D9"/>
            </w:tcBorders>
          </w:tcPr>
          <w:p w14:paraId="3762A563" w14:textId="77777777" w:rsidR="00D757DA" w:rsidRDefault="00D757DA">
            <w:pPr>
              <w:pStyle w:val="TableParagraph"/>
              <w:rPr>
                <w:rFonts w:ascii="Times New Roman"/>
                <w:sz w:val="20"/>
              </w:rPr>
            </w:pPr>
          </w:p>
        </w:tc>
        <w:tc>
          <w:tcPr>
            <w:tcW w:w="953" w:type="dxa"/>
            <w:vMerge/>
            <w:tcBorders>
              <w:top w:val="nil"/>
              <w:left w:val="single" w:sz="6" w:space="0" w:color="D9D9D9"/>
            </w:tcBorders>
          </w:tcPr>
          <w:p w14:paraId="5E6F9D95" w14:textId="77777777" w:rsidR="00D757DA" w:rsidRDefault="00D757DA">
            <w:pPr>
              <w:rPr>
                <w:sz w:val="2"/>
                <w:szCs w:val="2"/>
              </w:rPr>
            </w:pPr>
          </w:p>
        </w:tc>
      </w:tr>
      <w:tr w:rsidR="00D757DA" w14:paraId="54BCA27C" w14:textId="77777777">
        <w:trPr>
          <w:trHeight w:val="436"/>
        </w:trPr>
        <w:tc>
          <w:tcPr>
            <w:tcW w:w="1858" w:type="dxa"/>
            <w:tcBorders>
              <w:top w:val="nil"/>
              <w:bottom w:val="nil"/>
            </w:tcBorders>
          </w:tcPr>
          <w:p w14:paraId="5F101B51" w14:textId="77777777" w:rsidR="00D757DA" w:rsidRDefault="00D757DA">
            <w:pPr>
              <w:pStyle w:val="TableParagraph"/>
              <w:rPr>
                <w:rFonts w:ascii="Times New Roman"/>
                <w:sz w:val="20"/>
              </w:rPr>
            </w:pPr>
          </w:p>
        </w:tc>
        <w:tc>
          <w:tcPr>
            <w:tcW w:w="277" w:type="dxa"/>
            <w:vMerge/>
            <w:tcBorders>
              <w:top w:val="nil"/>
              <w:right w:val="single" w:sz="6" w:space="0" w:color="D9D9D9"/>
            </w:tcBorders>
          </w:tcPr>
          <w:p w14:paraId="07F4D70F" w14:textId="77777777" w:rsidR="00D757DA" w:rsidRDefault="00D757DA">
            <w:pPr>
              <w:rPr>
                <w:sz w:val="2"/>
                <w:szCs w:val="2"/>
              </w:rPr>
            </w:pPr>
          </w:p>
        </w:tc>
        <w:tc>
          <w:tcPr>
            <w:tcW w:w="1570" w:type="dxa"/>
            <w:tcBorders>
              <w:top w:val="nil"/>
              <w:left w:val="single" w:sz="6" w:space="0" w:color="D9D9D9"/>
              <w:bottom w:val="nil"/>
              <w:right w:val="nil"/>
            </w:tcBorders>
          </w:tcPr>
          <w:p w14:paraId="56EB0BC0" w14:textId="77777777" w:rsidR="00D757DA" w:rsidRDefault="0033254E">
            <w:pPr>
              <w:pStyle w:val="TableParagraph"/>
              <w:spacing w:before="92"/>
              <w:ind w:left="551"/>
              <w:rPr>
                <w:rFonts w:ascii="Calibri"/>
                <w:sz w:val="18"/>
              </w:rPr>
            </w:pPr>
            <w:r>
              <w:rPr>
                <w:rFonts w:ascii="Calibri"/>
                <w:color w:val="585858"/>
                <w:sz w:val="18"/>
              </w:rPr>
              <w:t>20,000</w:t>
            </w:r>
          </w:p>
        </w:tc>
        <w:tc>
          <w:tcPr>
            <w:tcW w:w="3502" w:type="dxa"/>
            <w:tcBorders>
              <w:top w:val="nil"/>
              <w:left w:val="nil"/>
              <w:bottom w:val="nil"/>
              <w:right w:val="nil"/>
            </w:tcBorders>
          </w:tcPr>
          <w:p w14:paraId="122EB286" w14:textId="77777777" w:rsidR="00D757DA" w:rsidRDefault="00D757DA">
            <w:pPr>
              <w:pStyle w:val="TableParagraph"/>
              <w:rPr>
                <w:rFonts w:ascii="Times New Roman"/>
                <w:sz w:val="20"/>
              </w:rPr>
            </w:pPr>
          </w:p>
        </w:tc>
        <w:tc>
          <w:tcPr>
            <w:tcW w:w="860" w:type="dxa"/>
            <w:tcBorders>
              <w:top w:val="nil"/>
              <w:left w:val="nil"/>
              <w:bottom w:val="nil"/>
              <w:right w:val="single" w:sz="6" w:space="0" w:color="D9D9D9"/>
            </w:tcBorders>
          </w:tcPr>
          <w:p w14:paraId="24837621" w14:textId="77777777" w:rsidR="00D757DA" w:rsidRDefault="00D757DA">
            <w:pPr>
              <w:pStyle w:val="TableParagraph"/>
              <w:rPr>
                <w:rFonts w:ascii="Times New Roman"/>
                <w:sz w:val="20"/>
              </w:rPr>
            </w:pPr>
          </w:p>
        </w:tc>
        <w:tc>
          <w:tcPr>
            <w:tcW w:w="953" w:type="dxa"/>
            <w:vMerge/>
            <w:tcBorders>
              <w:top w:val="nil"/>
              <w:left w:val="single" w:sz="6" w:space="0" w:color="D9D9D9"/>
            </w:tcBorders>
          </w:tcPr>
          <w:p w14:paraId="62579359" w14:textId="77777777" w:rsidR="00D757DA" w:rsidRDefault="00D757DA">
            <w:pPr>
              <w:rPr>
                <w:sz w:val="2"/>
                <w:szCs w:val="2"/>
              </w:rPr>
            </w:pPr>
          </w:p>
        </w:tc>
      </w:tr>
      <w:tr w:rsidR="00D757DA" w14:paraId="44DAFB56" w14:textId="77777777">
        <w:trPr>
          <w:trHeight w:val="436"/>
        </w:trPr>
        <w:tc>
          <w:tcPr>
            <w:tcW w:w="1858" w:type="dxa"/>
            <w:tcBorders>
              <w:top w:val="nil"/>
              <w:bottom w:val="nil"/>
            </w:tcBorders>
          </w:tcPr>
          <w:p w14:paraId="63B25120" w14:textId="77777777" w:rsidR="00D757DA" w:rsidRDefault="00D757DA">
            <w:pPr>
              <w:pStyle w:val="TableParagraph"/>
              <w:rPr>
                <w:rFonts w:ascii="Times New Roman"/>
                <w:sz w:val="20"/>
              </w:rPr>
            </w:pPr>
          </w:p>
        </w:tc>
        <w:tc>
          <w:tcPr>
            <w:tcW w:w="277" w:type="dxa"/>
            <w:vMerge/>
            <w:tcBorders>
              <w:top w:val="nil"/>
              <w:right w:val="single" w:sz="6" w:space="0" w:color="D9D9D9"/>
            </w:tcBorders>
          </w:tcPr>
          <w:p w14:paraId="4ADF2FE9" w14:textId="77777777" w:rsidR="00D757DA" w:rsidRDefault="00D757DA">
            <w:pPr>
              <w:rPr>
                <w:sz w:val="2"/>
                <w:szCs w:val="2"/>
              </w:rPr>
            </w:pPr>
          </w:p>
        </w:tc>
        <w:tc>
          <w:tcPr>
            <w:tcW w:w="1570" w:type="dxa"/>
            <w:tcBorders>
              <w:top w:val="nil"/>
              <w:left w:val="single" w:sz="6" w:space="0" w:color="D9D9D9"/>
              <w:bottom w:val="nil"/>
              <w:right w:val="nil"/>
            </w:tcBorders>
          </w:tcPr>
          <w:p w14:paraId="6F3DDE13" w14:textId="77777777" w:rsidR="00D757DA" w:rsidRDefault="0033254E">
            <w:pPr>
              <w:pStyle w:val="TableParagraph"/>
              <w:spacing w:before="92"/>
              <w:ind w:left="551"/>
              <w:rPr>
                <w:rFonts w:ascii="Calibri"/>
                <w:sz w:val="18"/>
              </w:rPr>
            </w:pPr>
            <w:r>
              <w:rPr>
                <w:rFonts w:ascii="Calibri"/>
                <w:color w:val="585858"/>
                <w:sz w:val="18"/>
              </w:rPr>
              <w:t>10,000</w:t>
            </w:r>
          </w:p>
        </w:tc>
        <w:tc>
          <w:tcPr>
            <w:tcW w:w="3502" w:type="dxa"/>
            <w:tcBorders>
              <w:top w:val="nil"/>
              <w:left w:val="nil"/>
              <w:bottom w:val="nil"/>
              <w:right w:val="nil"/>
            </w:tcBorders>
          </w:tcPr>
          <w:p w14:paraId="337D7657" w14:textId="77777777" w:rsidR="00D757DA" w:rsidRDefault="00D757DA">
            <w:pPr>
              <w:pStyle w:val="TableParagraph"/>
              <w:rPr>
                <w:rFonts w:ascii="Times New Roman"/>
                <w:sz w:val="20"/>
              </w:rPr>
            </w:pPr>
          </w:p>
        </w:tc>
        <w:tc>
          <w:tcPr>
            <w:tcW w:w="860" w:type="dxa"/>
            <w:tcBorders>
              <w:top w:val="nil"/>
              <w:left w:val="nil"/>
              <w:bottom w:val="nil"/>
              <w:right w:val="single" w:sz="6" w:space="0" w:color="D9D9D9"/>
            </w:tcBorders>
          </w:tcPr>
          <w:p w14:paraId="6F31AFC2" w14:textId="77777777" w:rsidR="00D757DA" w:rsidRDefault="00D757DA">
            <w:pPr>
              <w:pStyle w:val="TableParagraph"/>
              <w:rPr>
                <w:rFonts w:ascii="Times New Roman"/>
                <w:sz w:val="20"/>
              </w:rPr>
            </w:pPr>
          </w:p>
        </w:tc>
        <w:tc>
          <w:tcPr>
            <w:tcW w:w="953" w:type="dxa"/>
            <w:vMerge/>
            <w:tcBorders>
              <w:top w:val="nil"/>
              <w:left w:val="single" w:sz="6" w:space="0" w:color="D9D9D9"/>
            </w:tcBorders>
          </w:tcPr>
          <w:p w14:paraId="6030A29B" w14:textId="77777777" w:rsidR="00D757DA" w:rsidRDefault="00D757DA">
            <w:pPr>
              <w:rPr>
                <w:sz w:val="2"/>
                <w:szCs w:val="2"/>
              </w:rPr>
            </w:pPr>
          </w:p>
        </w:tc>
      </w:tr>
      <w:tr w:rsidR="00D757DA" w14:paraId="532A52FD" w14:textId="77777777">
        <w:trPr>
          <w:trHeight w:val="330"/>
        </w:trPr>
        <w:tc>
          <w:tcPr>
            <w:tcW w:w="1858" w:type="dxa"/>
            <w:tcBorders>
              <w:top w:val="nil"/>
              <w:bottom w:val="nil"/>
            </w:tcBorders>
          </w:tcPr>
          <w:p w14:paraId="1FE8E2B8" w14:textId="77777777" w:rsidR="00D757DA" w:rsidRDefault="00D757DA">
            <w:pPr>
              <w:pStyle w:val="TableParagraph"/>
              <w:rPr>
                <w:rFonts w:ascii="Times New Roman"/>
                <w:sz w:val="20"/>
              </w:rPr>
            </w:pPr>
          </w:p>
        </w:tc>
        <w:tc>
          <w:tcPr>
            <w:tcW w:w="277" w:type="dxa"/>
            <w:vMerge/>
            <w:tcBorders>
              <w:top w:val="nil"/>
              <w:right w:val="single" w:sz="6" w:space="0" w:color="D9D9D9"/>
            </w:tcBorders>
          </w:tcPr>
          <w:p w14:paraId="444E6377" w14:textId="77777777" w:rsidR="00D757DA" w:rsidRDefault="00D757DA">
            <w:pPr>
              <w:rPr>
                <w:sz w:val="2"/>
                <w:szCs w:val="2"/>
              </w:rPr>
            </w:pPr>
          </w:p>
        </w:tc>
        <w:tc>
          <w:tcPr>
            <w:tcW w:w="1570" w:type="dxa"/>
            <w:tcBorders>
              <w:top w:val="nil"/>
              <w:left w:val="single" w:sz="6" w:space="0" w:color="D9D9D9"/>
              <w:bottom w:val="nil"/>
              <w:right w:val="nil"/>
            </w:tcBorders>
          </w:tcPr>
          <w:p w14:paraId="0E4AB608" w14:textId="77777777" w:rsidR="00D757DA" w:rsidRDefault="0033254E">
            <w:pPr>
              <w:pStyle w:val="TableParagraph"/>
              <w:spacing w:before="92" w:line="218" w:lineRule="exact"/>
              <w:ind w:left="961"/>
              <w:rPr>
                <w:rFonts w:ascii="Calibri"/>
                <w:sz w:val="18"/>
              </w:rPr>
            </w:pPr>
            <w:r>
              <w:rPr>
                <w:rFonts w:ascii="Calibri"/>
                <w:shadow/>
                <w:color w:val="585858"/>
                <w:sz w:val="18"/>
              </w:rPr>
              <w:t>0</w:t>
            </w:r>
          </w:p>
        </w:tc>
        <w:tc>
          <w:tcPr>
            <w:tcW w:w="3502" w:type="dxa"/>
            <w:tcBorders>
              <w:top w:val="nil"/>
              <w:left w:val="nil"/>
              <w:bottom w:val="nil"/>
              <w:right w:val="nil"/>
            </w:tcBorders>
          </w:tcPr>
          <w:p w14:paraId="633616AA" w14:textId="77777777" w:rsidR="00D757DA" w:rsidRDefault="00D757DA">
            <w:pPr>
              <w:pStyle w:val="TableParagraph"/>
              <w:rPr>
                <w:rFonts w:ascii="Times New Roman"/>
                <w:sz w:val="20"/>
              </w:rPr>
            </w:pPr>
          </w:p>
        </w:tc>
        <w:tc>
          <w:tcPr>
            <w:tcW w:w="860" w:type="dxa"/>
            <w:tcBorders>
              <w:top w:val="nil"/>
              <w:left w:val="nil"/>
              <w:bottom w:val="nil"/>
              <w:right w:val="single" w:sz="6" w:space="0" w:color="D9D9D9"/>
            </w:tcBorders>
          </w:tcPr>
          <w:p w14:paraId="2D1055B8" w14:textId="77777777" w:rsidR="00D757DA" w:rsidRDefault="00D757DA">
            <w:pPr>
              <w:pStyle w:val="TableParagraph"/>
              <w:rPr>
                <w:rFonts w:ascii="Times New Roman"/>
                <w:sz w:val="20"/>
              </w:rPr>
            </w:pPr>
          </w:p>
        </w:tc>
        <w:tc>
          <w:tcPr>
            <w:tcW w:w="953" w:type="dxa"/>
            <w:vMerge/>
            <w:tcBorders>
              <w:top w:val="nil"/>
              <w:left w:val="single" w:sz="6" w:space="0" w:color="D9D9D9"/>
            </w:tcBorders>
          </w:tcPr>
          <w:p w14:paraId="66B54524" w14:textId="77777777" w:rsidR="00D757DA" w:rsidRDefault="00D757DA">
            <w:pPr>
              <w:rPr>
                <w:sz w:val="2"/>
                <w:szCs w:val="2"/>
              </w:rPr>
            </w:pPr>
          </w:p>
        </w:tc>
      </w:tr>
      <w:tr w:rsidR="00D757DA" w14:paraId="5914F288" w14:textId="77777777">
        <w:trPr>
          <w:trHeight w:val="249"/>
        </w:trPr>
        <w:tc>
          <w:tcPr>
            <w:tcW w:w="1858" w:type="dxa"/>
            <w:tcBorders>
              <w:top w:val="nil"/>
              <w:bottom w:val="nil"/>
            </w:tcBorders>
          </w:tcPr>
          <w:p w14:paraId="19BE96BE" w14:textId="77777777" w:rsidR="00D757DA" w:rsidRDefault="00D757DA">
            <w:pPr>
              <w:pStyle w:val="TableParagraph"/>
              <w:rPr>
                <w:rFonts w:ascii="Times New Roman"/>
                <w:sz w:val="18"/>
              </w:rPr>
            </w:pPr>
          </w:p>
        </w:tc>
        <w:tc>
          <w:tcPr>
            <w:tcW w:w="277" w:type="dxa"/>
            <w:vMerge/>
            <w:tcBorders>
              <w:top w:val="nil"/>
              <w:right w:val="single" w:sz="6" w:space="0" w:color="D9D9D9"/>
            </w:tcBorders>
          </w:tcPr>
          <w:p w14:paraId="3FA9C0E7" w14:textId="77777777" w:rsidR="00D757DA" w:rsidRDefault="00D757DA">
            <w:pPr>
              <w:rPr>
                <w:sz w:val="2"/>
                <w:szCs w:val="2"/>
              </w:rPr>
            </w:pPr>
          </w:p>
        </w:tc>
        <w:tc>
          <w:tcPr>
            <w:tcW w:w="1570" w:type="dxa"/>
            <w:tcBorders>
              <w:top w:val="nil"/>
              <w:left w:val="single" w:sz="6" w:space="0" w:color="D9D9D9"/>
              <w:bottom w:val="nil"/>
              <w:right w:val="nil"/>
            </w:tcBorders>
          </w:tcPr>
          <w:p w14:paraId="6E5A3B80" w14:textId="77777777" w:rsidR="00D757DA" w:rsidRDefault="0033254E">
            <w:pPr>
              <w:pStyle w:val="TableParagraph"/>
              <w:spacing w:line="205" w:lineRule="exact"/>
              <w:ind w:left="995"/>
              <w:rPr>
                <w:rFonts w:ascii="Calibri"/>
                <w:sz w:val="18"/>
              </w:rPr>
            </w:pPr>
            <w:r>
              <w:rPr>
                <w:rFonts w:ascii="Calibri"/>
                <w:color w:val="585858"/>
                <w:sz w:val="18"/>
              </w:rPr>
              <w:t>90.0%</w:t>
            </w:r>
          </w:p>
        </w:tc>
        <w:tc>
          <w:tcPr>
            <w:tcW w:w="3502" w:type="dxa"/>
            <w:tcBorders>
              <w:top w:val="nil"/>
              <w:left w:val="nil"/>
              <w:bottom w:val="nil"/>
              <w:right w:val="nil"/>
            </w:tcBorders>
          </w:tcPr>
          <w:p w14:paraId="16A998AF" w14:textId="77777777" w:rsidR="00D757DA" w:rsidRDefault="0033254E">
            <w:pPr>
              <w:pStyle w:val="TableParagraph"/>
              <w:tabs>
                <w:tab w:val="left" w:pos="876"/>
                <w:tab w:val="left" w:pos="1721"/>
                <w:tab w:val="left" w:pos="2564"/>
              </w:tabs>
              <w:spacing w:line="205" w:lineRule="exact"/>
              <w:ind w:left="32"/>
              <w:jc w:val="center"/>
              <w:rPr>
                <w:rFonts w:ascii="Calibri"/>
                <w:sz w:val="18"/>
              </w:rPr>
            </w:pPr>
            <w:r>
              <w:rPr>
                <w:rFonts w:ascii="Calibri"/>
                <w:color w:val="585858"/>
                <w:sz w:val="18"/>
              </w:rPr>
              <w:t>92.0%</w:t>
            </w:r>
            <w:r>
              <w:rPr>
                <w:rFonts w:ascii="Calibri"/>
                <w:color w:val="585858"/>
                <w:sz w:val="18"/>
              </w:rPr>
              <w:tab/>
              <w:t>94.0%</w:t>
            </w:r>
            <w:r>
              <w:rPr>
                <w:rFonts w:ascii="Calibri"/>
                <w:color w:val="585858"/>
                <w:sz w:val="18"/>
              </w:rPr>
              <w:tab/>
              <w:t>96.0%</w:t>
            </w:r>
            <w:r>
              <w:rPr>
                <w:rFonts w:ascii="Calibri"/>
                <w:color w:val="585858"/>
                <w:sz w:val="18"/>
              </w:rPr>
              <w:tab/>
              <w:t>98.0%</w:t>
            </w:r>
          </w:p>
        </w:tc>
        <w:tc>
          <w:tcPr>
            <w:tcW w:w="860" w:type="dxa"/>
            <w:tcBorders>
              <w:top w:val="nil"/>
              <w:left w:val="nil"/>
              <w:bottom w:val="nil"/>
              <w:right w:val="single" w:sz="6" w:space="0" w:color="D9D9D9"/>
            </w:tcBorders>
          </w:tcPr>
          <w:p w14:paraId="03533CBB" w14:textId="77777777" w:rsidR="00D757DA" w:rsidRDefault="0033254E">
            <w:pPr>
              <w:pStyle w:val="TableParagraph"/>
              <w:spacing w:line="205" w:lineRule="exact"/>
              <w:ind w:left="106"/>
              <w:rPr>
                <w:rFonts w:ascii="Calibri"/>
                <w:sz w:val="18"/>
              </w:rPr>
            </w:pPr>
            <w:r>
              <w:rPr>
                <w:rFonts w:ascii="Calibri"/>
                <w:color w:val="585858"/>
                <w:sz w:val="18"/>
              </w:rPr>
              <w:t>100.0%</w:t>
            </w:r>
          </w:p>
        </w:tc>
        <w:tc>
          <w:tcPr>
            <w:tcW w:w="953" w:type="dxa"/>
            <w:vMerge/>
            <w:tcBorders>
              <w:top w:val="nil"/>
              <w:left w:val="single" w:sz="6" w:space="0" w:color="D9D9D9"/>
            </w:tcBorders>
          </w:tcPr>
          <w:p w14:paraId="2B4D8C87" w14:textId="77777777" w:rsidR="00D757DA" w:rsidRDefault="00D757DA">
            <w:pPr>
              <w:rPr>
                <w:sz w:val="2"/>
                <w:szCs w:val="2"/>
              </w:rPr>
            </w:pPr>
          </w:p>
        </w:tc>
      </w:tr>
      <w:tr w:rsidR="00D757DA" w14:paraId="4F38F9D2" w14:textId="77777777">
        <w:trPr>
          <w:trHeight w:val="501"/>
        </w:trPr>
        <w:tc>
          <w:tcPr>
            <w:tcW w:w="1858" w:type="dxa"/>
            <w:tcBorders>
              <w:top w:val="nil"/>
            </w:tcBorders>
          </w:tcPr>
          <w:p w14:paraId="13A933EF" w14:textId="77777777" w:rsidR="00D757DA" w:rsidRDefault="00D757DA">
            <w:pPr>
              <w:pStyle w:val="TableParagraph"/>
              <w:rPr>
                <w:rFonts w:ascii="Times New Roman"/>
                <w:sz w:val="20"/>
              </w:rPr>
            </w:pPr>
          </w:p>
        </w:tc>
        <w:tc>
          <w:tcPr>
            <w:tcW w:w="277" w:type="dxa"/>
            <w:vMerge/>
            <w:tcBorders>
              <w:top w:val="nil"/>
              <w:right w:val="single" w:sz="6" w:space="0" w:color="D9D9D9"/>
            </w:tcBorders>
          </w:tcPr>
          <w:p w14:paraId="5D3A1A36" w14:textId="77777777" w:rsidR="00D757DA" w:rsidRDefault="00D757DA">
            <w:pPr>
              <w:rPr>
                <w:sz w:val="2"/>
                <w:szCs w:val="2"/>
              </w:rPr>
            </w:pPr>
          </w:p>
        </w:tc>
        <w:tc>
          <w:tcPr>
            <w:tcW w:w="1570" w:type="dxa"/>
            <w:tcBorders>
              <w:top w:val="nil"/>
              <w:left w:val="single" w:sz="6" w:space="0" w:color="D9D9D9"/>
              <w:bottom w:val="thinThickMediumGap" w:sz="3" w:space="0" w:color="D9D9D9"/>
              <w:right w:val="nil"/>
            </w:tcBorders>
          </w:tcPr>
          <w:p w14:paraId="190C60E9" w14:textId="77777777" w:rsidR="00D757DA" w:rsidRDefault="00D757DA">
            <w:pPr>
              <w:pStyle w:val="TableParagraph"/>
              <w:rPr>
                <w:rFonts w:ascii="Times New Roman"/>
                <w:sz w:val="20"/>
              </w:rPr>
            </w:pPr>
          </w:p>
        </w:tc>
        <w:tc>
          <w:tcPr>
            <w:tcW w:w="3502" w:type="dxa"/>
            <w:tcBorders>
              <w:top w:val="nil"/>
              <w:left w:val="nil"/>
              <w:bottom w:val="thinThickMediumGap" w:sz="3" w:space="0" w:color="D9D9D9"/>
              <w:right w:val="nil"/>
            </w:tcBorders>
          </w:tcPr>
          <w:p w14:paraId="0AEE9594" w14:textId="77777777" w:rsidR="00D757DA" w:rsidRDefault="0033254E">
            <w:pPr>
              <w:pStyle w:val="TableParagraph"/>
              <w:spacing w:before="6"/>
              <w:ind w:left="27"/>
              <w:jc w:val="center"/>
              <w:rPr>
                <w:rFonts w:ascii="Calibri"/>
                <w:sz w:val="20"/>
              </w:rPr>
            </w:pPr>
            <w:r>
              <w:rPr>
                <w:rFonts w:ascii="Calibri"/>
                <w:color w:val="585858"/>
                <w:sz w:val="20"/>
              </w:rPr>
              <w:t>Central Index update frequency (SV3), %</w:t>
            </w:r>
          </w:p>
        </w:tc>
        <w:tc>
          <w:tcPr>
            <w:tcW w:w="860" w:type="dxa"/>
            <w:tcBorders>
              <w:top w:val="nil"/>
              <w:left w:val="nil"/>
              <w:bottom w:val="thinThickMediumGap" w:sz="3" w:space="0" w:color="D9D9D9"/>
              <w:right w:val="single" w:sz="6" w:space="0" w:color="D9D9D9"/>
            </w:tcBorders>
          </w:tcPr>
          <w:p w14:paraId="7DECF473" w14:textId="77777777" w:rsidR="00D757DA" w:rsidRDefault="00D757DA">
            <w:pPr>
              <w:pStyle w:val="TableParagraph"/>
              <w:rPr>
                <w:rFonts w:ascii="Times New Roman"/>
                <w:sz w:val="20"/>
              </w:rPr>
            </w:pPr>
          </w:p>
        </w:tc>
        <w:tc>
          <w:tcPr>
            <w:tcW w:w="953" w:type="dxa"/>
            <w:vMerge/>
            <w:tcBorders>
              <w:top w:val="nil"/>
              <w:left w:val="single" w:sz="6" w:space="0" w:color="D9D9D9"/>
            </w:tcBorders>
          </w:tcPr>
          <w:p w14:paraId="066AEDFF" w14:textId="77777777" w:rsidR="00D757DA" w:rsidRDefault="00D757DA">
            <w:pPr>
              <w:rPr>
                <w:sz w:val="2"/>
                <w:szCs w:val="2"/>
              </w:rPr>
            </w:pPr>
          </w:p>
        </w:tc>
      </w:tr>
      <w:tr w:rsidR="00D757DA" w14:paraId="04ED02DD" w14:textId="77777777">
        <w:trPr>
          <w:trHeight w:val="3321"/>
        </w:trPr>
        <w:tc>
          <w:tcPr>
            <w:tcW w:w="1858" w:type="dxa"/>
          </w:tcPr>
          <w:p w14:paraId="57D4D13E" w14:textId="77777777" w:rsidR="00D757DA" w:rsidRDefault="0033254E">
            <w:pPr>
              <w:pStyle w:val="TableParagraph"/>
              <w:tabs>
                <w:tab w:val="left" w:pos="1412"/>
              </w:tabs>
              <w:spacing w:before="129"/>
              <w:ind w:left="107" w:right="99"/>
              <w:jc w:val="both"/>
              <w:rPr>
                <w:sz w:val="20"/>
              </w:rPr>
            </w:pPr>
            <w:r>
              <w:rPr>
                <w:b/>
                <w:sz w:val="20"/>
              </w:rPr>
              <w:t xml:space="preserve">SV4: Index data quality </w:t>
            </w:r>
            <w:r>
              <w:rPr>
                <w:spacing w:val="-3"/>
                <w:sz w:val="20"/>
              </w:rPr>
              <w:t xml:space="preserve">(data </w:t>
            </w:r>
            <w:r>
              <w:rPr>
                <w:sz w:val="20"/>
              </w:rPr>
              <w:t xml:space="preserve">quality check on the daily updates (differential index) will be performed and those </w:t>
            </w:r>
            <w:r>
              <w:rPr>
                <w:spacing w:val="-6"/>
                <w:sz w:val="20"/>
              </w:rPr>
              <w:t xml:space="preserve">IP </w:t>
            </w:r>
            <w:r>
              <w:rPr>
                <w:sz w:val="20"/>
              </w:rPr>
              <w:t>Offices</w:t>
            </w:r>
            <w:r>
              <w:rPr>
                <w:sz w:val="20"/>
              </w:rPr>
              <w:tab/>
            </w:r>
            <w:r>
              <w:rPr>
                <w:spacing w:val="-5"/>
                <w:sz w:val="20"/>
              </w:rPr>
              <w:t xml:space="preserve">that </w:t>
            </w:r>
            <w:r>
              <w:rPr>
                <w:sz w:val="20"/>
              </w:rPr>
              <w:t xml:space="preserve">comply with </w:t>
            </w:r>
            <w:r>
              <w:rPr>
                <w:spacing w:val="-4"/>
                <w:sz w:val="20"/>
              </w:rPr>
              <w:t xml:space="preserve">the </w:t>
            </w:r>
            <w:r>
              <w:rPr>
                <w:sz w:val="20"/>
              </w:rPr>
              <w:t>data quality rules will be</w:t>
            </w:r>
            <w:r>
              <w:rPr>
                <w:spacing w:val="-7"/>
                <w:sz w:val="20"/>
              </w:rPr>
              <w:t xml:space="preserve"> </w:t>
            </w:r>
            <w:r>
              <w:rPr>
                <w:sz w:val="20"/>
              </w:rPr>
              <w:t>rewarded).</w:t>
            </w:r>
          </w:p>
        </w:tc>
        <w:tc>
          <w:tcPr>
            <w:tcW w:w="7162" w:type="dxa"/>
            <w:gridSpan w:val="5"/>
            <w:tcBorders>
              <w:top w:val="single" w:sz="4" w:space="0" w:color="D9D9D9"/>
            </w:tcBorders>
          </w:tcPr>
          <w:p w14:paraId="1A6C1D34" w14:textId="77777777" w:rsidR="00D757DA" w:rsidRDefault="0033254E">
            <w:pPr>
              <w:pStyle w:val="TableParagraph"/>
              <w:spacing w:before="129"/>
              <w:ind w:left="265"/>
              <w:rPr>
                <w:sz w:val="20"/>
              </w:rPr>
            </w:pPr>
            <w:r>
              <w:rPr>
                <w:sz w:val="20"/>
              </w:rPr>
              <w:t>Rules and conditions detailed under Article 31.15 will be applied to each</w:t>
            </w:r>
          </w:p>
          <w:p w14:paraId="40A91A06" w14:textId="77777777" w:rsidR="00D757DA" w:rsidRDefault="0033254E">
            <w:pPr>
              <w:pStyle w:val="TableParagraph"/>
              <w:ind w:left="278"/>
              <w:rPr>
                <w:sz w:val="20"/>
              </w:rPr>
            </w:pPr>
            <w:proofErr w:type="gramStart"/>
            <w:r>
              <w:rPr>
                <w:sz w:val="20"/>
              </w:rPr>
              <w:t>trade mark</w:t>
            </w:r>
            <w:proofErr w:type="gramEnd"/>
            <w:r>
              <w:rPr>
                <w:sz w:val="20"/>
              </w:rPr>
              <w:t xml:space="preserve"> and design found in “active” status within the Central Index.</w:t>
            </w:r>
          </w:p>
          <w:p w14:paraId="3258329F" w14:textId="77777777" w:rsidR="00D757DA" w:rsidRDefault="00D757DA">
            <w:pPr>
              <w:pStyle w:val="TableParagraph"/>
            </w:pPr>
          </w:p>
          <w:p w14:paraId="7C9ABA73" w14:textId="77777777" w:rsidR="00D757DA" w:rsidRDefault="0033254E">
            <w:pPr>
              <w:pStyle w:val="TableParagraph"/>
              <w:spacing w:before="194" w:line="204" w:lineRule="exact"/>
              <w:ind w:left="787" w:right="1215"/>
              <w:jc w:val="center"/>
              <w:rPr>
                <w:rFonts w:ascii="Cambria Math" w:eastAsia="Cambria Math" w:hAnsi="Cambria Math"/>
                <w:sz w:val="20"/>
              </w:rPr>
            </w:pPr>
            <w:r>
              <w:rPr>
                <w:rFonts w:ascii="Cambria Math" w:eastAsia="Cambria Math" w:hAnsi="Cambria Math"/>
                <w:sz w:val="20"/>
              </w:rPr>
              <w:t xml:space="preserve">Number of active TM </w:t>
            </w:r>
            <w:r>
              <w:rPr>
                <w:rFonts w:ascii="Cambria Math" w:eastAsia="Cambria Math" w:hAnsi="Cambria Math"/>
                <w:position w:val="1"/>
                <w:sz w:val="20"/>
              </w:rPr>
              <w:t>(</w:t>
            </w:r>
            <w:r>
              <w:rPr>
                <w:rFonts w:ascii="Cambria Math" w:eastAsia="Cambria Math" w:hAnsi="Cambria Math"/>
                <w:sz w:val="20"/>
              </w:rPr>
              <w:t>DS</w:t>
            </w:r>
            <w:r>
              <w:rPr>
                <w:rFonts w:ascii="Cambria Math" w:eastAsia="Cambria Math" w:hAnsi="Cambria Math"/>
                <w:position w:val="1"/>
                <w:sz w:val="20"/>
              </w:rPr>
              <w:t xml:space="preserve">) </w:t>
            </w:r>
            <w:r>
              <w:rPr>
                <w:rFonts w:ascii="Cambria Math" w:eastAsia="Cambria Math" w:hAnsi="Cambria Math"/>
                <w:sz w:val="20"/>
              </w:rPr>
              <w:t>𝑐𝑜𝑚𝑝𝑙𝑦𝑖𝑛𝑔</w:t>
            </w:r>
            <w:r>
              <w:rPr>
                <w:rFonts w:ascii="Cambria Math" w:eastAsia="Cambria Math" w:hAnsi="Cambria Math"/>
                <w:sz w:val="20"/>
              </w:rPr>
              <w:t xml:space="preserve"> </w:t>
            </w:r>
            <w:r>
              <w:rPr>
                <w:rFonts w:ascii="Cambria Math" w:eastAsia="Cambria Math" w:hAnsi="Cambria Math"/>
                <w:sz w:val="20"/>
              </w:rPr>
              <w:t>𝑤𝑖𝑡</w:t>
            </w:r>
            <w:r>
              <w:rPr>
                <w:rFonts w:ascii="Cambria Math" w:eastAsia="Cambria Math" w:hAnsi="Cambria Math"/>
                <w:sz w:val="20"/>
              </w:rPr>
              <w:t>ℎ</w:t>
            </w:r>
            <w:r>
              <w:rPr>
                <w:rFonts w:ascii="Cambria Math" w:eastAsia="Cambria Math" w:hAnsi="Cambria Math"/>
                <w:sz w:val="20"/>
              </w:rPr>
              <w:t xml:space="preserve"> </w:t>
            </w:r>
            <w:r>
              <w:rPr>
                <w:rFonts w:ascii="Cambria Math" w:eastAsia="Cambria Math" w:hAnsi="Cambria Math"/>
                <w:sz w:val="20"/>
              </w:rPr>
              <w:t>𝑇𝑀</w:t>
            </w:r>
            <w:r>
              <w:rPr>
                <w:rFonts w:ascii="Cambria Math" w:eastAsia="Cambria Math" w:hAnsi="Cambria Math"/>
                <w:sz w:val="20"/>
              </w:rPr>
              <w:t xml:space="preserve"> (</w:t>
            </w:r>
            <w:r>
              <w:rPr>
                <w:rFonts w:ascii="Cambria Math" w:eastAsia="Cambria Math" w:hAnsi="Cambria Math"/>
                <w:sz w:val="20"/>
              </w:rPr>
              <w:t>𝐷𝑆</w:t>
            </w:r>
            <w:r>
              <w:rPr>
                <w:rFonts w:ascii="Cambria Math" w:eastAsia="Cambria Math" w:hAnsi="Cambria Math"/>
                <w:sz w:val="20"/>
              </w:rPr>
              <w:t xml:space="preserve">) </w:t>
            </w:r>
            <w:r>
              <w:rPr>
                <w:rFonts w:ascii="Cambria Math" w:eastAsia="Cambria Math" w:hAnsi="Cambria Math"/>
                <w:sz w:val="20"/>
              </w:rPr>
              <w:t>𝑟𝑢𝑙𝑒𝑠</w:t>
            </w:r>
          </w:p>
          <w:p w14:paraId="56EFD2ED" w14:textId="77777777" w:rsidR="00D757DA" w:rsidRDefault="0033254E">
            <w:pPr>
              <w:pStyle w:val="TableParagraph"/>
              <w:spacing w:line="139" w:lineRule="exact"/>
              <w:ind w:left="278"/>
              <w:rPr>
                <w:rFonts w:ascii="Cambria Math"/>
                <w:sz w:val="20"/>
              </w:rPr>
            </w:pPr>
            <w:r>
              <w:rPr>
                <w:rFonts w:ascii="Cambria Math"/>
                <w:sz w:val="20"/>
              </w:rPr>
              <w:t>SV4 =</w:t>
            </w:r>
          </w:p>
          <w:p w14:paraId="497B9F65" w14:textId="77777777" w:rsidR="00D757DA" w:rsidRDefault="0033254E">
            <w:pPr>
              <w:pStyle w:val="TableParagraph"/>
              <w:spacing w:line="189" w:lineRule="exact"/>
              <w:ind w:left="786" w:right="1215"/>
              <w:jc w:val="center"/>
              <w:rPr>
                <w:rFonts w:ascii="Cambria Math" w:eastAsia="Cambria Math"/>
                <w:sz w:val="20"/>
              </w:rPr>
            </w:pPr>
            <w:r>
              <w:rPr>
                <w:rFonts w:ascii="Cambria Math" w:eastAsia="Cambria Math"/>
                <w:sz w:val="20"/>
              </w:rPr>
              <w:t>𝑁𝑢𝑚𝑏𝑒𝑟</w:t>
            </w:r>
            <w:r>
              <w:rPr>
                <w:rFonts w:ascii="Cambria Math" w:eastAsia="Cambria Math"/>
                <w:sz w:val="20"/>
              </w:rPr>
              <w:t xml:space="preserve"> </w:t>
            </w:r>
            <w:r>
              <w:rPr>
                <w:rFonts w:ascii="Cambria Math" w:eastAsia="Cambria Math"/>
                <w:sz w:val="20"/>
              </w:rPr>
              <w:t>𝑜𝑓</w:t>
            </w:r>
            <w:r>
              <w:rPr>
                <w:rFonts w:ascii="Cambria Math" w:eastAsia="Cambria Math"/>
                <w:sz w:val="20"/>
              </w:rPr>
              <w:t xml:space="preserve"> </w:t>
            </w:r>
            <w:r>
              <w:rPr>
                <w:rFonts w:ascii="Cambria Math" w:eastAsia="Cambria Math"/>
                <w:sz w:val="20"/>
              </w:rPr>
              <w:t>𝑎𝑐𝑡𝑖𝑣𝑒</w:t>
            </w:r>
            <w:r>
              <w:rPr>
                <w:rFonts w:ascii="Cambria Math" w:eastAsia="Cambria Math"/>
                <w:sz w:val="20"/>
              </w:rPr>
              <w:t xml:space="preserve"> </w:t>
            </w:r>
            <w:r>
              <w:rPr>
                <w:rFonts w:ascii="Cambria Math" w:eastAsia="Cambria Math"/>
                <w:sz w:val="20"/>
              </w:rPr>
              <w:t>𝑇𝑀</w:t>
            </w:r>
            <w:r>
              <w:rPr>
                <w:rFonts w:ascii="Cambria Math" w:eastAsia="Cambria Math"/>
                <w:position w:val="1"/>
                <w:sz w:val="20"/>
              </w:rPr>
              <w:t>(</w:t>
            </w:r>
            <w:r>
              <w:rPr>
                <w:rFonts w:ascii="Cambria Math" w:eastAsia="Cambria Math"/>
                <w:sz w:val="20"/>
              </w:rPr>
              <w:t>𝐷𝑆</w:t>
            </w:r>
            <w:r>
              <w:rPr>
                <w:rFonts w:ascii="Cambria Math" w:eastAsia="Cambria Math"/>
                <w:position w:val="1"/>
                <w:sz w:val="20"/>
              </w:rPr>
              <w:t xml:space="preserve">) </w:t>
            </w:r>
            <w:r>
              <w:rPr>
                <w:rFonts w:ascii="Cambria Math" w:eastAsia="Cambria Math"/>
                <w:sz w:val="20"/>
              </w:rPr>
              <w:t>𝑖𝑛</w:t>
            </w:r>
            <w:r>
              <w:rPr>
                <w:rFonts w:ascii="Cambria Math" w:eastAsia="Cambria Math"/>
                <w:sz w:val="20"/>
              </w:rPr>
              <w:t xml:space="preserve"> </w:t>
            </w:r>
            <w:r>
              <w:rPr>
                <w:rFonts w:ascii="Cambria Math" w:eastAsia="Cambria Math"/>
                <w:sz w:val="20"/>
              </w:rPr>
              <w:t>𝐶𝑒𝑛𝑡𝑟𝑎𝑙</w:t>
            </w:r>
            <w:r>
              <w:rPr>
                <w:rFonts w:ascii="Cambria Math" w:eastAsia="Cambria Math"/>
                <w:sz w:val="20"/>
              </w:rPr>
              <w:t xml:space="preserve"> </w:t>
            </w:r>
            <w:r>
              <w:rPr>
                <w:rFonts w:ascii="Cambria Math" w:eastAsia="Cambria Math"/>
                <w:sz w:val="20"/>
              </w:rPr>
              <w:t>𝐼𝑛𝑑𝑒𝑥</w:t>
            </w:r>
          </w:p>
          <w:p w14:paraId="269EC29B" w14:textId="77777777" w:rsidR="00D757DA" w:rsidRDefault="00D757DA">
            <w:pPr>
              <w:pStyle w:val="TableParagraph"/>
              <w:rPr>
                <w:sz w:val="20"/>
              </w:rPr>
            </w:pPr>
          </w:p>
          <w:p w14:paraId="339C70C7" w14:textId="77777777" w:rsidR="00D757DA" w:rsidRDefault="00D757DA">
            <w:pPr>
              <w:pStyle w:val="TableParagraph"/>
              <w:spacing w:before="8"/>
              <w:rPr>
                <w:sz w:val="20"/>
              </w:rPr>
            </w:pPr>
          </w:p>
          <w:p w14:paraId="139F4C2D" w14:textId="77777777" w:rsidR="00D757DA" w:rsidRDefault="0033254E">
            <w:pPr>
              <w:pStyle w:val="TableParagraph"/>
              <w:spacing w:before="1"/>
              <w:ind w:left="278" w:right="301"/>
              <w:rPr>
                <w:sz w:val="20"/>
              </w:rPr>
            </w:pPr>
            <w:r>
              <w:rPr>
                <w:sz w:val="20"/>
              </w:rPr>
              <w:t>Calculation for the SP4 values on an annual basis using the following calculation:</w:t>
            </w:r>
          </w:p>
          <w:p w14:paraId="613A1191" w14:textId="77777777" w:rsidR="00D757DA" w:rsidRDefault="00D757DA">
            <w:pPr>
              <w:pStyle w:val="TableParagraph"/>
            </w:pPr>
          </w:p>
          <w:p w14:paraId="0BC0E2DD" w14:textId="77777777" w:rsidR="00D757DA" w:rsidRDefault="00D757DA">
            <w:pPr>
              <w:pStyle w:val="TableParagraph"/>
              <w:spacing w:before="8"/>
              <w:rPr>
                <w:sz w:val="18"/>
              </w:rPr>
            </w:pPr>
          </w:p>
          <w:p w14:paraId="01CBDD14" w14:textId="77777777" w:rsidR="00D757DA" w:rsidRDefault="0033254E">
            <w:pPr>
              <w:pStyle w:val="TableParagraph"/>
              <w:ind w:left="856" w:right="851"/>
              <w:jc w:val="center"/>
              <w:rPr>
                <w:rFonts w:ascii="Cambria Math" w:eastAsia="Cambria Math" w:hAnsi="Cambria Math"/>
                <w:sz w:val="20"/>
              </w:rPr>
            </w:pPr>
            <w:r>
              <w:rPr>
                <w:rFonts w:ascii="Cambria Math" w:eastAsia="Cambria Math" w:hAnsi="Cambria Math"/>
                <w:sz w:val="20"/>
              </w:rPr>
              <w:t>𝑆𝑃</w:t>
            </w:r>
            <w:r>
              <w:rPr>
                <w:rFonts w:ascii="Cambria Math" w:eastAsia="Cambria Math" w:hAnsi="Cambria Math"/>
                <w:sz w:val="20"/>
              </w:rPr>
              <w:t xml:space="preserve">4 = 100 000 × </w:t>
            </w:r>
            <w:r>
              <w:rPr>
                <w:rFonts w:ascii="Cambria Math" w:eastAsia="Cambria Math" w:hAnsi="Cambria Math"/>
                <w:sz w:val="20"/>
              </w:rPr>
              <w:t>𝑆𝑉</w:t>
            </w:r>
            <w:r>
              <w:rPr>
                <w:rFonts w:ascii="Cambria Math" w:eastAsia="Cambria Math" w:hAnsi="Cambria Math"/>
                <w:sz w:val="20"/>
              </w:rPr>
              <w:t xml:space="preserve">4 − 90 000, </w:t>
            </w:r>
            <w:r>
              <w:rPr>
                <w:rFonts w:ascii="Cambria Math" w:eastAsia="Cambria Math" w:hAnsi="Cambria Math"/>
                <w:sz w:val="20"/>
              </w:rPr>
              <w:t>𝑤</w:t>
            </w:r>
            <w:r>
              <w:rPr>
                <w:rFonts w:ascii="Cambria Math" w:eastAsia="Cambria Math" w:hAnsi="Cambria Math"/>
                <w:sz w:val="20"/>
              </w:rPr>
              <w:t>ℎ</w:t>
            </w:r>
            <w:r>
              <w:rPr>
                <w:rFonts w:ascii="Cambria Math" w:eastAsia="Cambria Math" w:hAnsi="Cambria Math"/>
                <w:sz w:val="20"/>
              </w:rPr>
              <w:t>𝑒𝑛</w:t>
            </w:r>
            <w:r>
              <w:rPr>
                <w:rFonts w:ascii="Cambria Math" w:eastAsia="Cambria Math" w:hAnsi="Cambria Math"/>
                <w:sz w:val="20"/>
              </w:rPr>
              <w:t xml:space="preserve"> </w:t>
            </w:r>
            <w:r>
              <w:rPr>
                <w:rFonts w:ascii="Cambria Math" w:eastAsia="Cambria Math" w:hAnsi="Cambria Math"/>
                <w:sz w:val="20"/>
              </w:rPr>
              <w:t>𝑆𝑉</w:t>
            </w:r>
            <w:r>
              <w:rPr>
                <w:rFonts w:ascii="Cambria Math" w:eastAsia="Cambria Math" w:hAnsi="Cambria Math"/>
                <w:sz w:val="20"/>
              </w:rPr>
              <w:t>3 &gt; 90%</w:t>
            </w:r>
          </w:p>
        </w:tc>
      </w:tr>
    </w:tbl>
    <w:p w14:paraId="13938D6A" w14:textId="77777777" w:rsidR="00D757DA" w:rsidRDefault="0033254E">
      <w:pPr>
        <w:rPr>
          <w:sz w:val="2"/>
          <w:szCs w:val="2"/>
        </w:rPr>
      </w:pPr>
      <w:r>
        <w:pict w14:anchorId="3C41D73A">
          <v:line id="_x0000_s2097" style="position:absolute;z-index:-255617024;mso-position-horizontal-relative:page;mso-position-vertical-relative:page" from="255.55pt,218.1pt" to="462pt,218.1pt" strokeweight=".59pt">
            <w10:wrap anchorx="page" anchory="page"/>
          </v:line>
        </w:pict>
      </w:r>
      <w:r>
        <w:pict w14:anchorId="44EA9BDE">
          <v:line id="_x0000_s2096" style="position:absolute;z-index:-255616000;mso-position-horizontal-relative:page;mso-position-vertical-relative:page" from="208.35pt,656.45pt" to="457.9pt,656.45pt" strokeweight=".59pt">
            <w10:wrap anchorx="page" anchory="page"/>
          </v:line>
        </w:pict>
      </w:r>
      <w:r>
        <w:pict w14:anchorId="776A7EA5">
          <v:group id="_x0000_s2087" style="position:absolute;margin-left:236.95pt;margin-top:407.3pt;width:216.75pt;height:139.85pt;z-index:-255614976;mso-position-horizontal-relative:page;mso-position-vertical-relative:page" coordorigin="4739,8146" coordsize="4335,2797">
            <v:shape id="_x0000_s2095" style="position:absolute;left:4797;top:8203;width:4220;height:2680" coordorigin="4797,8203" coordsize="4220,2680" path="m9017,8203r-71,45l8876,8292r-70,45l8735,8382r-70,44l8595,8471r-71,45l8454,8560r-70,45l8313,8650r-70,44l8173,8739r-71,44l8032,8828r-70,45l7891,8918r-70,44l7751,9007r-71,45l7610,9096r-70,45l7469,9186r-70,44l7329,9275r-71,44l7188,9364r-70,45l7047,9454r-70,44l6907,9543r-71,45l6766,9632r-70,45l6625,9722r-70,44l6485,9811r-71,44l6344,9900r-70,45l6204,9990r-71,44l6063,10079r-70,45l5922,10168r-70,45l5781,10257r-70,45l5641,10347r-71,44l5500,10436r-70,45l5360,10526r-71,44l5219,10615r-70,45l5078,10704r-70,45l4938,10794r-71,44l4797,10883e" filled="f" strokecolor="#4f81bc" strokeweight="1.5pt">
              <v:path arrowok="t"/>
            </v:shape>
            <v:shape id="_x0000_s2094" type="#_x0000_t75" style="position:absolute;left:8957;top:8145;width:116;height:116">
              <v:imagedata r:id="rId15" o:title=""/>
            </v:shape>
            <v:shape id="_x0000_s2093" type="#_x0000_t75" style="position:absolute;left:8113;top:8681;width:116;height:116">
              <v:imagedata r:id="rId14" o:title=""/>
            </v:shape>
            <v:shape id="_x0000_s2092" type="#_x0000_t75" style="position:absolute;left:7270;top:9218;width:116;height:116">
              <v:imagedata r:id="rId15" o:title=""/>
            </v:shape>
            <v:shape id="_x0000_s2091" type="#_x0000_t75" style="position:absolute;left:6425;top:9753;width:116;height:116">
              <v:imagedata r:id="rId14" o:title=""/>
            </v:shape>
            <v:shape id="_x0000_s2090" type="#_x0000_t75" style="position:absolute;left:5581;top:10289;width:116;height:116">
              <v:imagedata r:id="rId15" o:title=""/>
            </v:shape>
            <v:shape id="_x0000_s2089" type="#_x0000_t75" style="position:absolute;left:4738;top:10826;width:116;height:116">
              <v:imagedata r:id="rId14" o:title=""/>
            </v:shape>
            <v:line id="_x0000_s2088" style="position:absolute" from="4797,10883" to="9017,8203" strokecolor="#4f81bc" strokeweight="1.5pt">
              <v:stroke dashstyle="dot"/>
            </v:line>
            <w10:wrap anchorx="page" anchory="page"/>
          </v:group>
        </w:pict>
      </w:r>
      <w:r>
        <w:pict w14:anchorId="4B896877">
          <v:shape id="_x0000_s2086" type="#_x0000_t202" style="position:absolute;margin-left:192.25pt;margin-top:455pt;width:12pt;height:44.4pt;z-index:-255613952;mso-position-horizontal-relative:page;mso-position-vertical-relative:page" filled="f" stroked="f">
            <v:textbox style="layout-flow:vertical;mso-layout-flow-alt:bottom-to-top" inset="0,0,0,0">
              <w:txbxContent>
                <w:p w14:paraId="23A0B90D" w14:textId="77777777" w:rsidR="00D757DA" w:rsidRDefault="0033254E">
                  <w:pPr>
                    <w:spacing w:line="223" w:lineRule="exact"/>
                    <w:ind w:left="20"/>
                    <w:rPr>
                      <w:rFonts w:ascii="Calibri"/>
                      <w:sz w:val="20"/>
                    </w:rPr>
                  </w:pPr>
                  <w:r>
                    <w:rPr>
                      <w:rFonts w:ascii="Calibri"/>
                      <w:color w:val="585858"/>
                      <w:sz w:val="20"/>
                    </w:rPr>
                    <w:t>SP3, Euros</w:t>
                  </w:r>
                </w:p>
              </w:txbxContent>
            </v:textbox>
            <w10:wrap anchorx="page" anchory="page"/>
          </v:shape>
        </w:pict>
      </w:r>
      <w:r>
        <w:pict w14:anchorId="7179860D">
          <v:shape id="_x0000_s2085" type="#_x0000_t202" style="position:absolute;margin-left:239.5pt;margin-top:409.75pt;width:212.15pt;height:134.75pt;z-index:251671552;mso-position-horizontal-relative:page;mso-position-vertical-relative:page" filled="f" stroked="f">
            <v:textbox inset="0,0,0,0">
              <w:txbxContent>
                <w:tbl>
                  <w:tblPr>
                    <w:tblStyle w:val="TableNormal"/>
                    <w:tblW w:w="0" w:type="auto"/>
                    <w:tblInd w:w="7"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1E0" w:firstRow="1" w:lastRow="1" w:firstColumn="1" w:lastColumn="1" w:noHBand="0" w:noVBand="0"/>
                  </w:tblPr>
                  <w:tblGrid>
                    <w:gridCol w:w="843"/>
                    <w:gridCol w:w="845"/>
                    <w:gridCol w:w="845"/>
                    <w:gridCol w:w="842"/>
                    <w:gridCol w:w="845"/>
                  </w:tblGrid>
                  <w:tr w:rsidR="00D757DA" w14:paraId="43DE040F" w14:textId="77777777">
                    <w:trPr>
                      <w:trHeight w:val="431"/>
                    </w:trPr>
                    <w:tc>
                      <w:tcPr>
                        <w:tcW w:w="843" w:type="dxa"/>
                        <w:tcBorders>
                          <w:left w:val="single" w:sz="6" w:space="0" w:color="BEBEBE"/>
                        </w:tcBorders>
                      </w:tcPr>
                      <w:p w14:paraId="476BE732" w14:textId="77777777" w:rsidR="00D757DA" w:rsidRDefault="00D757DA">
                        <w:pPr>
                          <w:pStyle w:val="TableParagraph"/>
                          <w:rPr>
                            <w:rFonts w:ascii="Times New Roman"/>
                            <w:sz w:val="20"/>
                          </w:rPr>
                        </w:pPr>
                      </w:p>
                    </w:tc>
                    <w:tc>
                      <w:tcPr>
                        <w:tcW w:w="845" w:type="dxa"/>
                      </w:tcPr>
                      <w:p w14:paraId="1191458E" w14:textId="77777777" w:rsidR="00D757DA" w:rsidRDefault="00D757DA">
                        <w:pPr>
                          <w:pStyle w:val="TableParagraph"/>
                          <w:rPr>
                            <w:rFonts w:ascii="Times New Roman"/>
                            <w:sz w:val="20"/>
                          </w:rPr>
                        </w:pPr>
                      </w:p>
                    </w:tc>
                    <w:tc>
                      <w:tcPr>
                        <w:tcW w:w="845" w:type="dxa"/>
                      </w:tcPr>
                      <w:p w14:paraId="0D260AA4" w14:textId="77777777" w:rsidR="00D757DA" w:rsidRDefault="00D757DA">
                        <w:pPr>
                          <w:pStyle w:val="TableParagraph"/>
                          <w:rPr>
                            <w:rFonts w:ascii="Times New Roman"/>
                            <w:sz w:val="20"/>
                          </w:rPr>
                        </w:pPr>
                      </w:p>
                    </w:tc>
                    <w:tc>
                      <w:tcPr>
                        <w:tcW w:w="842" w:type="dxa"/>
                      </w:tcPr>
                      <w:p w14:paraId="0772F5F2" w14:textId="77777777" w:rsidR="00D757DA" w:rsidRDefault="00D757DA">
                        <w:pPr>
                          <w:pStyle w:val="TableParagraph"/>
                          <w:rPr>
                            <w:rFonts w:ascii="Times New Roman"/>
                            <w:sz w:val="20"/>
                          </w:rPr>
                        </w:pPr>
                      </w:p>
                    </w:tc>
                    <w:tc>
                      <w:tcPr>
                        <w:tcW w:w="845" w:type="dxa"/>
                      </w:tcPr>
                      <w:p w14:paraId="6051F983" w14:textId="77777777" w:rsidR="00D757DA" w:rsidRDefault="0033254E">
                        <w:pPr>
                          <w:pStyle w:val="TableParagraph"/>
                          <w:spacing w:line="102" w:lineRule="exact"/>
                          <w:ind w:left="173"/>
                          <w:rPr>
                            <w:rFonts w:ascii="Calibri"/>
                            <w:sz w:val="18"/>
                          </w:rPr>
                        </w:pPr>
                        <w:r>
                          <w:rPr>
                            <w:rFonts w:ascii="Calibri"/>
                            <w:color w:val="404040"/>
                            <w:sz w:val="18"/>
                          </w:rPr>
                          <w:t>60,000</w:t>
                        </w:r>
                      </w:p>
                    </w:tc>
                  </w:tr>
                  <w:tr w:rsidR="00D757DA" w14:paraId="283B8B75" w14:textId="77777777">
                    <w:trPr>
                      <w:trHeight w:val="431"/>
                    </w:trPr>
                    <w:tc>
                      <w:tcPr>
                        <w:tcW w:w="843" w:type="dxa"/>
                        <w:tcBorders>
                          <w:left w:val="single" w:sz="6" w:space="0" w:color="BEBEBE"/>
                        </w:tcBorders>
                      </w:tcPr>
                      <w:p w14:paraId="374E9BC0" w14:textId="77777777" w:rsidR="00D757DA" w:rsidRDefault="00D757DA">
                        <w:pPr>
                          <w:pStyle w:val="TableParagraph"/>
                          <w:rPr>
                            <w:rFonts w:ascii="Times New Roman"/>
                            <w:sz w:val="20"/>
                          </w:rPr>
                        </w:pPr>
                      </w:p>
                    </w:tc>
                    <w:tc>
                      <w:tcPr>
                        <w:tcW w:w="845" w:type="dxa"/>
                      </w:tcPr>
                      <w:p w14:paraId="5DB9E898" w14:textId="77777777" w:rsidR="00D757DA" w:rsidRDefault="00D757DA">
                        <w:pPr>
                          <w:pStyle w:val="TableParagraph"/>
                          <w:rPr>
                            <w:rFonts w:ascii="Times New Roman"/>
                            <w:sz w:val="20"/>
                          </w:rPr>
                        </w:pPr>
                      </w:p>
                    </w:tc>
                    <w:tc>
                      <w:tcPr>
                        <w:tcW w:w="845" w:type="dxa"/>
                      </w:tcPr>
                      <w:p w14:paraId="401CF2E0" w14:textId="77777777" w:rsidR="00D757DA" w:rsidRDefault="00D757DA">
                        <w:pPr>
                          <w:pStyle w:val="TableParagraph"/>
                          <w:rPr>
                            <w:rFonts w:ascii="Times New Roman"/>
                            <w:sz w:val="20"/>
                          </w:rPr>
                        </w:pPr>
                      </w:p>
                    </w:tc>
                    <w:tc>
                      <w:tcPr>
                        <w:tcW w:w="842" w:type="dxa"/>
                      </w:tcPr>
                      <w:p w14:paraId="319E452E" w14:textId="77777777" w:rsidR="00D757DA" w:rsidRDefault="0033254E">
                        <w:pPr>
                          <w:pStyle w:val="TableParagraph"/>
                          <w:spacing w:line="192" w:lineRule="exact"/>
                          <w:ind w:left="171"/>
                          <w:rPr>
                            <w:rFonts w:ascii="Calibri"/>
                            <w:sz w:val="18"/>
                          </w:rPr>
                        </w:pPr>
                        <w:r>
                          <w:rPr>
                            <w:rFonts w:ascii="Calibri"/>
                            <w:color w:val="404040"/>
                            <w:sz w:val="18"/>
                          </w:rPr>
                          <w:t>48,000</w:t>
                        </w:r>
                      </w:p>
                    </w:tc>
                    <w:tc>
                      <w:tcPr>
                        <w:tcW w:w="845" w:type="dxa"/>
                      </w:tcPr>
                      <w:p w14:paraId="1FD0CC55" w14:textId="77777777" w:rsidR="00D757DA" w:rsidRDefault="00D757DA">
                        <w:pPr>
                          <w:pStyle w:val="TableParagraph"/>
                          <w:rPr>
                            <w:rFonts w:ascii="Times New Roman"/>
                            <w:sz w:val="20"/>
                          </w:rPr>
                        </w:pPr>
                      </w:p>
                    </w:tc>
                  </w:tr>
                  <w:tr w:rsidR="00D757DA" w14:paraId="25FE8B27" w14:textId="77777777">
                    <w:trPr>
                      <w:trHeight w:val="431"/>
                    </w:trPr>
                    <w:tc>
                      <w:tcPr>
                        <w:tcW w:w="843" w:type="dxa"/>
                        <w:tcBorders>
                          <w:left w:val="single" w:sz="6" w:space="0" w:color="BEBEBE"/>
                        </w:tcBorders>
                      </w:tcPr>
                      <w:p w14:paraId="0F61D249" w14:textId="77777777" w:rsidR="00D757DA" w:rsidRDefault="00D757DA">
                        <w:pPr>
                          <w:pStyle w:val="TableParagraph"/>
                          <w:rPr>
                            <w:rFonts w:ascii="Times New Roman"/>
                            <w:sz w:val="20"/>
                          </w:rPr>
                        </w:pPr>
                      </w:p>
                    </w:tc>
                    <w:tc>
                      <w:tcPr>
                        <w:tcW w:w="845" w:type="dxa"/>
                      </w:tcPr>
                      <w:p w14:paraId="36CCF8A3" w14:textId="77777777" w:rsidR="00D757DA" w:rsidRDefault="00D757DA">
                        <w:pPr>
                          <w:pStyle w:val="TableParagraph"/>
                          <w:rPr>
                            <w:rFonts w:ascii="Times New Roman"/>
                            <w:sz w:val="20"/>
                          </w:rPr>
                        </w:pPr>
                      </w:p>
                    </w:tc>
                    <w:tc>
                      <w:tcPr>
                        <w:tcW w:w="845" w:type="dxa"/>
                      </w:tcPr>
                      <w:p w14:paraId="706B4EF1" w14:textId="77777777" w:rsidR="00D757DA" w:rsidRDefault="0033254E">
                        <w:pPr>
                          <w:pStyle w:val="TableParagraph"/>
                          <w:spacing w:before="62"/>
                          <w:ind w:left="172"/>
                          <w:rPr>
                            <w:rFonts w:ascii="Calibri"/>
                            <w:sz w:val="18"/>
                          </w:rPr>
                        </w:pPr>
                        <w:r>
                          <w:rPr>
                            <w:rFonts w:ascii="Calibri"/>
                            <w:color w:val="404040"/>
                            <w:sz w:val="18"/>
                          </w:rPr>
                          <w:t>36,000</w:t>
                        </w:r>
                      </w:p>
                    </w:tc>
                    <w:tc>
                      <w:tcPr>
                        <w:tcW w:w="842" w:type="dxa"/>
                      </w:tcPr>
                      <w:p w14:paraId="5FC06990" w14:textId="77777777" w:rsidR="00D757DA" w:rsidRDefault="00D757DA">
                        <w:pPr>
                          <w:pStyle w:val="TableParagraph"/>
                          <w:rPr>
                            <w:rFonts w:ascii="Times New Roman"/>
                            <w:sz w:val="20"/>
                          </w:rPr>
                        </w:pPr>
                      </w:p>
                    </w:tc>
                    <w:tc>
                      <w:tcPr>
                        <w:tcW w:w="845" w:type="dxa"/>
                      </w:tcPr>
                      <w:p w14:paraId="739E9672" w14:textId="77777777" w:rsidR="00D757DA" w:rsidRDefault="00D757DA">
                        <w:pPr>
                          <w:pStyle w:val="TableParagraph"/>
                          <w:rPr>
                            <w:rFonts w:ascii="Times New Roman"/>
                            <w:sz w:val="20"/>
                          </w:rPr>
                        </w:pPr>
                      </w:p>
                    </w:tc>
                  </w:tr>
                  <w:tr w:rsidR="00D757DA" w14:paraId="0F59870A" w14:textId="77777777">
                    <w:trPr>
                      <w:trHeight w:val="431"/>
                    </w:trPr>
                    <w:tc>
                      <w:tcPr>
                        <w:tcW w:w="843" w:type="dxa"/>
                        <w:tcBorders>
                          <w:left w:val="single" w:sz="6" w:space="0" w:color="BEBEBE"/>
                        </w:tcBorders>
                      </w:tcPr>
                      <w:p w14:paraId="312D14D6" w14:textId="77777777" w:rsidR="00D757DA" w:rsidRDefault="00D757DA">
                        <w:pPr>
                          <w:pStyle w:val="TableParagraph"/>
                          <w:rPr>
                            <w:rFonts w:ascii="Times New Roman"/>
                            <w:sz w:val="20"/>
                          </w:rPr>
                        </w:pPr>
                      </w:p>
                    </w:tc>
                    <w:tc>
                      <w:tcPr>
                        <w:tcW w:w="845" w:type="dxa"/>
                      </w:tcPr>
                      <w:p w14:paraId="29851C07" w14:textId="77777777" w:rsidR="00D757DA" w:rsidRDefault="0033254E">
                        <w:pPr>
                          <w:pStyle w:val="TableParagraph"/>
                          <w:spacing w:before="152"/>
                          <w:ind w:left="173"/>
                          <w:rPr>
                            <w:rFonts w:ascii="Calibri"/>
                            <w:sz w:val="18"/>
                          </w:rPr>
                        </w:pPr>
                        <w:r>
                          <w:rPr>
                            <w:rFonts w:ascii="Calibri"/>
                            <w:color w:val="404040"/>
                            <w:sz w:val="18"/>
                          </w:rPr>
                          <w:t>24,000</w:t>
                        </w:r>
                      </w:p>
                    </w:tc>
                    <w:tc>
                      <w:tcPr>
                        <w:tcW w:w="845" w:type="dxa"/>
                      </w:tcPr>
                      <w:p w14:paraId="7290FA8D" w14:textId="77777777" w:rsidR="00D757DA" w:rsidRDefault="00D757DA">
                        <w:pPr>
                          <w:pStyle w:val="TableParagraph"/>
                          <w:rPr>
                            <w:rFonts w:ascii="Times New Roman"/>
                            <w:sz w:val="20"/>
                          </w:rPr>
                        </w:pPr>
                      </w:p>
                    </w:tc>
                    <w:tc>
                      <w:tcPr>
                        <w:tcW w:w="842" w:type="dxa"/>
                      </w:tcPr>
                      <w:p w14:paraId="3EE8F466" w14:textId="77777777" w:rsidR="00D757DA" w:rsidRDefault="00D757DA">
                        <w:pPr>
                          <w:pStyle w:val="TableParagraph"/>
                          <w:rPr>
                            <w:rFonts w:ascii="Times New Roman"/>
                            <w:sz w:val="20"/>
                          </w:rPr>
                        </w:pPr>
                      </w:p>
                    </w:tc>
                    <w:tc>
                      <w:tcPr>
                        <w:tcW w:w="845" w:type="dxa"/>
                      </w:tcPr>
                      <w:p w14:paraId="09F4CC98" w14:textId="77777777" w:rsidR="00D757DA" w:rsidRDefault="00D757DA">
                        <w:pPr>
                          <w:pStyle w:val="TableParagraph"/>
                          <w:rPr>
                            <w:rFonts w:ascii="Times New Roman"/>
                            <w:sz w:val="20"/>
                          </w:rPr>
                        </w:pPr>
                      </w:p>
                    </w:tc>
                  </w:tr>
                  <w:tr w:rsidR="00D757DA" w14:paraId="318B1EDD" w14:textId="77777777">
                    <w:trPr>
                      <w:trHeight w:val="431"/>
                    </w:trPr>
                    <w:tc>
                      <w:tcPr>
                        <w:tcW w:w="843" w:type="dxa"/>
                        <w:tcBorders>
                          <w:left w:val="single" w:sz="6" w:space="0" w:color="BEBEBE"/>
                        </w:tcBorders>
                      </w:tcPr>
                      <w:p w14:paraId="789E375D" w14:textId="77777777" w:rsidR="00D757DA" w:rsidRDefault="00D757DA">
                        <w:pPr>
                          <w:pStyle w:val="TableParagraph"/>
                          <w:spacing w:before="11"/>
                          <w:rPr>
                            <w:sz w:val="20"/>
                          </w:rPr>
                        </w:pPr>
                      </w:p>
                      <w:p w14:paraId="68BED57B" w14:textId="77777777" w:rsidR="00D757DA" w:rsidRDefault="0033254E">
                        <w:pPr>
                          <w:pStyle w:val="TableParagraph"/>
                          <w:spacing w:line="170" w:lineRule="exact"/>
                          <w:ind w:left="172"/>
                          <w:rPr>
                            <w:rFonts w:ascii="Calibri"/>
                            <w:sz w:val="18"/>
                          </w:rPr>
                        </w:pPr>
                        <w:r>
                          <w:rPr>
                            <w:rFonts w:ascii="Calibri"/>
                            <w:color w:val="404040"/>
                            <w:sz w:val="18"/>
                          </w:rPr>
                          <w:t>12,000</w:t>
                        </w:r>
                      </w:p>
                    </w:tc>
                    <w:tc>
                      <w:tcPr>
                        <w:tcW w:w="845" w:type="dxa"/>
                      </w:tcPr>
                      <w:p w14:paraId="7C10C2B2" w14:textId="77777777" w:rsidR="00D757DA" w:rsidRDefault="00D757DA">
                        <w:pPr>
                          <w:pStyle w:val="TableParagraph"/>
                          <w:rPr>
                            <w:rFonts w:ascii="Times New Roman"/>
                            <w:sz w:val="20"/>
                          </w:rPr>
                        </w:pPr>
                      </w:p>
                    </w:tc>
                    <w:tc>
                      <w:tcPr>
                        <w:tcW w:w="845" w:type="dxa"/>
                      </w:tcPr>
                      <w:p w14:paraId="2A0A1FE6" w14:textId="77777777" w:rsidR="00D757DA" w:rsidRDefault="00D757DA">
                        <w:pPr>
                          <w:pStyle w:val="TableParagraph"/>
                          <w:rPr>
                            <w:rFonts w:ascii="Times New Roman"/>
                            <w:sz w:val="20"/>
                          </w:rPr>
                        </w:pPr>
                      </w:p>
                    </w:tc>
                    <w:tc>
                      <w:tcPr>
                        <w:tcW w:w="842" w:type="dxa"/>
                      </w:tcPr>
                      <w:p w14:paraId="6176907F" w14:textId="77777777" w:rsidR="00D757DA" w:rsidRDefault="00D757DA">
                        <w:pPr>
                          <w:pStyle w:val="TableParagraph"/>
                          <w:rPr>
                            <w:rFonts w:ascii="Times New Roman"/>
                            <w:sz w:val="20"/>
                          </w:rPr>
                        </w:pPr>
                      </w:p>
                    </w:tc>
                    <w:tc>
                      <w:tcPr>
                        <w:tcW w:w="845" w:type="dxa"/>
                      </w:tcPr>
                      <w:p w14:paraId="1C923F17" w14:textId="77777777" w:rsidR="00D757DA" w:rsidRDefault="00D757DA">
                        <w:pPr>
                          <w:pStyle w:val="TableParagraph"/>
                          <w:rPr>
                            <w:rFonts w:ascii="Times New Roman"/>
                            <w:sz w:val="20"/>
                          </w:rPr>
                        </w:pPr>
                      </w:p>
                    </w:tc>
                  </w:tr>
                  <w:tr w:rsidR="00D757DA" w14:paraId="26148254" w14:textId="77777777">
                    <w:trPr>
                      <w:trHeight w:val="432"/>
                    </w:trPr>
                    <w:tc>
                      <w:tcPr>
                        <w:tcW w:w="843" w:type="dxa"/>
                        <w:tcBorders>
                          <w:left w:val="single" w:sz="6" w:space="0" w:color="BEBEBE"/>
                          <w:bottom w:val="single" w:sz="6" w:space="0" w:color="BEBEBE"/>
                        </w:tcBorders>
                      </w:tcPr>
                      <w:p w14:paraId="412BBF07" w14:textId="77777777" w:rsidR="00D757DA" w:rsidRDefault="00D757DA">
                        <w:pPr>
                          <w:pStyle w:val="TableParagraph"/>
                          <w:rPr>
                            <w:rFonts w:ascii="Times New Roman"/>
                            <w:sz w:val="20"/>
                          </w:rPr>
                        </w:pPr>
                      </w:p>
                    </w:tc>
                    <w:tc>
                      <w:tcPr>
                        <w:tcW w:w="845" w:type="dxa"/>
                        <w:tcBorders>
                          <w:bottom w:val="single" w:sz="6" w:space="0" w:color="BEBEBE"/>
                        </w:tcBorders>
                      </w:tcPr>
                      <w:p w14:paraId="464C58F8" w14:textId="77777777" w:rsidR="00D757DA" w:rsidRDefault="00D757DA">
                        <w:pPr>
                          <w:pStyle w:val="TableParagraph"/>
                          <w:rPr>
                            <w:rFonts w:ascii="Times New Roman"/>
                            <w:sz w:val="20"/>
                          </w:rPr>
                        </w:pPr>
                      </w:p>
                    </w:tc>
                    <w:tc>
                      <w:tcPr>
                        <w:tcW w:w="845" w:type="dxa"/>
                        <w:tcBorders>
                          <w:bottom w:val="single" w:sz="6" w:space="0" w:color="BEBEBE"/>
                        </w:tcBorders>
                      </w:tcPr>
                      <w:p w14:paraId="79FDEB5F" w14:textId="77777777" w:rsidR="00D757DA" w:rsidRDefault="00D757DA">
                        <w:pPr>
                          <w:pStyle w:val="TableParagraph"/>
                          <w:rPr>
                            <w:rFonts w:ascii="Times New Roman"/>
                            <w:sz w:val="20"/>
                          </w:rPr>
                        </w:pPr>
                      </w:p>
                    </w:tc>
                    <w:tc>
                      <w:tcPr>
                        <w:tcW w:w="842" w:type="dxa"/>
                        <w:tcBorders>
                          <w:bottom w:val="single" w:sz="6" w:space="0" w:color="BEBEBE"/>
                        </w:tcBorders>
                      </w:tcPr>
                      <w:p w14:paraId="1D3B8E14" w14:textId="77777777" w:rsidR="00D757DA" w:rsidRDefault="00D757DA">
                        <w:pPr>
                          <w:pStyle w:val="TableParagraph"/>
                          <w:rPr>
                            <w:rFonts w:ascii="Times New Roman"/>
                            <w:sz w:val="20"/>
                          </w:rPr>
                        </w:pPr>
                      </w:p>
                    </w:tc>
                    <w:tc>
                      <w:tcPr>
                        <w:tcW w:w="845" w:type="dxa"/>
                        <w:tcBorders>
                          <w:bottom w:val="single" w:sz="6" w:space="0" w:color="BEBEBE"/>
                        </w:tcBorders>
                      </w:tcPr>
                      <w:p w14:paraId="10C664C5" w14:textId="77777777" w:rsidR="00D757DA" w:rsidRDefault="00D757DA">
                        <w:pPr>
                          <w:pStyle w:val="TableParagraph"/>
                          <w:rPr>
                            <w:rFonts w:ascii="Times New Roman"/>
                            <w:sz w:val="20"/>
                          </w:rPr>
                        </w:pPr>
                      </w:p>
                    </w:tc>
                  </w:tr>
                </w:tbl>
                <w:p w14:paraId="7BD8A329" w14:textId="77777777" w:rsidR="00D757DA" w:rsidRDefault="00D757DA">
                  <w:pPr>
                    <w:pStyle w:val="Zkladntext"/>
                  </w:pPr>
                </w:p>
              </w:txbxContent>
            </v:textbox>
            <w10:wrap anchorx="page" anchory="page"/>
          </v:shape>
        </w:pict>
      </w:r>
    </w:p>
    <w:p w14:paraId="1EA4DDAA" w14:textId="77777777" w:rsidR="00D757DA" w:rsidRDefault="00D757DA">
      <w:pPr>
        <w:rPr>
          <w:sz w:val="2"/>
          <w:szCs w:val="2"/>
        </w:rPr>
        <w:sectPr w:rsidR="00D757DA">
          <w:pgSz w:w="11910" w:h="16840"/>
          <w:pgMar w:top="1420" w:right="0" w:bottom="1080" w:left="1320" w:header="0" w:footer="881" w:gutter="0"/>
          <w:cols w:space="708"/>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07"/>
        <w:gridCol w:w="1700"/>
        <w:gridCol w:w="3793"/>
        <w:gridCol w:w="987"/>
        <w:gridCol w:w="574"/>
      </w:tblGrid>
      <w:tr w:rsidR="00D757DA" w14:paraId="5E9AD170" w14:textId="77777777">
        <w:trPr>
          <w:trHeight w:val="873"/>
        </w:trPr>
        <w:tc>
          <w:tcPr>
            <w:tcW w:w="1858" w:type="dxa"/>
          </w:tcPr>
          <w:p w14:paraId="35D875E6" w14:textId="77777777" w:rsidR="00D757DA" w:rsidRDefault="0033254E">
            <w:pPr>
              <w:pStyle w:val="TableParagraph"/>
              <w:spacing w:before="146" w:line="276" w:lineRule="auto"/>
              <w:ind w:left="335" w:right="307" w:firstLine="139"/>
              <w:rPr>
                <w:b/>
              </w:rPr>
            </w:pPr>
            <w:r>
              <w:rPr>
                <w:b/>
              </w:rPr>
              <w:lastRenderedPageBreak/>
              <w:t>Services description</w:t>
            </w:r>
          </w:p>
        </w:tc>
        <w:tc>
          <w:tcPr>
            <w:tcW w:w="7161" w:type="dxa"/>
            <w:gridSpan w:val="5"/>
          </w:tcPr>
          <w:p w14:paraId="4C2FBE0D" w14:textId="77777777" w:rsidR="00D757DA" w:rsidRDefault="0033254E">
            <w:pPr>
              <w:pStyle w:val="TableParagraph"/>
              <w:spacing w:before="146" w:line="276" w:lineRule="auto"/>
              <w:ind w:left="2349" w:right="300" w:hanging="2024"/>
              <w:rPr>
                <w:b/>
              </w:rPr>
            </w:pPr>
            <w:r>
              <w:rPr>
                <w:b/>
              </w:rPr>
              <w:t>Agreed service value levels (averages over the service period) and service parameters</w:t>
            </w:r>
          </w:p>
        </w:tc>
      </w:tr>
      <w:tr w:rsidR="00D757DA" w14:paraId="5E0B4777" w14:textId="77777777">
        <w:trPr>
          <w:trHeight w:val="578"/>
        </w:trPr>
        <w:tc>
          <w:tcPr>
            <w:tcW w:w="1858" w:type="dxa"/>
            <w:vMerge w:val="restart"/>
          </w:tcPr>
          <w:p w14:paraId="746191EC" w14:textId="77777777" w:rsidR="00D757DA" w:rsidRDefault="00D757DA">
            <w:pPr>
              <w:pStyle w:val="TableParagraph"/>
              <w:rPr>
                <w:rFonts w:ascii="Times New Roman"/>
                <w:sz w:val="20"/>
              </w:rPr>
            </w:pPr>
          </w:p>
        </w:tc>
        <w:tc>
          <w:tcPr>
            <w:tcW w:w="7161" w:type="dxa"/>
            <w:gridSpan w:val="5"/>
            <w:tcBorders>
              <w:bottom w:val="nil"/>
            </w:tcBorders>
          </w:tcPr>
          <w:p w14:paraId="5E27FB93" w14:textId="77777777" w:rsidR="00D757DA" w:rsidRDefault="00D757DA">
            <w:pPr>
              <w:pStyle w:val="TableParagraph"/>
              <w:spacing w:before="4"/>
              <w:rPr>
                <w:sz w:val="30"/>
              </w:rPr>
            </w:pPr>
          </w:p>
          <w:p w14:paraId="3EEB2585" w14:textId="77777777" w:rsidR="00D757DA" w:rsidRDefault="0033254E">
            <w:pPr>
              <w:pStyle w:val="TableParagraph"/>
              <w:spacing w:before="1" w:line="209" w:lineRule="exact"/>
              <w:ind w:left="278"/>
              <w:rPr>
                <w:sz w:val="20"/>
              </w:rPr>
            </w:pPr>
            <w:r>
              <w:rPr>
                <w:sz w:val="20"/>
              </w:rPr>
              <w:t>The SP4 parameter depends on the Central Index update ratio (SV3) – if</w:t>
            </w:r>
          </w:p>
        </w:tc>
      </w:tr>
      <w:tr w:rsidR="00D757DA" w14:paraId="62F4701C" w14:textId="77777777">
        <w:trPr>
          <w:trHeight w:val="220"/>
        </w:trPr>
        <w:tc>
          <w:tcPr>
            <w:tcW w:w="1858" w:type="dxa"/>
            <w:vMerge/>
            <w:tcBorders>
              <w:top w:val="nil"/>
            </w:tcBorders>
          </w:tcPr>
          <w:p w14:paraId="71C18C80" w14:textId="77777777" w:rsidR="00D757DA" w:rsidRDefault="00D757DA">
            <w:pPr>
              <w:rPr>
                <w:sz w:val="2"/>
                <w:szCs w:val="2"/>
              </w:rPr>
            </w:pPr>
          </w:p>
        </w:tc>
        <w:tc>
          <w:tcPr>
            <w:tcW w:w="7161" w:type="dxa"/>
            <w:gridSpan w:val="5"/>
            <w:tcBorders>
              <w:top w:val="nil"/>
              <w:bottom w:val="nil"/>
            </w:tcBorders>
          </w:tcPr>
          <w:p w14:paraId="2937F666" w14:textId="77777777" w:rsidR="00D757DA" w:rsidRDefault="0033254E">
            <w:pPr>
              <w:pStyle w:val="TableParagraph"/>
              <w:spacing w:line="200" w:lineRule="exact"/>
              <w:ind w:left="278"/>
              <w:rPr>
                <w:sz w:val="20"/>
              </w:rPr>
            </w:pPr>
            <w:r>
              <w:rPr>
                <w:sz w:val="20"/>
              </w:rPr>
              <w:t>the SV3 value is less than 90%, then the IP Office would not get any</w:t>
            </w:r>
          </w:p>
        </w:tc>
      </w:tr>
      <w:tr w:rsidR="00D757DA" w14:paraId="5F9F7AA7" w14:textId="77777777">
        <w:trPr>
          <w:trHeight w:val="454"/>
        </w:trPr>
        <w:tc>
          <w:tcPr>
            <w:tcW w:w="1858" w:type="dxa"/>
            <w:vMerge/>
            <w:tcBorders>
              <w:top w:val="nil"/>
            </w:tcBorders>
          </w:tcPr>
          <w:p w14:paraId="567DBFD5" w14:textId="77777777" w:rsidR="00D757DA" w:rsidRDefault="00D757DA">
            <w:pPr>
              <w:rPr>
                <w:sz w:val="2"/>
                <w:szCs w:val="2"/>
              </w:rPr>
            </w:pPr>
          </w:p>
        </w:tc>
        <w:tc>
          <w:tcPr>
            <w:tcW w:w="7161" w:type="dxa"/>
            <w:gridSpan w:val="5"/>
            <w:tcBorders>
              <w:top w:val="nil"/>
              <w:bottom w:val="nil"/>
            </w:tcBorders>
          </w:tcPr>
          <w:p w14:paraId="31352A2B" w14:textId="77777777" w:rsidR="00D757DA" w:rsidRDefault="0033254E">
            <w:pPr>
              <w:pStyle w:val="TableParagraph"/>
              <w:spacing w:line="222" w:lineRule="exact"/>
              <w:ind w:left="278"/>
              <w:rPr>
                <w:sz w:val="20"/>
              </w:rPr>
            </w:pPr>
            <w:r>
              <w:rPr>
                <w:sz w:val="20"/>
              </w:rPr>
              <w:t>premium for the data quality.</w:t>
            </w:r>
          </w:p>
        </w:tc>
      </w:tr>
      <w:tr w:rsidR="00D757DA" w14:paraId="5D8E1C7D" w14:textId="77777777">
        <w:trPr>
          <w:trHeight w:val="705"/>
        </w:trPr>
        <w:tc>
          <w:tcPr>
            <w:tcW w:w="1858" w:type="dxa"/>
            <w:vMerge/>
            <w:tcBorders>
              <w:top w:val="nil"/>
            </w:tcBorders>
          </w:tcPr>
          <w:p w14:paraId="04313A01" w14:textId="77777777" w:rsidR="00D757DA" w:rsidRDefault="00D757DA">
            <w:pPr>
              <w:rPr>
                <w:sz w:val="2"/>
                <w:szCs w:val="2"/>
              </w:rPr>
            </w:pPr>
          </w:p>
        </w:tc>
        <w:tc>
          <w:tcPr>
            <w:tcW w:w="7161" w:type="dxa"/>
            <w:gridSpan w:val="5"/>
            <w:tcBorders>
              <w:top w:val="nil"/>
              <w:bottom w:val="nil"/>
            </w:tcBorders>
          </w:tcPr>
          <w:p w14:paraId="6F8AE9F7" w14:textId="77777777" w:rsidR="00D757DA" w:rsidRDefault="00D757DA">
            <w:pPr>
              <w:pStyle w:val="TableParagraph"/>
              <w:spacing w:before="7"/>
              <w:rPr>
                <w:sz w:val="19"/>
              </w:rPr>
            </w:pPr>
          </w:p>
          <w:p w14:paraId="3F3E8C03" w14:textId="77777777" w:rsidR="00D757DA" w:rsidRDefault="0033254E">
            <w:pPr>
              <w:pStyle w:val="TableParagraph"/>
              <w:ind w:left="278"/>
              <w:rPr>
                <w:sz w:val="20"/>
              </w:rPr>
            </w:pPr>
            <w:r>
              <w:rPr>
                <w:sz w:val="20"/>
              </w:rPr>
              <w:t>Then according to the calculation,</w:t>
            </w:r>
          </w:p>
        </w:tc>
      </w:tr>
      <w:tr w:rsidR="00D757DA" w14:paraId="4C4FD3E6" w14:textId="77777777">
        <w:trPr>
          <w:trHeight w:val="567"/>
        </w:trPr>
        <w:tc>
          <w:tcPr>
            <w:tcW w:w="1858" w:type="dxa"/>
            <w:vMerge/>
            <w:tcBorders>
              <w:top w:val="nil"/>
            </w:tcBorders>
          </w:tcPr>
          <w:p w14:paraId="2FE7D99A" w14:textId="77777777" w:rsidR="00D757DA" w:rsidRDefault="00D757DA">
            <w:pPr>
              <w:rPr>
                <w:sz w:val="2"/>
                <w:szCs w:val="2"/>
              </w:rPr>
            </w:pPr>
          </w:p>
        </w:tc>
        <w:tc>
          <w:tcPr>
            <w:tcW w:w="7161" w:type="dxa"/>
            <w:gridSpan w:val="5"/>
            <w:tcBorders>
              <w:top w:val="nil"/>
              <w:bottom w:val="nil"/>
            </w:tcBorders>
          </w:tcPr>
          <w:p w14:paraId="6C93BBE3" w14:textId="77777777" w:rsidR="00D757DA" w:rsidRDefault="00D757DA">
            <w:pPr>
              <w:pStyle w:val="TableParagraph"/>
              <w:spacing w:before="8"/>
              <w:rPr>
                <w:sz w:val="18"/>
              </w:rPr>
            </w:pPr>
          </w:p>
          <w:p w14:paraId="7A9BF696" w14:textId="77777777" w:rsidR="00D757DA" w:rsidRDefault="0033254E">
            <w:pPr>
              <w:pStyle w:val="TableParagraph"/>
              <w:ind w:left="278"/>
              <w:rPr>
                <w:rFonts w:ascii="Cambria Math" w:hAnsi="Cambria Math"/>
                <w:sz w:val="20"/>
              </w:rPr>
            </w:pPr>
            <w:r>
              <w:rPr>
                <w:rFonts w:ascii="Cambria Math" w:hAnsi="Cambria Math"/>
                <w:sz w:val="20"/>
              </w:rPr>
              <w:t>SP4max = 10 000 € when SV4 = 100% and SV3 &gt; 90%</w:t>
            </w:r>
          </w:p>
        </w:tc>
      </w:tr>
      <w:tr w:rsidR="00D757DA" w14:paraId="42EFE3FE" w14:textId="77777777">
        <w:trPr>
          <w:trHeight w:val="473"/>
        </w:trPr>
        <w:tc>
          <w:tcPr>
            <w:tcW w:w="1858" w:type="dxa"/>
            <w:vMerge/>
            <w:tcBorders>
              <w:top w:val="nil"/>
            </w:tcBorders>
          </w:tcPr>
          <w:p w14:paraId="2D80FEB0" w14:textId="77777777" w:rsidR="00D757DA" w:rsidRDefault="00D757DA">
            <w:pPr>
              <w:rPr>
                <w:sz w:val="2"/>
                <w:szCs w:val="2"/>
              </w:rPr>
            </w:pPr>
          </w:p>
        </w:tc>
        <w:tc>
          <w:tcPr>
            <w:tcW w:w="7161" w:type="dxa"/>
            <w:gridSpan w:val="5"/>
            <w:tcBorders>
              <w:top w:val="nil"/>
              <w:bottom w:val="nil"/>
            </w:tcBorders>
          </w:tcPr>
          <w:p w14:paraId="48B78180" w14:textId="77777777" w:rsidR="00D757DA" w:rsidRDefault="0033254E">
            <w:pPr>
              <w:pStyle w:val="TableParagraph"/>
              <w:spacing w:before="111"/>
              <w:ind w:left="278"/>
              <w:rPr>
                <w:sz w:val="20"/>
              </w:rPr>
            </w:pPr>
            <w:r>
              <w:rPr>
                <w:sz w:val="20"/>
              </w:rPr>
              <w:t>and</w:t>
            </w:r>
          </w:p>
        </w:tc>
      </w:tr>
      <w:tr w:rsidR="00D757DA" w14:paraId="6F600AA6" w14:textId="77777777">
        <w:trPr>
          <w:trHeight w:val="794"/>
        </w:trPr>
        <w:tc>
          <w:tcPr>
            <w:tcW w:w="1858" w:type="dxa"/>
            <w:vMerge/>
            <w:tcBorders>
              <w:top w:val="nil"/>
            </w:tcBorders>
          </w:tcPr>
          <w:p w14:paraId="080A4E9C" w14:textId="77777777" w:rsidR="00D757DA" w:rsidRDefault="00D757DA">
            <w:pPr>
              <w:rPr>
                <w:sz w:val="2"/>
                <w:szCs w:val="2"/>
              </w:rPr>
            </w:pPr>
          </w:p>
        </w:tc>
        <w:tc>
          <w:tcPr>
            <w:tcW w:w="7161" w:type="dxa"/>
            <w:gridSpan w:val="5"/>
            <w:tcBorders>
              <w:top w:val="nil"/>
              <w:bottom w:val="nil"/>
            </w:tcBorders>
          </w:tcPr>
          <w:p w14:paraId="0E766727" w14:textId="77777777" w:rsidR="00D757DA" w:rsidRDefault="0033254E">
            <w:pPr>
              <w:pStyle w:val="TableParagraph"/>
              <w:spacing w:before="98"/>
              <w:ind w:left="278"/>
              <w:rPr>
                <w:rFonts w:ascii="Cambria Math" w:hAnsi="Cambria Math"/>
                <w:sz w:val="20"/>
              </w:rPr>
            </w:pPr>
            <w:r>
              <w:rPr>
                <w:rFonts w:ascii="Cambria Math" w:hAnsi="Cambria Math"/>
                <w:sz w:val="20"/>
              </w:rPr>
              <w:t>SP4min = 0 € when SV4 &lt;= 90% or SV3 &lt;= 90%</w:t>
            </w:r>
          </w:p>
        </w:tc>
      </w:tr>
      <w:tr w:rsidR="00D757DA" w14:paraId="59725B35" w14:textId="77777777">
        <w:trPr>
          <w:trHeight w:val="443"/>
        </w:trPr>
        <w:tc>
          <w:tcPr>
            <w:tcW w:w="1858" w:type="dxa"/>
            <w:vMerge/>
            <w:tcBorders>
              <w:top w:val="nil"/>
            </w:tcBorders>
          </w:tcPr>
          <w:p w14:paraId="52856715" w14:textId="77777777" w:rsidR="00D757DA" w:rsidRDefault="00D757DA">
            <w:pPr>
              <w:rPr>
                <w:sz w:val="2"/>
                <w:szCs w:val="2"/>
              </w:rPr>
            </w:pPr>
          </w:p>
        </w:tc>
        <w:tc>
          <w:tcPr>
            <w:tcW w:w="107" w:type="dxa"/>
            <w:vMerge w:val="restart"/>
            <w:tcBorders>
              <w:top w:val="nil"/>
              <w:right w:val="single" w:sz="6" w:space="0" w:color="D9D9D9"/>
            </w:tcBorders>
          </w:tcPr>
          <w:p w14:paraId="62D0764E" w14:textId="77777777" w:rsidR="00D757DA" w:rsidRDefault="00D757DA">
            <w:pPr>
              <w:pStyle w:val="TableParagraph"/>
              <w:rPr>
                <w:rFonts w:ascii="Times New Roman"/>
                <w:sz w:val="20"/>
              </w:rPr>
            </w:pPr>
          </w:p>
        </w:tc>
        <w:tc>
          <w:tcPr>
            <w:tcW w:w="1700" w:type="dxa"/>
            <w:tcBorders>
              <w:top w:val="single" w:sz="6" w:space="0" w:color="D9D9D9"/>
              <w:left w:val="single" w:sz="6" w:space="0" w:color="D9D9D9"/>
              <w:bottom w:val="nil"/>
              <w:right w:val="nil"/>
            </w:tcBorders>
          </w:tcPr>
          <w:p w14:paraId="72577AD4" w14:textId="77777777" w:rsidR="00D757DA" w:rsidRDefault="0033254E">
            <w:pPr>
              <w:pStyle w:val="TableParagraph"/>
              <w:spacing w:before="92"/>
              <w:ind w:left="551"/>
              <w:rPr>
                <w:rFonts w:ascii="Calibri"/>
                <w:sz w:val="18"/>
              </w:rPr>
            </w:pPr>
            <w:r>
              <w:rPr>
                <w:rFonts w:ascii="Calibri"/>
                <w:color w:val="585858"/>
                <w:sz w:val="18"/>
              </w:rPr>
              <w:t>10,000</w:t>
            </w:r>
          </w:p>
        </w:tc>
        <w:tc>
          <w:tcPr>
            <w:tcW w:w="3793" w:type="dxa"/>
            <w:tcBorders>
              <w:top w:val="single" w:sz="6" w:space="0" w:color="D9D9D9"/>
              <w:left w:val="nil"/>
              <w:bottom w:val="nil"/>
              <w:right w:val="nil"/>
            </w:tcBorders>
          </w:tcPr>
          <w:p w14:paraId="211017D2" w14:textId="77777777" w:rsidR="00D757DA" w:rsidRDefault="00D757DA">
            <w:pPr>
              <w:pStyle w:val="TableParagraph"/>
              <w:rPr>
                <w:rFonts w:ascii="Times New Roman"/>
                <w:sz w:val="20"/>
              </w:rPr>
            </w:pPr>
          </w:p>
        </w:tc>
        <w:tc>
          <w:tcPr>
            <w:tcW w:w="987" w:type="dxa"/>
            <w:tcBorders>
              <w:top w:val="single" w:sz="6" w:space="0" w:color="D9D9D9"/>
              <w:left w:val="nil"/>
              <w:bottom w:val="nil"/>
              <w:right w:val="single" w:sz="6" w:space="0" w:color="D9D9D9"/>
            </w:tcBorders>
          </w:tcPr>
          <w:p w14:paraId="016E900F" w14:textId="77777777" w:rsidR="00D757DA" w:rsidRDefault="0033254E">
            <w:pPr>
              <w:pStyle w:val="TableParagraph"/>
              <w:spacing w:before="22"/>
              <w:ind w:left="211" w:right="186"/>
              <w:jc w:val="center"/>
              <w:rPr>
                <w:rFonts w:ascii="Calibri"/>
                <w:sz w:val="18"/>
              </w:rPr>
            </w:pPr>
            <w:r>
              <w:rPr>
                <w:rFonts w:ascii="Calibri"/>
                <w:color w:val="404040"/>
                <w:sz w:val="18"/>
              </w:rPr>
              <w:t>10,000</w:t>
            </w:r>
          </w:p>
        </w:tc>
        <w:tc>
          <w:tcPr>
            <w:tcW w:w="574" w:type="dxa"/>
            <w:vMerge w:val="restart"/>
            <w:tcBorders>
              <w:top w:val="nil"/>
              <w:left w:val="single" w:sz="6" w:space="0" w:color="D9D9D9"/>
            </w:tcBorders>
          </w:tcPr>
          <w:p w14:paraId="09994ED8" w14:textId="77777777" w:rsidR="00D757DA" w:rsidRDefault="00D757DA">
            <w:pPr>
              <w:pStyle w:val="TableParagraph"/>
              <w:rPr>
                <w:rFonts w:ascii="Times New Roman"/>
                <w:sz w:val="20"/>
              </w:rPr>
            </w:pPr>
          </w:p>
        </w:tc>
      </w:tr>
      <w:tr w:rsidR="00D757DA" w14:paraId="6CC8D35E" w14:textId="77777777">
        <w:trPr>
          <w:trHeight w:val="554"/>
        </w:trPr>
        <w:tc>
          <w:tcPr>
            <w:tcW w:w="1858" w:type="dxa"/>
            <w:vMerge/>
            <w:tcBorders>
              <w:top w:val="nil"/>
            </w:tcBorders>
          </w:tcPr>
          <w:p w14:paraId="1321E213" w14:textId="77777777" w:rsidR="00D757DA" w:rsidRDefault="00D757DA">
            <w:pPr>
              <w:rPr>
                <w:sz w:val="2"/>
                <w:szCs w:val="2"/>
              </w:rPr>
            </w:pPr>
          </w:p>
        </w:tc>
        <w:tc>
          <w:tcPr>
            <w:tcW w:w="107" w:type="dxa"/>
            <w:vMerge/>
            <w:tcBorders>
              <w:top w:val="nil"/>
              <w:right w:val="single" w:sz="6" w:space="0" w:color="D9D9D9"/>
            </w:tcBorders>
          </w:tcPr>
          <w:p w14:paraId="15EABE95" w14:textId="77777777" w:rsidR="00D757DA" w:rsidRDefault="00D757DA">
            <w:pPr>
              <w:rPr>
                <w:sz w:val="2"/>
                <w:szCs w:val="2"/>
              </w:rPr>
            </w:pPr>
          </w:p>
        </w:tc>
        <w:tc>
          <w:tcPr>
            <w:tcW w:w="1700" w:type="dxa"/>
            <w:tcBorders>
              <w:top w:val="nil"/>
              <w:left w:val="single" w:sz="6" w:space="0" w:color="D9D9D9"/>
              <w:bottom w:val="nil"/>
              <w:right w:val="nil"/>
            </w:tcBorders>
          </w:tcPr>
          <w:p w14:paraId="699E1F23" w14:textId="77777777" w:rsidR="00D757DA" w:rsidRDefault="00D757DA">
            <w:pPr>
              <w:pStyle w:val="TableParagraph"/>
              <w:spacing w:before="7"/>
              <w:rPr>
                <w:sz w:val="14"/>
              </w:rPr>
            </w:pPr>
          </w:p>
          <w:p w14:paraId="721D66B7" w14:textId="77777777" w:rsidR="00D757DA" w:rsidRDefault="0033254E">
            <w:pPr>
              <w:pStyle w:val="TableParagraph"/>
              <w:ind w:left="622" w:right="619"/>
              <w:jc w:val="center"/>
              <w:rPr>
                <w:rFonts w:ascii="Calibri"/>
                <w:sz w:val="18"/>
              </w:rPr>
            </w:pPr>
            <w:r>
              <w:rPr>
                <w:rFonts w:ascii="Calibri"/>
                <w:color w:val="585858"/>
                <w:sz w:val="18"/>
              </w:rPr>
              <w:t>8,000</w:t>
            </w:r>
          </w:p>
        </w:tc>
        <w:tc>
          <w:tcPr>
            <w:tcW w:w="3793" w:type="dxa"/>
            <w:tcBorders>
              <w:top w:val="nil"/>
              <w:left w:val="nil"/>
              <w:bottom w:val="nil"/>
              <w:right w:val="nil"/>
            </w:tcBorders>
          </w:tcPr>
          <w:p w14:paraId="6CFA74FC" w14:textId="77777777" w:rsidR="00D757DA" w:rsidRDefault="00D757DA">
            <w:pPr>
              <w:pStyle w:val="TableParagraph"/>
              <w:rPr>
                <w:rFonts w:ascii="Times New Roman"/>
                <w:sz w:val="20"/>
              </w:rPr>
            </w:pPr>
          </w:p>
        </w:tc>
        <w:tc>
          <w:tcPr>
            <w:tcW w:w="987" w:type="dxa"/>
            <w:tcBorders>
              <w:top w:val="nil"/>
              <w:left w:val="nil"/>
              <w:bottom w:val="nil"/>
              <w:right w:val="single" w:sz="6" w:space="0" w:color="D9D9D9"/>
            </w:tcBorders>
          </w:tcPr>
          <w:p w14:paraId="5F66E726" w14:textId="77777777" w:rsidR="00D757DA" w:rsidRDefault="00D757DA">
            <w:pPr>
              <w:pStyle w:val="TableParagraph"/>
              <w:rPr>
                <w:rFonts w:ascii="Times New Roman"/>
                <w:sz w:val="20"/>
              </w:rPr>
            </w:pPr>
          </w:p>
        </w:tc>
        <w:tc>
          <w:tcPr>
            <w:tcW w:w="574" w:type="dxa"/>
            <w:vMerge/>
            <w:tcBorders>
              <w:top w:val="nil"/>
              <w:left w:val="single" w:sz="6" w:space="0" w:color="D9D9D9"/>
            </w:tcBorders>
          </w:tcPr>
          <w:p w14:paraId="09BE8389" w14:textId="77777777" w:rsidR="00D757DA" w:rsidRDefault="00D757DA">
            <w:pPr>
              <w:rPr>
                <w:sz w:val="2"/>
                <w:szCs w:val="2"/>
              </w:rPr>
            </w:pPr>
          </w:p>
        </w:tc>
      </w:tr>
      <w:tr w:rsidR="00D757DA" w14:paraId="2ABD19B3" w14:textId="77777777">
        <w:trPr>
          <w:trHeight w:val="519"/>
        </w:trPr>
        <w:tc>
          <w:tcPr>
            <w:tcW w:w="1858" w:type="dxa"/>
            <w:vMerge/>
            <w:tcBorders>
              <w:top w:val="nil"/>
            </w:tcBorders>
          </w:tcPr>
          <w:p w14:paraId="6F61AA9E" w14:textId="77777777" w:rsidR="00D757DA" w:rsidRDefault="00D757DA">
            <w:pPr>
              <w:rPr>
                <w:sz w:val="2"/>
                <w:szCs w:val="2"/>
              </w:rPr>
            </w:pPr>
          </w:p>
        </w:tc>
        <w:tc>
          <w:tcPr>
            <w:tcW w:w="107" w:type="dxa"/>
            <w:vMerge/>
            <w:tcBorders>
              <w:top w:val="nil"/>
              <w:right w:val="single" w:sz="6" w:space="0" w:color="D9D9D9"/>
            </w:tcBorders>
          </w:tcPr>
          <w:p w14:paraId="10DB57C7" w14:textId="77777777" w:rsidR="00D757DA" w:rsidRDefault="00D757DA">
            <w:pPr>
              <w:rPr>
                <w:sz w:val="2"/>
                <w:szCs w:val="2"/>
              </w:rPr>
            </w:pPr>
          </w:p>
        </w:tc>
        <w:tc>
          <w:tcPr>
            <w:tcW w:w="1700" w:type="dxa"/>
            <w:tcBorders>
              <w:top w:val="nil"/>
              <w:left w:val="single" w:sz="6" w:space="0" w:color="D9D9D9"/>
              <w:bottom w:val="nil"/>
              <w:right w:val="nil"/>
            </w:tcBorders>
          </w:tcPr>
          <w:p w14:paraId="49C321D1" w14:textId="77777777" w:rsidR="00D757DA" w:rsidRDefault="0033254E">
            <w:pPr>
              <w:pStyle w:val="TableParagraph"/>
              <w:spacing w:before="133"/>
              <w:ind w:left="622" w:right="619"/>
              <w:jc w:val="center"/>
              <w:rPr>
                <w:rFonts w:ascii="Calibri"/>
                <w:sz w:val="18"/>
              </w:rPr>
            </w:pPr>
            <w:r>
              <w:rPr>
                <w:rFonts w:ascii="Calibri"/>
                <w:color w:val="585858"/>
                <w:sz w:val="18"/>
              </w:rPr>
              <w:t>6,000</w:t>
            </w:r>
          </w:p>
        </w:tc>
        <w:tc>
          <w:tcPr>
            <w:tcW w:w="3793" w:type="dxa"/>
            <w:tcBorders>
              <w:top w:val="nil"/>
              <w:left w:val="nil"/>
              <w:bottom w:val="nil"/>
              <w:right w:val="nil"/>
            </w:tcBorders>
          </w:tcPr>
          <w:p w14:paraId="5DF5356D" w14:textId="77777777" w:rsidR="00D757DA" w:rsidRDefault="00D757DA">
            <w:pPr>
              <w:pStyle w:val="TableParagraph"/>
              <w:rPr>
                <w:rFonts w:ascii="Times New Roman"/>
                <w:sz w:val="20"/>
              </w:rPr>
            </w:pPr>
          </w:p>
        </w:tc>
        <w:tc>
          <w:tcPr>
            <w:tcW w:w="987" w:type="dxa"/>
            <w:tcBorders>
              <w:top w:val="nil"/>
              <w:left w:val="nil"/>
              <w:bottom w:val="nil"/>
              <w:right w:val="single" w:sz="6" w:space="0" w:color="D9D9D9"/>
            </w:tcBorders>
          </w:tcPr>
          <w:p w14:paraId="230F8305" w14:textId="77777777" w:rsidR="00D757DA" w:rsidRDefault="00D757DA">
            <w:pPr>
              <w:pStyle w:val="TableParagraph"/>
              <w:rPr>
                <w:rFonts w:ascii="Times New Roman"/>
                <w:sz w:val="20"/>
              </w:rPr>
            </w:pPr>
          </w:p>
        </w:tc>
        <w:tc>
          <w:tcPr>
            <w:tcW w:w="574" w:type="dxa"/>
            <w:vMerge/>
            <w:tcBorders>
              <w:top w:val="nil"/>
              <w:left w:val="single" w:sz="6" w:space="0" w:color="D9D9D9"/>
            </w:tcBorders>
          </w:tcPr>
          <w:p w14:paraId="25222A4A" w14:textId="77777777" w:rsidR="00D757DA" w:rsidRDefault="00D757DA">
            <w:pPr>
              <w:rPr>
                <w:sz w:val="2"/>
                <w:szCs w:val="2"/>
              </w:rPr>
            </w:pPr>
          </w:p>
        </w:tc>
      </w:tr>
      <w:tr w:rsidR="00D757DA" w14:paraId="4D28D144" w14:textId="77777777">
        <w:trPr>
          <w:trHeight w:val="519"/>
        </w:trPr>
        <w:tc>
          <w:tcPr>
            <w:tcW w:w="1858" w:type="dxa"/>
            <w:vMerge/>
            <w:tcBorders>
              <w:top w:val="nil"/>
            </w:tcBorders>
          </w:tcPr>
          <w:p w14:paraId="338FA013" w14:textId="77777777" w:rsidR="00D757DA" w:rsidRDefault="00D757DA">
            <w:pPr>
              <w:rPr>
                <w:sz w:val="2"/>
                <w:szCs w:val="2"/>
              </w:rPr>
            </w:pPr>
          </w:p>
        </w:tc>
        <w:tc>
          <w:tcPr>
            <w:tcW w:w="107" w:type="dxa"/>
            <w:vMerge/>
            <w:tcBorders>
              <w:top w:val="nil"/>
              <w:right w:val="single" w:sz="6" w:space="0" w:color="D9D9D9"/>
            </w:tcBorders>
          </w:tcPr>
          <w:p w14:paraId="27FCCDA6" w14:textId="77777777" w:rsidR="00D757DA" w:rsidRDefault="00D757DA">
            <w:pPr>
              <w:rPr>
                <w:sz w:val="2"/>
                <w:szCs w:val="2"/>
              </w:rPr>
            </w:pPr>
          </w:p>
        </w:tc>
        <w:tc>
          <w:tcPr>
            <w:tcW w:w="1700" w:type="dxa"/>
            <w:tcBorders>
              <w:top w:val="nil"/>
              <w:left w:val="single" w:sz="6" w:space="0" w:color="D9D9D9"/>
              <w:bottom w:val="nil"/>
              <w:right w:val="nil"/>
            </w:tcBorders>
          </w:tcPr>
          <w:p w14:paraId="286A1D7E" w14:textId="77777777" w:rsidR="00D757DA" w:rsidRDefault="0033254E">
            <w:pPr>
              <w:pStyle w:val="TableParagraph"/>
              <w:spacing w:before="133"/>
              <w:ind w:left="622" w:right="619"/>
              <w:jc w:val="center"/>
              <w:rPr>
                <w:rFonts w:ascii="Calibri"/>
                <w:sz w:val="18"/>
              </w:rPr>
            </w:pPr>
            <w:r>
              <w:rPr>
                <w:rFonts w:ascii="Calibri"/>
                <w:color w:val="585858"/>
                <w:sz w:val="18"/>
              </w:rPr>
              <w:t>4,000</w:t>
            </w:r>
          </w:p>
        </w:tc>
        <w:tc>
          <w:tcPr>
            <w:tcW w:w="3793" w:type="dxa"/>
            <w:tcBorders>
              <w:top w:val="nil"/>
              <w:left w:val="nil"/>
              <w:bottom w:val="nil"/>
              <w:right w:val="nil"/>
            </w:tcBorders>
          </w:tcPr>
          <w:p w14:paraId="09FA297E" w14:textId="77777777" w:rsidR="00D757DA" w:rsidRDefault="00D757DA">
            <w:pPr>
              <w:pStyle w:val="TableParagraph"/>
              <w:rPr>
                <w:rFonts w:ascii="Times New Roman"/>
                <w:sz w:val="20"/>
              </w:rPr>
            </w:pPr>
          </w:p>
        </w:tc>
        <w:tc>
          <w:tcPr>
            <w:tcW w:w="987" w:type="dxa"/>
            <w:tcBorders>
              <w:top w:val="nil"/>
              <w:left w:val="nil"/>
              <w:bottom w:val="nil"/>
              <w:right w:val="single" w:sz="6" w:space="0" w:color="D9D9D9"/>
            </w:tcBorders>
          </w:tcPr>
          <w:p w14:paraId="5D167B86" w14:textId="77777777" w:rsidR="00D757DA" w:rsidRDefault="00D757DA">
            <w:pPr>
              <w:pStyle w:val="TableParagraph"/>
              <w:rPr>
                <w:rFonts w:ascii="Times New Roman"/>
                <w:sz w:val="20"/>
              </w:rPr>
            </w:pPr>
          </w:p>
        </w:tc>
        <w:tc>
          <w:tcPr>
            <w:tcW w:w="574" w:type="dxa"/>
            <w:vMerge/>
            <w:tcBorders>
              <w:top w:val="nil"/>
              <w:left w:val="single" w:sz="6" w:space="0" w:color="D9D9D9"/>
            </w:tcBorders>
          </w:tcPr>
          <w:p w14:paraId="428D98B9" w14:textId="77777777" w:rsidR="00D757DA" w:rsidRDefault="00D757DA">
            <w:pPr>
              <w:rPr>
                <w:sz w:val="2"/>
                <w:szCs w:val="2"/>
              </w:rPr>
            </w:pPr>
          </w:p>
        </w:tc>
      </w:tr>
      <w:tr w:rsidR="00D757DA" w14:paraId="0D069A03" w14:textId="77777777">
        <w:trPr>
          <w:trHeight w:val="519"/>
        </w:trPr>
        <w:tc>
          <w:tcPr>
            <w:tcW w:w="1858" w:type="dxa"/>
            <w:vMerge/>
            <w:tcBorders>
              <w:top w:val="nil"/>
            </w:tcBorders>
          </w:tcPr>
          <w:p w14:paraId="31F0F24C" w14:textId="77777777" w:rsidR="00D757DA" w:rsidRDefault="00D757DA">
            <w:pPr>
              <w:rPr>
                <w:sz w:val="2"/>
                <w:szCs w:val="2"/>
              </w:rPr>
            </w:pPr>
          </w:p>
        </w:tc>
        <w:tc>
          <w:tcPr>
            <w:tcW w:w="107" w:type="dxa"/>
            <w:vMerge/>
            <w:tcBorders>
              <w:top w:val="nil"/>
              <w:right w:val="single" w:sz="6" w:space="0" w:color="D9D9D9"/>
            </w:tcBorders>
          </w:tcPr>
          <w:p w14:paraId="038C2A3A" w14:textId="77777777" w:rsidR="00D757DA" w:rsidRDefault="00D757DA">
            <w:pPr>
              <w:rPr>
                <w:sz w:val="2"/>
                <w:szCs w:val="2"/>
              </w:rPr>
            </w:pPr>
          </w:p>
        </w:tc>
        <w:tc>
          <w:tcPr>
            <w:tcW w:w="1700" w:type="dxa"/>
            <w:tcBorders>
              <w:top w:val="nil"/>
              <w:left w:val="single" w:sz="6" w:space="0" w:color="D9D9D9"/>
              <w:bottom w:val="nil"/>
              <w:right w:val="nil"/>
            </w:tcBorders>
          </w:tcPr>
          <w:p w14:paraId="333C93AA" w14:textId="77777777" w:rsidR="00D757DA" w:rsidRDefault="0033254E">
            <w:pPr>
              <w:pStyle w:val="TableParagraph"/>
              <w:spacing w:before="133"/>
              <w:ind w:left="622" w:right="619"/>
              <w:jc w:val="center"/>
              <w:rPr>
                <w:rFonts w:ascii="Calibri"/>
                <w:sz w:val="18"/>
              </w:rPr>
            </w:pPr>
            <w:r>
              <w:rPr>
                <w:rFonts w:ascii="Calibri"/>
                <w:color w:val="585858"/>
                <w:sz w:val="18"/>
              </w:rPr>
              <w:t>2,000</w:t>
            </w:r>
          </w:p>
        </w:tc>
        <w:tc>
          <w:tcPr>
            <w:tcW w:w="3793" w:type="dxa"/>
            <w:tcBorders>
              <w:top w:val="nil"/>
              <w:left w:val="nil"/>
              <w:bottom w:val="nil"/>
              <w:right w:val="nil"/>
            </w:tcBorders>
          </w:tcPr>
          <w:p w14:paraId="35F9BB1F" w14:textId="77777777" w:rsidR="00D757DA" w:rsidRDefault="00D757DA">
            <w:pPr>
              <w:pStyle w:val="TableParagraph"/>
              <w:rPr>
                <w:rFonts w:ascii="Times New Roman"/>
                <w:sz w:val="20"/>
              </w:rPr>
            </w:pPr>
          </w:p>
        </w:tc>
        <w:tc>
          <w:tcPr>
            <w:tcW w:w="987" w:type="dxa"/>
            <w:tcBorders>
              <w:top w:val="nil"/>
              <w:left w:val="nil"/>
              <w:bottom w:val="nil"/>
              <w:right w:val="single" w:sz="6" w:space="0" w:color="D9D9D9"/>
            </w:tcBorders>
          </w:tcPr>
          <w:p w14:paraId="488C7059" w14:textId="77777777" w:rsidR="00D757DA" w:rsidRDefault="00D757DA">
            <w:pPr>
              <w:pStyle w:val="TableParagraph"/>
              <w:rPr>
                <w:rFonts w:ascii="Times New Roman"/>
                <w:sz w:val="20"/>
              </w:rPr>
            </w:pPr>
          </w:p>
        </w:tc>
        <w:tc>
          <w:tcPr>
            <w:tcW w:w="574" w:type="dxa"/>
            <w:vMerge/>
            <w:tcBorders>
              <w:top w:val="nil"/>
              <w:left w:val="single" w:sz="6" w:space="0" w:color="D9D9D9"/>
            </w:tcBorders>
          </w:tcPr>
          <w:p w14:paraId="4EBEE93D" w14:textId="77777777" w:rsidR="00D757DA" w:rsidRDefault="00D757DA">
            <w:pPr>
              <w:rPr>
                <w:sz w:val="2"/>
                <w:szCs w:val="2"/>
              </w:rPr>
            </w:pPr>
          </w:p>
        </w:tc>
      </w:tr>
      <w:tr w:rsidR="00D757DA" w14:paraId="486F7DA2" w14:textId="77777777">
        <w:trPr>
          <w:trHeight w:val="372"/>
        </w:trPr>
        <w:tc>
          <w:tcPr>
            <w:tcW w:w="1858" w:type="dxa"/>
            <w:vMerge/>
            <w:tcBorders>
              <w:top w:val="nil"/>
            </w:tcBorders>
          </w:tcPr>
          <w:p w14:paraId="514F1831" w14:textId="77777777" w:rsidR="00D757DA" w:rsidRDefault="00D757DA">
            <w:pPr>
              <w:rPr>
                <w:sz w:val="2"/>
                <w:szCs w:val="2"/>
              </w:rPr>
            </w:pPr>
          </w:p>
        </w:tc>
        <w:tc>
          <w:tcPr>
            <w:tcW w:w="107" w:type="dxa"/>
            <w:vMerge/>
            <w:tcBorders>
              <w:top w:val="nil"/>
              <w:right w:val="single" w:sz="6" w:space="0" w:color="D9D9D9"/>
            </w:tcBorders>
          </w:tcPr>
          <w:p w14:paraId="625FE4FE" w14:textId="77777777" w:rsidR="00D757DA" w:rsidRDefault="00D757DA">
            <w:pPr>
              <w:rPr>
                <w:sz w:val="2"/>
                <w:szCs w:val="2"/>
              </w:rPr>
            </w:pPr>
          </w:p>
        </w:tc>
        <w:tc>
          <w:tcPr>
            <w:tcW w:w="1700" w:type="dxa"/>
            <w:tcBorders>
              <w:top w:val="nil"/>
              <w:left w:val="single" w:sz="6" w:space="0" w:color="D9D9D9"/>
              <w:bottom w:val="nil"/>
              <w:right w:val="nil"/>
            </w:tcBorders>
          </w:tcPr>
          <w:p w14:paraId="13E0D245" w14:textId="77777777" w:rsidR="00D757DA" w:rsidRDefault="0033254E">
            <w:pPr>
              <w:pStyle w:val="TableParagraph"/>
              <w:spacing w:before="133" w:line="218" w:lineRule="exact"/>
              <w:ind w:left="322"/>
              <w:jc w:val="center"/>
              <w:rPr>
                <w:rFonts w:ascii="Calibri"/>
                <w:sz w:val="18"/>
              </w:rPr>
            </w:pPr>
            <w:r>
              <w:rPr>
                <w:rFonts w:ascii="Calibri"/>
                <w:color w:val="585858"/>
                <w:sz w:val="18"/>
              </w:rPr>
              <w:t>0</w:t>
            </w:r>
          </w:p>
        </w:tc>
        <w:tc>
          <w:tcPr>
            <w:tcW w:w="3793" w:type="dxa"/>
            <w:tcBorders>
              <w:top w:val="nil"/>
              <w:left w:val="nil"/>
              <w:bottom w:val="nil"/>
              <w:right w:val="nil"/>
            </w:tcBorders>
          </w:tcPr>
          <w:p w14:paraId="32EF6D6B" w14:textId="77777777" w:rsidR="00D757DA" w:rsidRDefault="00D757DA">
            <w:pPr>
              <w:pStyle w:val="TableParagraph"/>
              <w:rPr>
                <w:rFonts w:ascii="Times New Roman"/>
                <w:sz w:val="20"/>
              </w:rPr>
            </w:pPr>
          </w:p>
        </w:tc>
        <w:tc>
          <w:tcPr>
            <w:tcW w:w="987" w:type="dxa"/>
            <w:tcBorders>
              <w:top w:val="nil"/>
              <w:left w:val="nil"/>
              <w:bottom w:val="nil"/>
              <w:right w:val="single" w:sz="6" w:space="0" w:color="D9D9D9"/>
            </w:tcBorders>
          </w:tcPr>
          <w:p w14:paraId="26457F3C" w14:textId="77777777" w:rsidR="00D757DA" w:rsidRDefault="00D757DA">
            <w:pPr>
              <w:pStyle w:val="TableParagraph"/>
              <w:rPr>
                <w:rFonts w:ascii="Times New Roman"/>
                <w:sz w:val="20"/>
              </w:rPr>
            </w:pPr>
          </w:p>
        </w:tc>
        <w:tc>
          <w:tcPr>
            <w:tcW w:w="574" w:type="dxa"/>
            <w:vMerge/>
            <w:tcBorders>
              <w:top w:val="nil"/>
              <w:left w:val="single" w:sz="6" w:space="0" w:color="D9D9D9"/>
            </w:tcBorders>
          </w:tcPr>
          <w:p w14:paraId="532EE0B6" w14:textId="77777777" w:rsidR="00D757DA" w:rsidRDefault="00D757DA">
            <w:pPr>
              <w:rPr>
                <w:sz w:val="2"/>
                <w:szCs w:val="2"/>
              </w:rPr>
            </w:pPr>
          </w:p>
        </w:tc>
      </w:tr>
      <w:tr w:rsidR="00D757DA" w14:paraId="64BA55D3" w14:textId="77777777">
        <w:trPr>
          <w:trHeight w:val="249"/>
        </w:trPr>
        <w:tc>
          <w:tcPr>
            <w:tcW w:w="1858" w:type="dxa"/>
            <w:vMerge/>
            <w:tcBorders>
              <w:top w:val="nil"/>
            </w:tcBorders>
          </w:tcPr>
          <w:p w14:paraId="78338FAF" w14:textId="77777777" w:rsidR="00D757DA" w:rsidRDefault="00D757DA">
            <w:pPr>
              <w:rPr>
                <w:sz w:val="2"/>
                <w:szCs w:val="2"/>
              </w:rPr>
            </w:pPr>
          </w:p>
        </w:tc>
        <w:tc>
          <w:tcPr>
            <w:tcW w:w="107" w:type="dxa"/>
            <w:vMerge/>
            <w:tcBorders>
              <w:top w:val="nil"/>
              <w:right w:val="single" w:sz="6" w:space="0" w:color="D9D9D9"/>
            </w:tcBorders>
          </w:tcPr>
          <w:p w14:paraId="6D1C12A0" w14:textId="77777777" w:rsidR="00D757DA" w:rsidRDefault="00D757DA">
            <w:pPr>
              <w:rPr>
                <w:sz w:val="2"/>
                <w:szCs w:val="2"/>
              </w:rPr>
            </w:pPr>
          </w:p>
        </w:tc>
        <w:tc>
          <w:tcPr>
            <w:tcW w:w="1700" w:type="dxa"/>
            <w:tcBorders>
              <w:top w:val="nil"/>
              <w:left w:val="single" w:sz="6" w:space="0" w:color="D9D9D9"/>
              <w:bottom w:val="nil"/>
              <w:right w:val="nil"/>
            </w:tcBorders>
          </w:tcPr>
          <w:p w14:paraId="69036D3F" w14:textId="77777777" w:rsidR="00D757DA" w:rsidRDefault="0033254E">
            <w:pPr>
              <w:pStyle w:val="TableParagraph"/>
              <w:spacing w:line="205" w:lineRule="exact"/>
              <w:ind w:left="995"/>
              <w:rPr>
                <w:rFonts w:ascii="Calibri"/>
                <w:sz w:val="18"/>
              </w:rPr>
            </w:pPr>
            <w:r>
              <w:rPr>
                <w:rFonts w:ascii="Calibri"/>
                <w:color w:val="585858"/>
                <w:sz w:val="18"/>
              </w:rPr>
              <w:t>90.0%</w:t>
            </w:r>
          </w:p>
        </w:tc>
        <w:tc>
          <w:tcPr>
            <w:tcW w:w="3793" w:type="dxa"/>
            <w:tcBorders>
              <w:top w:val="nil"/>
              <w:left w:val="nil"/>
              <w:bottom w:val="nil"/>
              <w:right w:val="nil"/>
            </w:tcBorders>
          </w:tcPr>
          <w:p w14:paraId="43830418" w14:textId="77777777" w:rsidR="00D757DA" w:rsidRDefault="0033254E">
            <w:pPr>
              <w:pStyle w:val="TableParagraph"/>
              <w:tabs>
                <w:tab w:val="left" w:pos="985"/>
                <w:tab w:val="left" w:pos="1938"/>
                <w:tab w:val="left" w:pos="2892"/>
              </w:tabs>
              <w:spacing w:line="205" w:lineRule="exact"/>
              <w:ind w:left="30"/>
              <w:jc w:val="center"/>
              <w:rPr>
                <w:rFonts w:ascii="Calibri"/>
                <w:sz w:val="18"/>
              </w:rPr>
            </w:pPr>
            <w:r>
              <w:rPr>
                <w:rFonts w:ascii="Calibri"/>
                <w:color w:val="585858"/>
                <w:sz w:val="18"/>
              </w:rPr>
              <w:t>92.0%</w:t>
            </w:r>
            <w:r>
              <w:rPr>
                <w:rFonts w:ascii="Calibri"/>
                <w:color w:val="585858"/>
                <w:sz w:val="18"/>
              </w:rPr>
              <w:tab/>
              <w:t>94.0%</w:t>
            </w:r>
            <w:r>
              <w:rPr>
                <w:rFonts w:ascii="Calibri"/>
                <w:color w:val="585858"/>
                <w:sz w:val="18"/>
              </w:rPr>
              <w:tab/>
              <w:t>96.0%</w:t>
            </w:r>
            <w:r>
              <w:rPr>
                <w:rFonts w:ascii="Calibri"/>
                <w:color w:val="585858"/>
                <w:sz w:val="18"/>
              </w:rPr>
              <w:tab/>
              <w:t>98.0%</w:t>
            </w:r>
          </w:p>
        </w:tc>
        <w:tc>
          <w:tcPr>
            <w:tcW w:w="987" w:type="dxa"/>
            <w:tcBorders>
              <w:top w:val="nil"/>
              <w:left w:val="nil"/>
              <w:bottom w:val="nil"/>
              <w:right w:val="single" w:sz="6" w:space="0" w:color="D9D9D9"/>
            </w:tcBorders>
          </w:tcPr>
          <w:p w14:paraId="1440F060" w14:textId="77777777" w:rsidR="00D757DA" w:rsidRDefault="0033254E">
            <w:pPr>
              <w:pStyle w:val="TableParagraph"/>
              <w:spacing w:line="205" w:lineRule="exact"/>
              <w:ind w:left="214" w:right="186"/>
              <w:jc w:val="center"/>
              <w:rPr>
                <w:rFonts w:ascii="Calibri"/>
                <w:sz w:val="18"/>
              </w:rPr>
            </w:pPr>
            <w:r>
              <w:rPr>
                <w:rFonts w:ascii="Calibri"/>
                <w:color w:val="585858"/>
                <w:sz w:val="18"/>
              </w:rPr>
              <w:t>100.0%</w:t>
            </w:r>
          </w:p>
        </w:tc>
        <w:tc>
          <w:tcPr>
            <w:tcW w:w="574" w:type="dxa"/>
            <w:vMerge/>
            <w:tcBorders>
              <w:top w:val="nil"/>
              <w:left w:val="single" w:sz="6" w:space="0" w:color="D9D9D9"/>
            </w:tcBorders>
          </w:tcPr>
          <w:p w14:paraId="1A525CAF" w14:textId="77777777" w:rsidR="00D757DA" w:rsidRDefault="00D757DA">
            <w:pPr>
              <w:rPr>
                <w:sz w:val="2"/>
                <w:szCs w:val="2"/>
              </w:rPr>
            </w:pPr>
          </w:p>
        </w:tc>
      </w:tr>
      <w:tr w:rsidR="00D757DA" w14:paraId="1E9272C8" w14:textId="77777777">
        <w:trPr>
          <w:trHeight w:val="502"/>
        </w:trPr>
        <w:tc>
          <w:tcPr>
            <w:tcW w:w="1858" w:type="dxa"/>
            <w:vMerge/>
            <w:tcBorders>
              <w:top w:val="nil"/>
            </w:tcBorders>
          </w:tcPr>
          <w:p w14:paraId="5B7B7EF4" w14:textId="77777777" w:rsidR="00D757DA" w:rsidRDefault="00D757DA">
            <w:pPr>
              <w:rPr>
                <w:sz w:val="2"/>
                <w:szCs w:val="2"/>
              </w:rPr>
            </w:pPr>
          </w:p>
        </w:tc>
        <w:tc>
          <w:tcPr>
            <w:tcW w:w="107" w:type="dxa"/>
            <w:vMerge/>
            <w:tcBorders>
              <w:top w:val="nil"/>
              <w:right w:val="single" w:sz="6" w:space="0" w:color="D9D9D9"/>
            </w:tcBorders>
          </w:tcPr>
          <w:p w14:paraId="2BC247C9" w14:textId="77777777" w:rsidR="00D757DA" w:rsidRDefault="00D757DA">
            <w:pPr>
              <w:rPr>
                <w:sz w:val="2"/>
                <w:szCs w:val="2"/>
              </w:rPr>
            </w:pPr>
          </w:p>
        </w:tc>
        <w:tc>
          <w:tcPr>
            <w:tcW w:w="1700" w:type="dxa"/>
            <w:tcBorders>
              <w:top w:val="nil"/>
              <w:left w:val="single" w:sz="6" w:space="0" w:color="D9D9D9"/>
              <w:bottom w:val="thinThickMediumGap" w:sz="3" w:space="0" w:color="D9D9D9"/>
              <w:right w:val="nil"/>
            </w:tcBorders>
          </w:tcPr>
          <w:p w14:paraId="5748A822" w14:textId="77777777" w:rsidR="00D757DA" w:rsidRDefault="00D757DA">
            <w:pPr>
              <w:pStyle w:val="TableParagraph"/>
              <w:rPr>
                <w:rFonts w:ascii="Times New Roman"/>
                <w:sz w:val="20"/>
              </w:rPr>
            </w:pPr>
          </w:p>
        </w:tc>
        <w:tc>
          <w:tcPr>
            <w:tcW w:w="3793" w:type="dxa"/>
            <w:tcBorders>
              <w:top w:val="nil"/>
              <w:left w:val="nil"/>
              <w:bottom w:val="thinThickMediumGap" w:sz="3" w:space="0" w:color="D9D9D9"/>
              <w:right w:val="nil"/>
            </w:tcBorders>
          </w:tcPr>
          <w:p w14:paraId="19671072" w14:textId="77777777" w:rsidR="00D757DA" w:rsidRDefault="0033254E">
            <w:pPr>
              <w:pStyle w:val="TableParagraph"/>
              <w:spacing w:before="6"/>
              <w:ind w:left="26"/>
              <w:jc w:val="center"/>
              <w:rPr>
                <w:rFonts w:ascii="Calibri"/>
                <w:sz w:val="20"/>
              </w:rPr>
            </w:pPr>
            <w:r>
              <w:rPr>
                <w:rFonts w:ascii="Calibri"/>
                <w:color w:val="585858"/>
                <w:sz w:val="20"/>
              </w:rPr>
              <w:t>Index data quality ratio (SV4), %</w:t>
            </w:r>
          </w:p>
        </w:tc>
        <w:tc>
          <w:tcPr>
            <w:tcW w:w="987" w:type="dxa"/>
            <w:tcBorders>
              <w:top w:val="nil"/>
              <w:left w:val="nil"/>
              <w:bottom w:val="thinThickMediumGap" w:sz="3" w:space="0" w:color="D9D9D9"/>
              <w:right w:val="single" w:sz="6" w:space="0" w:color="D9D9D9"/>
            </w:tcBorders>
          </w:tcPr>
          <w:p w14:paraId="21EEB511" w14:textId="77777777" w:rsidR="00D757DA" w:rsidRDefault="00D757DA">
            <w:pPr>
              <w:pStyle w:val="TableParagraph"/>
              <w:rPr>
                <w:rFonts w:ascii="Times New Roman"/>
                <w:sz w:val="20"/>
              </w:rPr>
            </w:pPr>
          </w:p>
        </w:tc>
        <w:tc>
          <w:tcPr>
            <w:tcW w:w="574" w:type="dxa"/>
            <w:vMerge/>
            <w:tcBorders>
              <w:top w:val="nil"/>
              <w:left w:val="single" w:sz="6" w:space="0" w:color="D9D9D9"/>
            </w:tcBorders>
          </w:tcPr>
          <w:p w14:paraId="5DA503DF" w14:textId="77777777" w:rsidR="00D757DA" w:rsidRDefault="00D757DA">
            <w:pPr>
              <w:rPr>
                <w:sz w:val="2"/>
                <w:szCs w:val="2"/>
              </w:rPr>
            </w:pPr>
          </w:p>
        </w:tc>
      </w:tr>
      <w:tr w:rsidR="00D757DA" w14:paraId="082C1902" w14:textId="77777777">
        <w:trPr>
          <w:trHeight w:val="5192"/>
        </w:trPr>
        <w:tc>
          <w:tcPr>
            <w:tcW w:w="1858" w:type="dxa"/>
          </w:tcPr>
          <w:p w14:paraId="734A244A" w14:textId="77777777" w:rsidR="00D757DA" w:rsidRDefault="0033254E">
            <w:pPr>
              <w:pStyle w:val="TableParagraph"/>
              <w:tabs>
                <w:tab w:val="left" w:pos="923"/>
                <w:tab w:val="left" w:pos="1002"/>
                <w:tab w:val="left" w:pos="1033"/>
                <w:tab w:val="left" w:pos="1100"/>
                <w:tab w:val="left" w:pos="1413"/>
              </w:tabs>
              <w:spacing w:before="130"/>
              <w:ind w:left="107" w:right="99"/>
              <w:rPr>
                <w:sz w:val="20"/>
              </w:rPr>
            </w:pPr>
            <w:r>
              <w:rPr>
                <w:b/>
                <w:sz w:val="20"/>
              </w:rPr>
              <w:t>SV5:</w:t>
            </w:r>
            <w:r>
              <w:rPr>
                <w:b/>
                <w:sz w:val="20"/>
              </w:rPr>
              <w:tab/>
            </w:r>
            <w:r>
              <w:rPr>
                <w:b/>
                <w:spacing w:val="-1"/>
                <w:sz w:val="20"/>
              </w:rPr>
              <w:t xml:space="preserve">Services </w:t>
            </w:r>
            <w:r>
              <w:rPr>
                <w:b/>
                <w:sz w:val="20"/>
              </w:rPr>
              <w:t>availability</w:t>
            </w:r>
            <w:r>
              <w:rPr>
                <w:b/>
                <w:sz w:val="20"/>
              </w:rPr>
              <w:tab/>
            </w:r>
            <w:r>
              <w:rPr>
                <w:spacing w:val="-4"/>
                <w:sz w:val="20"/>
              </w:rPr>
              <w:t xml:space="preserve">(i.e. </w:t>
            </w:r>
            <w:r>
              <w:rPr>
                <w:sz w:val="20"/>
              </w:rPr>
              <w:t xml:space="preserve">the availability of the web services to answer </w:t>
            </w:r>
            <w:proofErr w:type="gramStart"/>
            <w:r>
              <w:rPr>
                <w:sz w:val="20"/>
              </w:rPr>
              <w:t>trade mark</w:t>
            </w:r>
            <w:proofErr w:type="gramEnd"/>
            <w:r>
              <w:rPr>
                <w:sz w:val="20"/>
              </w:rPr>
              <w:t>/design details</w:t>
            </w:r>
            <w:r>
              <w:rPr>
                <w:sz w:val="20"/>
              </w:rPr>
              <w:tab/>
            </w:r>
            <w:r>
              <w:rPr>
                <w:sz w:val="20"/>
              </w:rPr>
              <w:tab/>
            </w:r>
            <w:r>
              <w:rPr>
                <w:sz w:val="20"/>
              </w:rPr>
              <w:tab/>
            </w:r>
            <w:r>
              <w:rPr>
                <w:spacing w:val="-3"/>
                <w:sz w:val="20"/>
              </w:rPr>
              <w:t xml:space="preserve">retrieval </w:t>
            </w:r>
            <w:r>
              <w:rPr>
                <w:sz w:val="20"/>
              </w:rPr>
              <w:t>requests</w:t>
            </w:r>
            <w:r>
              <w:rPr>
                <w:sz w:val="20"/>
              </w:rPr>
              <w:tab/>
            </w:r>
            <w:r>
              <w:rPr>
                <w:sz w:val="20"/>
              </w:rPr>
              <w:tab/>
            </w:r>
            <w:r>
              <w:rPr>
                <w:sz w:val="20"/>
              </w:rPr>
              <w:tab/>
            </w:r>
            <w:r>
              <w:rPr>
                <w:sz w:val="20"/>
              </w:rPr>
              <w:tab/>
            </w:r>
            <w:r>
              <w:rPr>
                <w:spacing w:val="-3"/>
                <w:sz w:val="20"/>
              </w:rPr>
              <w:t xml:space="preserve">coming </w:t>
            </w:r>
            <w:r>
              <w:rPr>
                <w:sz w:val="20"/>
              </w:rPr>
              <w:t>from</w:t>
            </w:r>
            <w:r>
              <w:rPr>
                <w:sz w:val="20"/>
              </w:rPr>
              <w:tab/>
            </w:r>
            <w:r>
              <w:rPr>
                <w:sz w:val="20"/>
              </w:rPr>
              <w:tab/>
            </w:r>
            <w:proofErr w:type="spellStart"/>
            <w:r>
              <w:rPr>
                <w:spacing w:val="-3"/>
                <w:sz w:val="20"/>
              </w:rPr>
              <w:t>TMview</w:t>
            </w:r>
            <w:proofErr w:type="spellEnd"/>
            <w:r>
              <w:rPr>
                <w:spacing w:val="-3"/>
                <w:sz w:val="20"/>
              </w:rPr>
              <w:t xml:space="preserve">/ </w:t>
            </w:r>
            <w:proofErr w:type="spellStart"/>
            <w:r>
              <w:rPr>
                <w:sz w:val="20"/>
              </w:rPr>
              <w:t>DesignView</w:t>
            </w:r>
            <w:proofErr w:type="spellEnd"/>
            <w:r>
              <w:rPr>
                <w:sz w:val="20"/>
              </w:rPr>
              <w:t>.</w:t>
            </w:r>
          </w:p>
        </w:tc>
        <w:tc>
          <w:tcPr>
            <w:tcW w:w="7161" w:type="dxa"/>
            <w:gridSpan w:val="5"/>
            <w:tcBorders>
              <w:top w:val="single" w:sz="4" w:space="0" w:color="D9D9D9"/>
            </w:tcBorders>
          </w:tcPr>
          <w:p w14:paraId="7E5F2F94" w14:textId="77777777" w:rsidR="00D757DA" w:rsidRDefault="0033254E">
            <w:pPr>
              <w:pStyle w:val="TableParagraph"/>
              <w:spacing w:before="130"/>
              <w:ind w:left="278" w:right="274"/>
              <w:jc w:val="both"/>
              <w:rPr>
                <w:sz w:val="20"/>
              </w:rPr>
            </w:pPr>
            <w:r>
              <w:rPr>
                <w:sz w:val="20"/>
              </w:rPr>
              <w:t xml:space="preserve">Calculation method is implemented so that it captures only those details requests that apply to </w:t>
            </w:r>
            <w:proofErr w:type="spellStart"/>
            <w:proofErr w:type="gramStart"/>
            <w:r>
              <w:rPr>
                <w:sz w:val="20"/>
              </w:rPr>
              <w:t>trade marks</w:t>
            </w:r>
            <w:proofErr w:type="spellEnd"/>
            <w:proofErr w:type="gramEnd"/>
            <w:r>
              <w:rPr>
                <w:sz w:val="20"/>
              </w:rPr>
              <w:t xml:space="preserve"> and designs that exist in the Central Index. The method for calculating SV5 values will be as follows:</w:t>
            </w:r>
          </w:p>
          <w:p w14:paraId="24B134FB" w14:textId="77777777" w:rsidR="00D757DA" w:rsidRDefault="00D757DA">
            <w:pPr>
              <w:pStyle w:val="TableParagraph"/>
            </w:pPr>
          </w:p>
          <w:p w14:paraId="3D4A5088" w14:textId="77777777" w:rsidR="00D757DA" w:rsidRDefault="00D757DA">
            <w:pPr>
              <w:pStyle w:val="TableParagraph"/>
              <w:spacing w:before="9"/>
              <w:rPr>
                <w:sz w:val="18"/>
              </w:rPr>
            </w:pPr>
          </w:p>
          <w:p w14:paraId="670058F5" w14:textId="77777777" w:rsidR="00D757DA" w:rsidRDefault="0033254E">
            <w:pPr>
              <w:pStyle w:val="TableParagraph"/>
              <w:spacing w:line="224" w:lineRule="exact"/>
              <w:ind w:left="107"/>
              <w:rPr>
                <w:rFonts w:ascii="Cambria Math"/>
                <w:sz w:val="20"/>
              </w:rPr>
            </w:pPr>
            <w:r>
              <w:rPr>
                <w:rFonts w:ascii="Cambria Math"/>
                <w:sz w:val="20"/>
              </w:rPr>
              <w:t>SV5</w:t>
            </w:r>
          </w:p>
          <w:p w14:paraId="136189E5" w14:textId="77777777" w:rsidR="00D757DA" w:rsidRDefault="0033254E">
            <w:pPr>
              <w:pStyle w:val="TableParagraph"/>
              <w:spacing w:line="194" w:lineRule="exact"/>
              <w:ind w:left="1972"/>
              <w:rPr>
                <w:rFonts w:ascii="Cambria Math" w:eastAsia="Cambria Math"/>
                <w:sz w:val="20"/>
              </w:rPr>
            </w:pPr>
            <w:r>
              <w:rPr>
                <w:rFonts w:ascii="Cambria Math" w:eastAsia="Cambria Math"/>
                <w:sz w:val="20"/>
              </w:rPr>
              <w:t>Number of successful TM</w:t>
            </w:r>
            <w:r>
              <w:rPr>
                <w:rFonts w:ascii="Cambria Math" w:eastAsia="Cambria Math"/>
                <w:position w:val="1"/>
                <w:sz w:val="20"/>
              </w:rPr>
              <w:t>(</w:t>
            </w:r>
            <w:r>
              <w:rPr>
                <w:rFonts w:ascii="Cambria Math" w:eastAsia="Cambria Math"/>
                <w:sz w:val="20"/>
              </w:rPr>
              <w:t>DS</w:t>
            </w:r>
            <w:r>
              <w:rPr>
                <w:rFonts w:ascii="Cambria Math" w:eastAsia="Cambria Math"/>
                <w:position w:val="1"/>
                <w:sz w:val="20"/>
              </w:rPr>
              <w:t xml:space="preserve">) </w:t>
            </w:r>
            <w:r>
              <w:rPr>
                <w:rFonts w:ascii="Cambria Math" w:eastAsia="Cambria Math"/>
                <w:sz w:val="20"/>
              </w:rPr>
              <w:t>𝑟𝑒𝑞𝑢𝑒𝑠𝑡𝑠</w:t>
            </w:r>
          </w:p>
          <w:p w14:paraId="1FF3D655" w14:textId="77777777" w:rsidR="00D757DA" w:rsidRDefault="0033254E">
            <w:pPr>
              <w:pStyle w:val="TableParagraph"/>
              <w:spacing w:line="139" w:lineRule="exact"/>
              <w:ind w:left="107"/>
              <w:rPr>
                <w:rFonts w:ascii="Cambria Math"/>
                <w:sz w:val="20"/>
              </w:rPr>
            </w:pPr>
            <w:r>
              <w:rPr>
                <w:rFonts w:ascii="Cambria Math"/>
                <w:w w:val="99"/>
                <w:sz w:val="20"/>
              </w:rPr>
              <w:t>=</w:t>
            </w:r>
          </w:p>
          <w:p w14:paraId="687240EF" w14:textId="77777777" w:rsidR="00D757DA" w:rsidRDefault="0033254E">
            <w:pPr>
              <w:pStyle w:val="TableParagraph"/>
              <w:spacing w:line="189" w:lineRule="exact"/>
              <w:ind w:left="311"/>
              <w:rPr>
                <w:rFonts w:ascii="Cambria Math" w:eastAsia="Cambria Math"/>
                <w:sz w:val="20"/>
              </w:rPr>
            </w:pPr>
            <w:r>
              <w:rPr>
                <w:rFonts w:ascii="Cambria Math" w:eastAsia="Cambria Math"/>
                <w:sz w:val="20"/>
              </w:rPr>
              <w:t>𝑇𝑜𝑡𝑎𝑙</w:t>
            </w:r>
            <w:r>
              <w:rPr>
                <w:rFonts w:ascii="Cambria Math" w:eastAsia="Cambria Math"/>
                <w:sz w:val="20"/>
              </w:rPr>
              <w:t xml:space="preserve"> </w:t>
            </w:r>
            <w:r>
              <w:rPr>
                <w:rFonts w:ascii="Cambria Math" w:eastAsia="Cambria Math"/>
                <w:sz w:val="20"/>
              </w:rPr>
              <w:t>𝑁𝑢𝑚𝑏𝑒𝑟</w:t>
            </w:r>
            <w:r>
              <w:rPr>
                <w:rFonts w:ascii="Cambria Math" w:eastAsia="Cambria Math"/>
                <w:sz w:val="20"/>
              </w:rPr>
              <w:t xml:space="preserve"> </w:t>
            </w:r>
            <w:r>
              <w:rPr>
                <w:rFonts w:ascii="Cambria Math" w:eastAsia="Cambria Math"/>
                <w:sz w:val="20"/>
              </w:rPr>
              <w:t>𝑜𝑓</w:t>
            </w:r>
            <w:r>
              <w:rPr>
                <w:rFonts w:ascii="Cambria Math" w:eastAsia="Cambria Math"/>
                <w:sz w:val="20"/>
              </w:rPr>
              <w:t xml:space="preserve"> </w:t>
            </w:r>
            <w:r>
              <w:rPr>
                <w:rFonts w:ascii="Cambria Math" w:eastAsia="Cambria Math"/>
                <w:sz w:val="20"/>
              </w:rPr>
              <w:t>𝑟𝑒𝑞𝑢𝑒𝑠𝑡𝑠</w:t>
            </w:r>
            <w:r>
              <w:rPr>
                <w:rFonts w:ascii="Cambria Math" w:eastAsia="Cambria Math"/>
                <w:sz w:val="20"/>
              </w:rPr>
              <w:t xml:space="preserve"> </w:t>
            </w:r>
            <w:r>
              <w:rPr>
                <w:rFonts w:ascii="Cambria Math" w:eastAsia="Cambria Math"/>
                <w:sz w:val="20"/>
              </w:rPr>
              <w:t>𝑒𝑥𝑐𝑙𝑢𝑑𝑖𝑛𝑔</w:t>
            </w:r>
            <w:r>
              <w:rPr>
                <w:rFonts w:ascii="Cambria Math" w:eastAsia="Cambria Math"/>
                <w:sz w:val="20"/>
              </w:rPr>
              <w:t xml:space="preserve"> </w:t>
            </w:r>
            <w:r>
              <w:rPr>
                <w:rFonts w:ascii="Cambria Math" w:eastAsia="Cambria Math"/>
                <w:sz w:val="20"/>
              </w:rPr>
              <w:t>𝑇𝑀</w:t>
            </w:r>
            <w:r>
              <w:rPr>
                <w:rFonts w:ascii="Cambria Math" w:eastAsia="Cambria Math"/>
                <w:position w:val="1"/>
                <w:sz w:val="20"/>
              </w:rPr>
              <w:t>(</w:t>
            </w:r>
            <w:r>
              <w:rPr>
                <w:rFonts w:ascii="Cambria Math" w:eastAsia="Cambria Math"/>
                <w:sz w:val="20"/>
              </w:rPr>
              <w:t>𝐷𝑆</w:t>
            </w:r>
            <w:r>
              <w:rPr>
                <w:rFonts w:ascii="Cambria Math" w:eastAsia="Cambria Math"/>
                <w:position w:val="1"/>
                <w:sz w:val="20"/>
              </w:rPr>
              <w:t>)</w:t>
            </w:r>
            <w:r>
              <w:rPr>
                <w:rFonts w:ascii="Cambria Math" w:eastAsia="Cambria Math"/>
                <w:sz w:val="20"/>
              </w:rPr>
              <w:t>𝑛𝑜𝑛</w:t>
            </w:r>
            <w:r>
              <w:rPr>
                <w:rFonts w:ascii="Cambria Math" w:eastAsia="Cambria Math"/>
                <w:sz w:val="20"/>
              </w:rPr>
              <w:t xml:space="preserve"> </w:t>
            </w:r>
            <w:r>
              <w:rPr>
                <w:rFonts w:ascii="Cambria Math" w:eastAsia="Cambria Math"/>
                <w:sz w:val="20"/>
              </w:rPr>
              <w:t>𝑒𝑥𝑖𝑠𝑡𝑖𝑛𝑔</w:t>
            </w:r>
            <w:r>
              <w:rPr>
                <w:rFonts w:ascii="Cambria Math" w:eastAsia="Cambria Math"/>
                <w:sz w:val="20"/>
              </w:rPr>
              <w:t xml:space="preserve"> </w:t>
            </w:r>
            <w:r>
              <w:rPr>
                <w:rFonts w:ascii="Cambria Math" w:eastAsia="Cambria Math"/>
                <w:sz w:val="20"/>
              </w:rPr>
              <w:t>𝑖𝑛</w:t>
            </w:r>
            <w:r>
              <w:rPr>
                <w:rFonts w:ascii="Cambria Math" w:eastAsia="Cambria Math"/>
                <w:sz w:val="20"/>
              </w:rPr>
              <w:t xml:space="preserve"> </w:t>
            </w:r>
            <w:r>
              <w:rPr>
                <w:rFonts w:ascii="Cambria Math" w:eastAsia="Cambria Math"/>
                <w:sz w:val="20"/>
              </w:rPr>
              <w:t>𝐶𝑒𝑛𝑡𝑟𝑎𝑙</w:t>
            </w:r>
            <w:r>
              <w:rPr>
                <w:rFonts w:ascii="Cambria Math" w:eastAsia="Cambria Math"/>
                <w:sz w:val="20"/>
              </w:rPr>
              <w:t xml:space="preserve"> </w:t>
            </w:r>
            <w:r>
              <w:rPr>
                <w:rFonts w:ascii="Cambria Math" w:eastAsia="Cambria Math"/>
                <w:sz w:val="20"/>
              </w:rPr>
              <w:t>𝐼𝑛𝑑𝑒𝑥</w:t>
            </w:r>
          </w:p>
          <w:p w14:paraId="02320AA9" w14:textId="77777777" w:rsidR="00D757DA" w:rsidRDefault="00D757DA">
            <w:pPr>
              <w:pStyle w:val="TableParagraph"/>
              <w:rPr>
                <w:sz w:val="20"/>
              </w:rPr>
            </w:pPr>
          </w:p>
          <w:p w14:paraId="54CFB635" w14:textId="77777777" w:rsidR="00D757DA" w:rsidRDefault="00D757DA">
            <w:pPr>
              <w:pStyle w:val="TableParagraph"/>
              <w:spacing w:before="6"/>
              <w:rPr>
                <w:sz w:val="20"/>
              </w:rPr>
            </w:pPr>
          </w:p>
          <w:p w14:paraId="3F8DEDAB" w14:textId="77777777" w:rsidR="00D757DA" w:rsidRDefault="0033254E">
            <w:pPr>
              <w:pStyle w:val="TableParagraph"/>
              <w:ind w:left="278" w:right="275"/>
              <w:jc w:val="both"/>
              <w:rPr>
                <w:sz w:val="20"/>
              </w:rPr>
            </w:pPr>
            <w:r>
              <w:rPr>
                <w:sz w:val="20"/>
              </w:rPr>
              <w:t xml:space="preserve">SP5 values are calculated in monetary units (Euros) instead of the correction factor for variance. The SP5 calculation on annual basis </w:t>
            </w:r>
            <w:proofErr w:type="gramStart"/>
            <w:r>
              <w:rPr>
                <w:sz w:val="20"/>
              </w:rPr>
              <w:t>is :</w:t>
            </w:r>
            <w:proofErr w:type="gramEnd"/>
          </w:p>
          <w:p w14:paraId="42E37E81" w14:textId="77777777" w:rsidR="00D757DA" w:rsidRDefault="00D757DA">
            <w:pPr>
              <w:pStyle w:val="TableParagraph"/>
            </w:pPr>
          </w:p>
          <w:p w14:paraId="2C78FC59" w14:textId="77777777" w:rsidR="00D757DA" w:rsidRDefault="00D757DA">
            <w:pPr>
              <w:pStyle w:val="TableParagraph"/>
              <w:rPr>
                <w:sz w:val="19"/>
              </w:rPr>
            </w:pPr>
          </w:p>
          <w:p w14:paraId="3875A1DF" w14:textId="77777777" w:rsidR="00D757DA" w:rsidRDefault="0033254E">
            <w:pPr>
              <w:pStyle w:val="TableParagraph"/>
              <w:ind w:left="278"/>
              <w:rPr>
                <w:rFonts w:ascii="Cambria Math" w:eastAsia="Cambria Math" w:hAnsi="Cambria Math"/>
                <w:sz w:val="20"/>
              </w:rPr>
            </w:pPr>
            <w:r>
              <w:rPr>
                <w:rFonts w:ascii="Cambria Math" w:eastAsia="Cambria Math" w:hAnsi="Cambria Math"/>
                <w:sz w:val="20"/>
              </w:rPr>
              <w:t>𝑆𝑃</w:t>
            </w:r>
            <w:r>
              <w:rPr>
                <w:rFonts w:ascii="Cambria Math" w:eastAsia="Cambria Math" w:hAnsi="Cambria Math"/>
                <w:sz w:val="20"/>
              </w:rPr>
              <w:t xml:space="preserve">5 = 2 400 000 × </w:t>
            </w:r>
            <w:r>
              <w:rPr>
                <w:rFonts w:ascii="Cambria Math" w:eastAsia="Cambria Math" w:hAnsi="Cambria Math"/>
                <w:sz w:val="20"/>
              </w:rPr>
              <w:t>𝑆𝑉</w:t>
            </w:r>
            <w:r>
              <w:rPr>
                <w:rFonts w:ascii="Cambria Math" w:eastAsia="Cambria Math" w:hAnsi="Cambria Math"/>
                <w:sz w:val="20"/>
              </w:rPr>
              <w:t>5 − 2 340 000</w:t>
            </w:r>
          </w:p>
          <w:p w14:paraId="13CFC30D" w14:textId="77777777" w:rsidR="00D757DA" w:rsidRDefault="00D757DA">
            <w:pPr>
              <w:pStyle w:val="TableParagraph"/>
              <w:rPr>
                <w:sz w:val="20"/>
              </w:rPr>
            </w:pPr>
          </w:p>
          <w:p w14:paraId="247A97CD" w14:textId="77777777" w:rsidR="00D757DA" w:rsidRDefault="00D757DA">
            <w:pPr>
              <w:pStyle w:val="TableParagraph"/>
              <w:spacing w:before="9"/>
              <w:rPr>
                <w:sz w:val="20"/>
              </w:rPr>
            </w:pPr>
          </w:p>
          <w:p w14:paraId="0E1E514B" w14:textId="77777777" w:rsidR="00D757DA" w:rsidRDefault="0033254E">
            <w:pPr>
              <w:pStyle w:val="TableParagraph"/>
              <w:ind w:left="278"/>
              <w:jc w:val="both"/>
              <w:rPr>
                <w:sz w:val="20"/>
              </w:rPr>
            </w:pPr>
            <w:r>
              <w:rPr>
                <w:sz w:val="20"/>
              </w:rPr>
              <w:t>Then according to the above,</w:t>
            </w:r>
          </w:p>
          <w:p w14:paraId="3C21581A" w14:textId="77777777" w:rsidR="00D757DA" w:rsidRDefault="00D757DA">
            <w:pPr>
              <w:pStyle w:val="TableParagraph"/>
            </w:pPr>
          </w:p>
          <w:p w14:paraId="663DBD94" w14:textId="77777777" w:rsidR="00D757DA" w:rsidRDefault="00D757DA">
            <w:pPr>
              <w:pStyle w:val="TableParagraph"/>
              <w:spacing w:before="10"/>
              <w:rPr>
                <w:sz w:val="18"/>
              </w:rPr>
            </w:pPr>
          </w:p>
          <w:p w14:paraId="699EB253" w14:textId="77777777" w:rsidR="00D757DA" w:rsidRDefault="0033254E">
            <w:pPr>
              <w:pStyle w:val="TableParagraph"/>
              <w:spacing w:before="1"/>
              <w:ind w:left="278"/>
              <w:rPr>
                <w:rFonts w:ascii="Cambria Math" w:hAnsi="Cambria Math"/>
                <w:sz w:val="20"/>
              </w:rPr>
            </w:pPr>
            <w:r>
              <w:rPr>
                <w:rFonts w:ascii="Cambria Math" w:hAnsi="Cambria Math"/>
                <w:sz w:val="20"/>
              </w:rPr>
              <w:t>SP5max = 60 000 € when SV5 = 100%</w:t>
            </w:r>
          </w:p>
        </w:tc>
      </w:tr>
    </w:tbl>
    <w:p w14:paraId="1EC82910" w14:textId="77777777" w:rsidR="00D757DA" w:rsidRDefault="0033254E">
      <w:pPr>
        <w:rPr>
          <w:sz w:val="2"/>
          <w:szCs w:val="2"/>
        </w:rPr>
      </w:pPr>
      <w:r>
        <w:pict w14:anchorId="5E18A558">
          <v:line id="_x0000_s2084" style="position:absolute;z-index:-255611904;mso-position-horizontal-relative:page;mso-position-vertical-relative:page" from="180.55pt,588.85pt" to="515.5pt,588.85pt" strokeweight=".62pt">
            <w10:wrap anchorx="page" anchory="page"/>
          </v:line>
        </w:pict>
      </w:r>
      <w:r>
        <w:pict w14:anchorId="728C0E49">
          <v:group id="_x0000_s2076" style="position:absolute;margin-left:228.45pt;margin-top:317.85pt;width:244.25pt;height:138.3pt;z-index:-255610880;mso-position-horizontal-relative:page;mso-position-vertical-relative:page" coordorigin="4569,6357" coordsize="4885,2766">
            <v:shape id="_x0000_s2083" style="position:absolute;left:4627;top:6416;width:4769;height:2648" coordorigin="4627,6416" coordsize="4769,2648" path="m9396,6416r-69,38l9259,6492r-68,38l9123,6568r-68,37l8987,6643r-68,38l8851,6719r-68,38l8714,6795r-68,37l8578,6870r-68,38l8442,6946r-68,38l8306,7021r-69,38l8169,7097r-68,38l8033,7173r-68,38l7897,7249r-68,37l7761,7324r-68,38l7624,7400r-68,38l7488,7475r-68,38l7352,7551r-68,38l7216,7627r-68,38l7079,7702r-68,38l6943,7778r-68,38l6807,7854r-68,37l6671,7929r-68,38l6534,8005r-68,38l6398,8081r-68,38l6262,8156r-68,38l6126,8232r-68,38l5989,8308r-68,37l5853,8383r-68,38l5717,8459r-68,38l5581,8535r-69,37l5444,8610r-68,38l5308,8686r-68,38l5172,8762r-68,37l5036,8837r-68,38l4899,8913r-68,38l4763,8988r-68,38l4627,9064e" filled="f" strokecolor="#4f81bc" strokeweight="1.5pt">
              <v:path arrowok="t"/>
            </v:shape>
            <v:shape id="_x0000_s2082" type="#_x0000_t75" style="position:absolute;left:9337;top:6356;width:116;height:116">
              <v:imagedata r:id="rId14" o:title=""/>
            </v:shape>
            <v:shape id="_x0000_s2081" type="#_x0000_t75" style="position:absolute;left:8382;top:6887;width:116;height:116">
              <v:imagedata r:id="rId14" o:title=""/>
            </v:shape>
            <v:shape id="_x0000_s2080" type="#_x0000_t75" style="position:absolute;left:7429;top:7417;width:116;height:116">
              <v:imagedata r:id="rId13" o:title=""/>
            </v:shape>
            <v:shape id="_x0000_s2079" type="#_x0000_t75" style="position:absolute;left:6476;top:7945;width:116;height:116">
              <v:imagedata r:id="rId14" o:title=""/>
            </v:shape>
            <v:shape id="_x0000_s2078" type="#_x0000_t75" style="position:absolute;left:5521;top:8475;width:116;height:116">
              <v:imagedata r:id="rId15" o:title=""/>
            </v:shape>
            <v:shape id="_x0000_s2077" type="#_x0000_t75" style="position:absolute;left:4568;top:9006;width:116;height:116">
              <v:imagedata r:id="rId15" o:title=""/>
            </v:shape>
            <w10:wrap anchorx="page" anchory="page"/>
          </v:group>
        </w:pict>
      </w:r>
      <w:r>
        <w:pict w14:anchorId="020D0740">
          <v:shape id="_x0000_s2075" type="#_x0000_t202" style="position:absolute;margin-left:183.8pt;margin-top:364.95pt;width:12pt;height:44.35pt;z-index:-255609856;mso-position-horizontal-relative:page;mso-position-vertical-relative:page" filled="f" stroked="f">
            <v:textbox style="layout-flow:vertical;mso-layout-flow-alt:bottom-to-top" inset="0,0,0,0">
              <w:txbxContent>
                <w:p w14:paraId="0F34C7F9" w14:textId="77777777" w:rsidR="00D757DA" w:rsidRDefault="0033254E">
                  <w:pPr>
                    <w:spacing w:line="223" w:lineRule="exact"/>
                    <w:ind w:left="20"/>
                    <w:rPr>
                      <w:rFonts w:ascii="Calibri"/>
                      <w:sz w:val="20"/>
                    </w:rPr>
                  </w:pPr>
                  <w:r>
                    <w:rPr>
                      <w:rFonts w:ascii="Calibri"/>
                      <w:color w:val="585858"/>
                      <w:sz w:val="20"/>
                    </w:rPr>
                    <w:t>SP4, Euros</w:t>
                  </w:r>
                </w:p>
              </w:txbxContent>
            </v:textbox>
            <w10:wrap anchorx="page" anchory="page"/>
          </v:shape>
        </w:pict>
      </w:r>
      <w:r>
        <w:pict w14:anchorId="48DBD820">
          <v:shape id="_x0000_s2074" type="#_x0000_t202" style="position:absolute;margin-left:231pt;margin-top:320.45pt;width:239.6pt;height:133.15pt;z-index:251675648;mso-position-horizontal-relative:page;mso-position-vertical-relative:page" filled="f" stroked="f">
            <v:textbox inset="0,0,0,0">
              <w:txbxContent>
                <w:tbl>
                  <w:tblPr>
                    <w:tblStyle w:val="TableNormal"/>
                    <w:tblW w:w="0" w:type="auto"/>
                    <w:tblInd w:w="7"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1E0" w:firstRow="1" w:lastRow="1" w:firstColumn="1" w:lastColumn="1" w:noHBand="0" w:noVBand="0"/>
                  </w:tblPr>
                  <w:tblGrid>
                    <w:gridCol w:w="953"/>
                    <w:gridCol w:w="955"/>
                    <w:gridCol w:w="952"/>
                    <w:gridCol w:w="952"/>
                    <w:gridCol w:w="954"/>
                  </w:tblGrid>
                  <w:tr w:rsidR="00D757DA" w14:paraId="715331EE" w14:textId="77777777">
                    <w:trPr>
                      <w:trHeight w:val="514"/>
                    </w:trPr>
                    <w:tc>
                      <w:tcPr>
                        <w:tcW w:w="953" w:type="dxa"/>
                        <w:tcBorders>
                          <w:left w:val="single" w:sz="6" w:space="0" w:color="BEBEBE"/>
                        </w:tcBorders>
                      </w:tcPr>
                      <w:p w14:paraId="49DE1059" w14:textId="77777777" w:rsidR="00D757DA" w:rsidRDefault="00D757DA">
                        <w:pPr>
                          <w:pStyle w:val="TableParagraph"/>
                          <w:rPr>
                            <w:rFonts w:ascii="Times New Roman"/>
                            <w:sz w:val="20"/>
                          </w:rPr>
                        </w:pPr>
                      </w:p>
                    </w:tc>
                    <w:tc>
                      <w:tcPr>
                        <w:tcW w:w="955" w:type="dxa"/>
                      </w:tcPr>
                      <w:p w14:paraId="672608B6" w14:textId="77777777" w:rsidR="00D757DA" w:rsidRDefault="00D757DA">
                        <w:pPr>
                          <w:pStyle w:val="TableParagraph"/>
                          <w:rPr>
                            <w:rFonts w:ascii="Times New Roman"/>
                            <w:sz w:val="20"/>
                          </w:rPr>
                        </w:pPr>
                      </w:p>
                    </w:tc>
                    <w:tc>
                      <w:tcPr>
                        <w:tcW w:w="952" w:type="dxa"/>
                      </w:tcPr>
                      <w:p w14:paraId="39291AEA" w14:textId="77777777" w:rsidR="00D757DA" w:rsidRDefault="00D757DA">
                        <w:pPr>
                          <w:pStyle w:val="TableParagraph"/>
                          <w:rPr>
                            <w:rFonts w:ascii="Times New Roman"/>
                            <w:sz w:val="20"/>
                          </w:rPr>
                        </w:pPr>
                      </w:p>
                    </w:tc>
                    <w:tc>
                      <w:tcPr>
                        <w:tcW w:w="952" w:type="dxa"/>
                      </w:tcPr>
                      <w:p w14:paraId="78FA52F4" w14:textId="77777777" w:rsidR="00D757DA" w:rsidRDefault="00D757DA">
                        <w:pPr>
                          <w:pStyle w:val="TableParagraph"/>
                          <w:spacing w:before="1"/>
                          <w:rPr>
                            <w:sz w:val="14"/>
                          </w:rPr>
                        </w:pPr>
                      </w:p>
                      <w:p w14:paraId="364D5393" w14:textId="77777777" w:rsidR="00D757DA" w:rsidRDefault="0033254E">
                        <w:pPr>
                          <w:pStyle w:val="TableParagraph"/>
                          <w:ind w:right="-144"/>
                          <w:jc w:val="right"/>
                          <w:rPr>
                            <w:rFonts w:ascii="Calibri"/>
                            <w:sz w:val="18"/>
                          </w:rPr>
                        </w:pPr>
                        <w:r>
                          <w:rPr>
                            <w:rFonts w:ascii="Calibri"/>
                            <w:color w:val="404040"/>
                            <w:sz w:val="18"/>
                          </w:rPr>
                          <w:t>8,00</w:t>
                        </w:r>
                      </w:p>
                    </w:tc>
                    <w:tc>
                      <w:tcPr>
                        <w:tcW w:w="954" w:type="dxa"/>
                      </w:tcPr>
                      <w:p w14:paraId="4F8C0ED6" w14:textId="77777777" w:rsidR="00D757DA" w:rsidRDefault="00D757DA">
                        <w:pPr>
                          <w:pStyle w:val="TableParagraph"/>
                          <w:spacing w:before="1"/>
                          <w:rPr>
                            <w:sz w:val="14"/>
                          </w:rPr>
                        </w:pPr>
                      </w:p>
                      <w:p w14:paraId="4B21F8D0" w14:textId="77777777" w:rsidR="00D757DA" w:rsidRDefault="0033254E">
                        <w:pPr>
                          <w:pStyle w:val="TableParagraph"/>
                          <w:ind w:left="116"/>
                          <w:rPr>
                            <w:rFonts w:ascii="Calibri"/>
                            <w:sz w:val="18"/>
                          </w:rPr>
                        </w:pPr>
                        <w:r>
                          <w:rPr>
                            <w:rFonts w:ascii="Calibri"/>
                            <w:color w:val="404040"/>
                            <w:sz w:val="18"/>
                          </w:rPr>
                          <w:t>0</w:t>
                        </w:r>
                      </w:p>
                    </w:tc>
                  </w:tr>
                  <w:tr w:rsidR="00D757DA" w14:paraId="195EFEAE" w14:textId="77777777">
                    <w:trPr>
                      <w:trHeight w:val="515"/>
                    </w:trPr>
                    <w:tc>
                      <w:tcPr>
                        <w:tcW w:w="953" w:type="dxa"/>
                        <w:tcBorders>
                          <w:left w:val="single" w:sz="6" w:space="0" w:color="BEBEBE"/>
                        </w:tcBorders>
                      </w:tcPr>
                      <w:p w14:paraId="1FAF66A8" w14:textId="77777777" w:rsidR="00D757DA" w:rsidRDefault="00D757DA">
                        <w:pPr>
                          <w:pStyle w:val="TableParagraph"/>
                          <w:rPr>
                            <w:rFonts w:ascii="Times New Roman"/>
                            <w:sz w:val="20"/>
                          </w:rPr>
                        </w:pPr>
                      </w:p>
                    </w:tc>
                    <w:tc>
                      <w:tcPr>
                        <w:tcW w:w="955" w:type="dxa"/>
                      </w:tcPr>
                      <w:p w14:paraId="270203CA" w14:textId="77777777" w:rsidR="00D757DA" w:rsidRDefault="00D757DA">
                        <w:pPr>
                          <w:pStyle w:val="TableParagraph"/>
                          <w:rPr>
                            <w:rFonts w:ascii="Times New Roman"/>
                            <w:sz w:val="20"/>
                          </w:rPr>
                        </w:pPr>
                      </w:p>
                    </w:tc>
                    <w:tc>
                      <w:tcPr>
                        <w:tcW w:w="952" w:type="dxa"/>
                      </w:tcPr>
                      <w:p w14:paraId="13581E2C" w14:textId="77777777" w:rsidR="00D757DA" w:rsidRDefault="00D757DA">
                        <w:pPr>
                          <w:pStyle w:val="TableParagraph"/>
                          <w:spacing w:before="1"/>
                          <w:rPr>
                            <w:sz w:val="14"/>
                          </w:rPr>
                        </w:pPr>
                      </w:p>
                      <w:p w14:paraId="368A43E5" w14:textId="77777777" w:rsidR="00D757DA" w:rsidRDefault="0033254E">
                        <w:pPr>
                          <w:pStyle w:val="TableParagraph"/>
                          <w:spacing w:before="1"/>
                          <w:ind w:right="-144"/>
                          <w:jc w:val="right"/>
                          <w:rPr>
                            <w:rFonts w:ascii="Calibri"/>
                            <w:sz w:val="18"/>
                          </w:rPr>
                        </w:pPr>
                        <w:r>
                          <w:rPr>
                            <w:rFonts w:ascii="Calibri"/>
                            <w:color w:val="404040"/>
                            <w:sz w:val="18"/>
                          </w:rPr>
                          <w:t>6,00</w:t>
                        </w:r>
                      </w:p>
                    </w:tc>
                    <w:tc>
                      <w:tcPr>
                        <w:tcW w:w="952" w:type="dxa"/>
                      </w:tcPr>
                      <w:p w14:paraId="715B6DB9" w14:textId="77777777" w:rsidR="00D757DA" w:rsidRDefault="00D757DA">
                        <w:pPr>
                          <w:pStyle w:val="TableParagraph"/>
                          <w:spacing w:before="1"/>
                          <w:rPr>
                            <w:sz w:val="14"/>
                          </w:rPr>
                        </w:pPr>
                      </w:p>
                      <w:p w14:paraId="5B8D41A0" w14:textId="77777777" w:rsidR="00D757DA" w:rsidRDefault="0033254E">
                        <w:pPr>
                          <w:pStyle w:val="TableParagraph"/>
                          <w:spacing w:before="1"/>
                          <w:ind w:left="114"/>
                          <w:rPr>
                            <w:rFonts w:ascii="Calibri"/>
                            <w:sz w:val="18"/>
                          </w:rPr>
                        </w:pPr>
                        <w:r>
                          <w:rPr>
                            <w:rFonts w:ascii="Calibri"/>
                            <w:color w:val="404040"/>
                            <w:sz w:val="18"/>
                          </w:rPr>
                          <w:t>0</w:t>
                        </w:r>
                      </w:p>
                    </w:tc>
                    <w:tc>
                      <w:tcPr>
                        <w:tcW w:w="954" w:type="dxa"/>
                      </w:tcPr>
                      <w:p w14:paraId="551B74DC" w14:textId="77777777" w:rsidR="00D757DA" w:rsidRDefault="00D757DA">
                        <w:pPr>
                          <w:pStyle w:val="TableParagraph"/>
                          <w:rPr>
                            <w:rFonts w:ascii="Times New Roman"/>
                            <w:sz w:val="20"/>
                          </w:rPr>
                        </w:pPr>
                      </w:p>
                    </w:tc>
                  </w:tr>
                  <w:tr w:rsidR="00D757DA" w14:paraId="16BBCAAD" w14:textId="77777777">
                    <w:trPr>
                      <w:trHeight w:val="513"/>
                    </w:trPr>
                    <w:tc>
                      <w:tcPr>
                        <w:tcW w:w="953" w:type="dxa"/>
                        <w:tcBorders>
                          <w:left w:val="single" w:sz="6" w:space="0" w:color="BEBEBE"/>
                        </w:tcBorders>
                      </w:tcPr>
                      <w:p w14:paraId="6C5D1C1F" w14:textId="77777777" w:rsidR="00D757DA" w:rsidRDefault="00D757DA">
                        <w:pPr>
                          <w:pStyle w:val="TableParagraph"/>
                          <w:rPr>
                            <w:rFonts w:ascii="Times New Roman"/>
                            <w:sz w:val="20"/>
                          </w:rPr>
                        </w:pPr>
                      </w:p>
                    </w:tc>
                    <w:tc>
                      <w:tcPr>
                        <w:tcW w:w="955" w:type="dxa"/>
                      </w:tcPr>
                      <w:p w14:paraId="4B0CB2F8" w14:textId="77777777" w:rsidR="00D757DA" w:rsidRDefault="0033254E">
                        <w:pPr>
                          <w:pStyle w:val="TableParagraph"/>
                          <w:spacing w:before="162"/>
                          <w:ind w:right="-130"/>
                          <w:jc w:val="right"/>
                          <w:rPr>
                            <w:rFonts w:ascii="Calibri"/>
                            <w:sz w:val="18"/>
                          </w:rPr>
                        </w:pPr>
                        <w:r>
                          <w:rPr>
                            <w:rFonts w:ascii="Calibri"/>
                            <w:color w:val="404040"/>
                            <w:sz w:val="18"/>
                          </w:rPr>
                          <w:t>4,00</w:t>
                        </w:r>
                      </w:p>
                    </w:tc>
                    <w:tc>
                      <w:tcPr>
                        <w:tcW w:w="952" w:type="dxa"/>
                      </w:tcPr>
                      <w:p w14:paraId="413AA88A" w14:textId="77777777" w:rsidR="00D757DA" w:rsidRDefault="0033254E">
                        <w:pPr>
                          <w:pStyle w:val="TableParagraph"/>
                          <w:spacing w:before="162"/>
                          <w:ind w:left="112"/>
                          <w:rPr>
                            <w:rFonts w:ascii="Calibri"/>
                            <w:sz w:val="18"/>
                          </w:rPr>
                        </w:pPr>
                        <w:r>
                          <w:rPr>
                            <w:rFonts w:ascii="Calibri"/>
                            <w:color w:val="404040"/>
                            <w:sz w:val="18"/>
                          </w:rPr>
                          <w:t>0</w:t>
                        </w:r>
                      </w:p>
                    </w:tc>
                    <w:tc>
                      <w:tcPr>
                        <w:tcW w:w="952" w:type="dxa"/>
                      </w:tcPr>
                      <w:p w14:paraId="026084D0" w14:textId="77777777" w:rsidR="00D757DA" w:rsidRDefault="00D757DA">
                        <w:pPr>
                          <w:pStyle w:val="TableParagraph"/>
                          <w:rPr>
                            <w:rFonts w:ascii="Times New Roman"/>
                            <w:sz w:val="20"/>
                          </w:rPr>
                        </w:pPr>
                      </w:p>
                    </w:tc>
                    <w:tc>
                      <w:tcPr>
                        <w:tcW w:w="954" w:type="dxa"/>
                      </w:tcPr>
                      <w:p w14:paraId="4BD3C866" w14:textId="77777777" w:rsidR="00D757DA" w:rsidRDefault="00D757DA">
                        <w:pPr>
                          <w:pStyle w:val="TableParagraph"/>
                          <w:rPr>
                            <w:rFonts w:ascii="Times New Roman"/>
                            <w:sz w:val="20"/>
                          </w:rPr>
                        </w:pPr>
                      </w:p>
                    </w:tc>
                  </w:tr>
                  <w:tr w:rsidR="00D757DA" w14:paraId="2CAC2451" w14:textId="77777777">
                    <w:trPr>
                      <w:trHeight w:val="515"/>
                    </w:trPr>
                    <w:tc>
                      <w:tcPr>
                        <w:tcW w:w="953" w:type="dxa"/>
                        <w:tcBorders>
                          <w:left w:val="single" w:sz="6" w:space="0" w:color="BEBEBE"/>
                        </w:tcBorders>
                      </w:tcPr>
                      <w:p w14:paraId="3D5AFC41" w14:textId="77777777" w:rsidR="00D757DA" w:rsidRDefault="00D757DA">
                        <w:pPr>
                          <w:pStyle w:val="TableParagraph"/>
                          <w:spacing w:before="2"/>
                          <w:rPr>
                            <w:sz w:val="14"/>
                          </w:rPr>
                        </w:pPr>
                      </w:p>
                      <w:p w14:paraId="668C264C" w14:textId="77777777" w:rsidR="00D757DA" w:rsidRDefault="0033254E">
                        <w:pPr>
                          <w:pStyle w:val="TableParagraph"/>
                          <w:spacing w:before="1"/>
                          <w:ind w:right="-130"/>
                          <w:jc w:val="right"/>
                          <w:rPr>
                            <w:rFonts w:ascii="Calibri"/>
                            <w:sz w:val="18"/>
                          </w:rPr>
                        </w:pPr>
                        <w:r>
                          <w:rPr>
                            <w:rFonts w:ascii="Calibri"/>
                            <w:color w:val="404040"/>
                            <w:sz w:val="18"/>
                          </w:rPr>
                          <w:t>2,00</w:t>
                        </w:r>
                      </w:p>
                    </w:tc>
                    <w:tc>
                      <w:tcPr>
                        <w:tcW w:w="955" w:type="dxa"/>
                      </w:tcPr>
                      <w:p w14:paraId="29A625E6" w14:textId="77777777" w:rsidR="00D757DA" w:rsidRDefault="00D757DA">
                        <w:pPr>
                          <w:pStyle w:val="TableParagraph"/>
                          <w:spacing w:before="2"/>
                          <w:rPr>
                            <w:sz w:val="14"/>
                          </w:rPr>
                        </w:pPr>
                      </w:p>
                      <w:p w14:paraId="6608BECC" w14:textId="77777777" w:rsidR="00D757DA" w:rsidRDefault="0033254E">
                        <w:pPr>
                          <w:pStyle w:val="TableParagraph"/>
                          <w:spacing w:before="1"/>
                          <w:ind w:left="114"/>
                          <w:rPr>
                            <w:rFonts w:ascii="Calibri"/>
                            <w:sz w:val="18"/>
                          </w:rPr>
                        </w:pPr>
                        <w:r>
                          <w:rPr>
                            <w:rFonts w:ascii="Calibri"/>
                            <w:color w:val="404040"/>
                            <w:sz w:val="18"/>
                          </w:rPr>
                          <w:t>0</w:t>
                        </w:r>
                      </w:p>
                    </w:tc>
                    <w:tc>
                      <w:tcPr>
                        <w:tcW w:w="952" w:type="dxa"/>
                      </w:tcPr>
                      <w:p w14:paraId="788C7491" w14:textId="77777777" w:rsidR="00D757DA" w:rsidRDefault="00D757DA">
                        <w:pPr>
                          <w:pStyle w:val="TableParagraph"/>
                          <w:rPr>
                            <w:rFonts w:ascii="Times New Roman"/>
                            <w:sz w:val="20"/>
                          </w:rPr>
                        </w:pPr>
                      </w:p>
                    </w:tc>
                    <w:tc>
                      <w:tcPr>
                        <w:tcW w:w="952" w:type="dxa"/>
                      </w:tcPr>
                      <w:p w14:paraId="3F60E46C" w14:textId="77777777" w:rsidR="00D757DA" w:rsidRDefault="00D757DA">
                        <w:pPr>
                          <w:pStyle w:val="TableParagraph"/>
                          <w:rPr>
                            <w:rFonts w:ascii="Times New Roman"/>
                            <w:sz w:val="20"/>
                          </w:rPr>
                        </w:pPr>
                      </w:p>
                    </w:tc>
                    <w:tc>
                      <w:tcPr>
                        <w:tcW w:w="954" w:type="dxa"/>
                      </w:tcPr>
                      <w:p w14:paraId="0327E5EB" w14:textId="77777777" w:rsidR="00D757DA" w:rsidRDefault="00D757DA">
                        <w:pPr>
                          <w:pStyle w:val="TableParagraph"/>
                          <w:rPr>
                            <w:rFonts w:ascii="Times New Roman"/>
                            <w:sz w:val="20"/>
                          </w:rPr>
                        </w:pPr>
                      </w:p>
                    </w:tc>
                  </w:tr>
                  <w:tr w:rsidR="00D757DA" w14:paraId="42B3FDCB" w14:textId="77777777">
                    <w:trPr>
                      <w:trHeight w:val="514"/>
                    </w:trPr>
                    <w:tc>
                      <w:tcPr>
                        <w:tcW w:w="953" w:type="dxa"/>
                        <w:tcBorders>
                          <w:left w:val="single" w:sz="6" w:space="0" w:color="BEBEBE"/>
                          <w:bottom w:val="single" w:sz="6" w:space="0" w:color="BEBEBE"/>
                        </w:tcBorders>
                      </w:tcPr>
                      <w:p w14:paraId="62F9F6E4" w14:textId="77777777" w:rsidR="00D757DA" w:rsidRDefault="00D757DA">
                        <w:pPr>
                          <w:pStyle w:val="TableParagraph"/>
                          <w:spacing w:before="1"/>
                          <w:rPr>
                            <w:sz w:val="14"/>
                          </w:rPr>
                        </w:pPr>
                      </w:p>
                      <w:p w14:paraId="2A8173E7" w14:textId="77777777" w:rsidR="00D757DA" w:rsidRDefault="0033254E">
                        <w:pPr>
                          <w:pStyle w:val="TableParagraph"/>
                          <w:spacing w:before="1"/>
                          <w:ind w:left="-45"/>
                          <w:rPr>
                            <w:rFonts w:ascii="Calibri"/>
                            <w:sz w:val="18"/>
                          </w:rPr>
                        </w:pPr>
                        <w:r>
                          <w:rPr>
                            <w:rFonts w:ascii="Calibri"/>
                            <w:color w:val="404040"/>
                            <w:sz w:val="18"/>
                          </w:rPr>
                          <w:t>0</w:t>
                        </w:r>
                      </w:p>
                    </w:tc>
                    <w:tc>
                      <w:tcPr>
                        <w:tcW w:w="955" w:type="dxa"/>
                        <w:tcBorders>
                          <w:bottom w:val="single" w:sz="6" w:space="0" w:color="BEBEBE"/>
                        </w:tcBorders>
                      </w:tcPr>
                      <w:p w14:paraId="43482E0C" w14:textId="77777777" w:rsidR="00D757DA" w:rsidRDefault="00D757DA">
                        <w:pPr>
                          <w:pStyle w:val="TableParagraph"/>
                          <w:rPr>
                            <w:rFonts w:ascii="Times New Roman"/>
                            <w:sz w:val="20"/>
                          </w:rPr>
                        </w:pPr>
                      </w:p>
                    </w:tc>
                    <w:tc>
                      <w:tcPr>
                        <w:tcW w:w="952" w:type="dxa"/>
                        <w:tcBorders>
                          <w:bottom w:val="single" w:sz="6" w:space="0" w:color="BEBEBE"/>
                        </w:tcBorders>
                      </w:tcPr>
                      <w:p w14:paraId="431B66FD" w14:textId="77777777" w:rsidR="00D757DA" w:rsidRDefault="00D757DA">
                        <w:pPr>
                          <w:pStyle w:val="TableParagraph"/>
                          <w:rPr>
                            <w:rFonts w:ascii="Times New Roman"/>
                            <w:sz w:val="20"/>
                          </w:rPr>
                        </w:pPr>
                      </w:p>
                    </w:tc>
                    <w:tc>
                      <w:tcPr>
                        <w:tcW w:w="952" w:type="dxa"/>
                        <w:tcBorders>
                          <w:bottom w:val="single" w:sz="6" w:space="0" w:color="BEBEBE"/>
                        </w:tcBorders>
                      </w:tcPr>
                      <w:p w14:paraId="0D4ACF94" w14:textId="77777777" w:rsidR="00D757DA" w:rsidRDefault="00D757DA">
                        <w:pPr>
                          <w:pStyle w:val="TableParagraph"/>
                          <w:rPr>
                            <w:rFonts w:ascii="Times New Roman"/>
                            <w:sz w:val="20"/>
                          </w:rPr>
                        </w:pPr>
                      </w:p>
                    </w:tc>
                    <w:tc>
                      <w:tcPr>
                        <w:tcW w:w="954" w:type="dxa"/>
                        <w:tcBorders>
                          <w:bottom w:val="single" w:sz="6" w:space="0" w:color="BEBEBE"/>
                        </w:tcBorders>
                      </w:tcPr>
                      <w:p w14:paraId="0A0A282D" w14:textId="77777777" w:rsidR="00D757DA" w:rsidRDefault="00D757DA">
                        <w:pPr>
                          <w:pStyle w:val="TableParagraph"/>
                          <w:rPr>
                            <w:rFonts w:ascii="Times New Roman"/>
                            <w:sz w:val="20"/>
                          </w:rPr>
                        </w:pPr>
                      </w:p>
                    </w:tc>
                  </w:tr>
                </w:tbl>
                <w:p w14:paraId="0E1C3E79" w14:textId="77777777" w:rsidR="00D757DA" w:rsidRDefault="00D757DA">
                  <w:pPr>
                    <w:pStyle w:val="Zkladntext"/>
                  </w:pPr>
                </w:p>
              </w:txbxContent>
            </v:textbox>
            <w10:wrap anchorx="page" anchory="page"/>
          </v:shape>
        </w:pict>
      </w:r>
    </w:p>
    <w:p w14:paraId="7FDBFB4A" w14:textId="77777777" w:rsidR="00D757DA" w:rsidRDefault="00D757DA">
      <w:pPr>
        <w:rPr>
          <w:sz w:val="2"/>
          <w:szCs w:val="2"/>
        </w:rPr>
        <w:sectPr w:rsidR="00D757DA">
          <w:pgSz w:w="11910" w:h="16840"/>
          <w:pgMar w:top="1420" w:right="0" w:bottom="1080" w:left="1320" w:header="0" w:footer="881" w:gutter="0"/>
          <w:cols w:space="708"/>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8"/>
        <w:gridCol w:w="107"/>
        <w:gridCol w:w="1711"/>
        <w:gridCol w:w="3879"/>
        <w:gridCol w:w="998"/>
        <w:gridCol w:w="467"/>
      </w:tblGrid>
      <w:tr w:rsidR="00D757DA" w14:paraId="3F3A3AAD" w14:textId="77777777">
        <w:trPr>
          <w:trHeight w:val="873"/>
        </w:trPr>
        <w:tc>
          <w:tcPr>
            <w:tcW w:w="1858" w:type="dxa"/>
          </w:tcPr>
          <w:p w14:paraId="354433BB" w14:textId="77777777" w:rsidR="00D757DA" w:rsidRDefault="0033254E">
            <w:pPr>
              <w:pStyle w:val="TableParagraph"/>
              <w:spacing w:before="146" w:line="276" w:lineRule="auto"/>
              <w:ind w:left="335" w:right="307" w:firstLine="139"/>
              <w:rPr>
                <w:b/>
              </w:rPr>
            </w:pPr>
            <w:r>
              <w:rPr>
                <w:b/>
              </w:rPr>
              <w:lastRenderedPageBreak/>
              <w:t>Services description</w:t>
            </w:r>
          </w:p>
        </w:tc>
        <w:tc>
          <w:tcPr>
            <w:tcW w:w="7162" w:type="dxa"/>
            <w:gridSpan w:val="5"/>
          </w:tcPr>
          <w:p w14:paraId="14814B80" w14:textId="77777777" w:rsidR="00D757DA" w:rsidRDefault="0033254E">
            <w:pPr>
              <w:pStyle w:val="TableParagraph"/>
              <w:spacing w:before="146" w:line="276" w:lineRule="auto"/>
              <w:ind w:left="2349" w:right="301" w:hanging="2024"/>
              <w:rPr>
                <w:b/>
              </w:rPr>
            </w:pPr>
            <w:r>
              <w:rPr>
                <w:b/>
              </w:rPr>
              <w:t>Agreed service value levels (averages over the service period) and service parameters</w:t>
            </w:r>
          </w:p>
        </w:tc>
      </w:tr>
      <w:tr w:rsidR="00D757DA" w14:paraId="4D60A608" w14:textId="77777777">
        <w:trPr>
          <w:trHeight w:val="481"/>
        </w:trPr>
        <w:tc>
          <w:tcPr>
            <w:tcW w:w="1858" w:type="dxa"/>
            <w:vMerge w:val="restart"/>
          </w:tcPr>
          <w:p w14:paraId="37E9DC22" w14:textId="77777777" w:rsidR="00D757DA" w:rsidRDefault="00D757DA">
            <w:pPr>
              <w:pStyle w:val="TableParagraph"/>
              <w:rPr>
                <w:rFonts w:ascii="Times New Roman"/>
                <w:sz w:val="20"/>
              </w:rPr>
            </w:pPr>
          </w:p>
        </w:tc>
        <w:tc>
          <w:tcPr>
            <w:tcW w:w="7162" w:type="dxa"/>
            <w:gridSpan w:val="5"/>
            <w:tcBorders>
              <w:bottom w:val="nil"/>
            </w:tcBorders>
          </w:tcPr>
          <w:p w14:paraId="21AEE3AA" w14:textId="77777777" w:rsidR="00D757DA" w:rsidRDefault="0033254E">
            <w:pPr>
              <w:pStyle w:val="TableParagraph"/>
              <w:spacing w:before="119"/>
              <w:ind w:left="278"/>
              <w:rPr>
                <w:sz w:val="20"/>
              </w:rPr>
            </w:pPr>
            <w:r>
              <w:rPr>
                <w:sz w:val="20"/>
              </w:rPr>
              <w:t>and</w:t>
            </w:r>
          </w:p>
        </w:tc>
      </w:tr>
      <w:tr w:rsidR="00D757DA" w14:paraId="55FAD5A3" w14:textId="77777777">
        <w:trPr>
          <w:trHeight w:val="674"/>
        </w:trPr>
        <w:tc>
          <w:tcPr>
            <w:tcW w:w="1858" w:type="dxa"/>
            <w:vMerge/>
            <w:tcBorders>
              <w:top w:val="nil"/>
            </w:tcBorders>
          </w:tcPr>
          <w:p w14:paraId="0FCE605E" w14:textId="77777777" w:rsidR="00D757DA" w:rsidRDefault="00D757DA">
            <w:pPr>
              <w:rPr>
                <w:sz w:val="2"/>
                <w:szCs w:val="2"/>
              </w:rPr>
            </w:pPr>
          </w:p>
        </w:tc>
        <w:tc>
          <w:tcPr>
            <w:tcW w:w="7162" w:type="dxa"/>
            <w:gridSpan w:val="5"/>
            <w:tcBorders>
              <w:top w:val="nil"/>
              <w:bottom w:val="nil"/>
            </w:tcBorders>
          </w:tcPr>
          <w:p w14:paraId="7B53B95B" w14:textId="77777777" w:rsidR="00D757DA" w:rsidRDefault="0033254E">
            <w:pPr>
              <w:pStyle w:val="TableParagraph"/>
              <w:spacing w:before="98"/>
              <w:ind w:left="278"/>
              <w:rPr>
                <w:rFonts w:ascii="Cambria Math" w:hAnsi="Cambria Math"/>
                <w:sz w:val="20"/>
              </w:rPr>
            </w:pPr>
            <w:r>
              <w:rPr>
                <w:rFonts w:ascii="Cambria Math" w:hAnsi="Cambria Math"/>
                <w:sz w:val="20"/>
              </w:rPr>
              <w:t>SP5min = 0 € when SV5 &lt;= 97,5%</w:t>
            </w:r>
          </w:p>
        </w:tc>
      </w:tr>
      <w:tr w:rsidR="00D757DA" w14:paraId="699BF397" w14:textId="77777777">
        <w:trPr>
          <w:trHeight w:val="419"/>
        </w:trPr>
        <w:tc>
          <w:tcPr>
            <w:tcW w:w="1858" w:type="dxa"/>
            <w:vMerge/>
            <w:tcBorders>
              <w:top w:val="nil"/>
            </w:tcBorders>
          </w:tcPr>
          <w:p w14:paraId="12E2B88B" w14:textId="77777777" w:rsidR="00D757DA" w:rsidRDefault="00D757DA">
            <w:pPr>
              <w:rPr>
                <w:sz w:val="2"/>
                <w:szCs w:val="2"/>
              </w:rPr>
            </w:pPr>
          </w:p>
        </w:tc>
        <w:tc>
          <w:tcPr>
            <w:tcW w:w="107" w:type="dxa"/>
            <w:vMerge w:val="restart"/>
            <w:tcBorders>
              <w:top w:val="nil"/>
              <w:right w:val="single" w:sz="6" w:space="0" w:color="D9D9D9"/>
            </w:tcBorders>
          </w:tcPr>
          <w:p w14:paraId="1ECE564F" w14:textId="77777777" w:rsidR="00D757DA" w:rsidRDefault="00D757DA">
            <w:pPr>
              <w:pStyle w:val="TableParagraph"/>
              <w:rPr>
                <w:rFonts w:ascii="Times New Roman"/>
                <w:sz w:val="20"/>
              </w:rPr>
            </w:pPr>
          </w:p>
        </w:tc>
        <w:tc>
          <w:tcPr>
            <w:tcW w:w="1711" w:type="dxa"/>
            <w:tcBorders>
              <w:top w:val="single" w:sz="6" w:space="0" w:color="D9D9D9"/>
              <w:left w:val="single" w:sz="6" w:space="0" w:color="D9D9D9"/>
              <w:bottom w:val="nil"/>
              <w:right w:val="nil"/>
            </w:tcBorders>
          </w:tcPr>
          <w:p w14:paraId="6CD1D5CF" w14:textId="77777777" w:rsidR="00D757DA" w:rsidRDefault="0033254E">
            <w:pPr>
              <w:pStyle w:val="TableParagraph"/>
              <w:spacing w:before="92"/>
              <w:ind w:left="551"/>
              <w:rPr>
                <w:rFonts w:ascii="Calibri"/>
                <w:sz w:val="18"/>
              </w:rPr>
            </w:pPr>
            <w:r>
              <w:rPr>
                <w:rFonts w:ascii="Calibri"/>
                <w:color w:val="585858"/>
                <w:sz w:val="18"/>
              </w:rPr>
              <w:t>60,000</w:t>
            </w:r>
          </w:p>
        </w:tc>
        <w:tc>
          <w:tcPr>
            <w:tcW w:w="3879" w:type="dxa"/>
            <w:tcBorders>
              <w:top w:val="single" w:sz="6" w:space="0" w:color="D9D9D9"/>
              <w:left w:val="nil"/>
              <w:bottom w:val="nil"/>
              <w:right w:val="nil"/>
            </w:tcBorders>
          </w:tcPr>
          <w:p w14:paraId="4904607B" w14:textId="77777777" w:rsidR="00D757DA" w:rsidRDefault="00D757DA">
            <w:pPr>
              <w:pStyle w:val="TableParagraph"/>
              <w:rPr>
                <w:rFonts w:ascii="Times New Roman"/>
                <w:sz w:val="20"/>
              </w:rPr>
            </w:pPr>
          </w:p>
        </w:tc>
        <w:tc>
          <w:tcPr>
            <w:tcW w:w="998" w:type="dxa"/>
            <w:tcBorders>
              <w:top w:val="single" w:sz="6" w:space="0" w:color="D9D9D9"/>
              <w:left w:val="nil"/>
              <w:bottom w:val="nil"/>
              <w:right w:val="single" w:sz="6" w:space="0" w:color="D9D9D9"/>
            </w:tcBorders>
          </w:tcPr>
          <w:p w14:paraId="47F6394E" w14:textId="77777777" w:rsidR="00D757DA" w:rsidRDefault="0033254E">
            <w:pPr>
              <w:pStyle w:val="TableParagraph"/>
              <w:spacing w:before="22"/>
              <w:ind w:left="224" w:right="187"/>
              <w:jc w:val="center"/>
              <w:rPr>
                <w:rFonts w:ascii="Calibri"/>
                <w:sz w:val="18"/>
              </w:rPr>
            </w:pPr>
            <w:r>
              <w:rPr>
                <w:rFonts w:ascii="Calibri"/>
                <w:color w:val="404040"/>
                <w:sz w:val="18"/>
              </w:rPr>
              <w:t>60,000</w:t>
            </w:r>
          </w:p>
        </w:tc>
        <w:tc>
          <w:tcPr>
            <w:tcW w:w="467" w:type="dxa"/>
            <w:vMerge w:val="restart"/>
            <w:tcBorders>
              <w:top w:val="nil"/>
              <w:left w:val="single" w:sz="6" w:space="0" w:color="D9D9D9"/>
            </w:tcBorders>
          </w:tcPr>
          <w:p w14:paraId="4C015162" w14:textId="77777777" w:rsidR="00D757DA" w:rsidRDefault="00D757DA">
            <w:pPr>
              <w:pStyle w:val="TableParagraph"/>
              <w:rPr>
                <w:rFonts w:ascii="Times New Roman"/>
                <w:sz w:val="20"/>
              </w:rPr>
            </w:pPr>
          </w:p>
        </w:tc>
      </w:tr>
      <w:tr w:rsidR="00D757DA" w14:paraId="51F49899" w14:textId="77777777">
        <w:trPr>
          <w:trHeight w:val="507"/>
        </w:trPr>
        <w:tc>
          <w:tcPr>
            <w:tcW w:w="1858" w:type="dxa"/>
            <w:vMerge/>
            <w:tcBorders>
              <w:top w:val="nil"/>
            </w:tcBorders>
          </w:tcPr>
          <w:p w14:paraId="1EDCE3A4" w14:textId="77777777" w:rsidR="00D757DA" w:rsidRDefault="00D757DA">
            <w:pPr>
              <w:rPr>
                <w:sz w:val="2"/>
                <w:szCs w:val="2"/>
              </w:rPr>
            </w:pPr>
          </w:p>
        </w:tc>
        <w:tc>
          <w:tcPr>
            <w:tcW w:w="107" w:type="dxa"/>
            <w:vMerge/>
            <w:tcBorders>
              <w:top w:val="nil"/>
              <w:right w:val="single" w:sz="6" w:space="0" w:color="D9D9D9"/>
            </w:tcBorders>
          </w:tcPr>
          <w:p w14:paraId="1B15C0C1" w14:textId="77777777" w:rsidR="00D757DA" w:rsidRDefault="00D757DA">
            <w:pPr>
              <w:rPr>
                <w:sz w:val="2"/>
                <w:szCs w:val="2"/>
              </w:rPr>
            </w:pPr>
          </w:p>
        </w:tc>
        <w:tc>
          <w:tcPr>
            <w:tcW w:w="1711" w:type="dxa"/>
            <w:tcBorders>
              <w:top w:val="nil"/>
              <w:left w:val="single" w:sz="6" w:space="0" w:color="D9D9D9"/>
              <w:bottom w:val="nil"/>
              <w:right w:val="nil"/>
            </w:tcBorders>
          </w:tcPr>
          <w:p w14:paraId="2C906C1B" w14:textId="77777777" w:rsidR="00D757DA" w:rsidRDefault="0033254E">
            <w:pPr>
              <w:pStyle w:val="TableParagraph"/>
              <w:spacing w:before="145"/>
              <w:ind w:left="551"/>
              <w:rPr>
                <w:rFonts w:ascii="Calibri"/>
                <w:sz w:val="18"/>
              </w:rPr>
            </w:pPr>
            <w:r>
              <w:rPr>
                <w:rFonts w:ascii="Calibri"/>
                <w:color w:val="585858"/>
                <w:sz w:val="18"/>
              </w:rPr>
              <w:t>50,000</w:t>
            </w:r>
          </w:p>
        </w:tc>
        <w:tc>
          <w:tcPr>
            <w:tcW w:w="3879" w:type="dxa"/>
            <w:tcBorders>
              <w:top w:val="nil"/>
              <w:left w:val="nil"/>
              <w:bottom w:val="nil"/>
              <w:right w:val="nil"/>
            </w:tcBorders>
          </w:tcPr>
          <w:p w14:paraId="3B8FFFEE" w14:textId="77777777" w:rsidR="00D757DA" w:rsidRDefault="00D757DA">
            <w:pPr>
              <w:pStyle w:val="TableParagraph"/>
              <w:rPr>
                <w:rFonts w:ascii="Times New Roman"/>
                <w:sz w:val="20"/>
              </w:rPr>
            </w:pPr>
          </w:p>
        </w:tc>
        <w:tc>
          <w:tcPr>
            <w:tcW w:w="998" w:type="dxa"/>
            <w:tcBorders>
              <w:top w:val="nil"/>
              <w:left w:val="nil"/>
              <w:bottom w:val="nil"/>
              <w:right w:val="single" w:sz="6" w:space="0" w:color="D9D9D9"/>
            </w:tcBorders>
          </w:tcPr>
          <w:p w14:paraId="1E5A292D" w14:textId="77777777" w:rsidR="00D757DA" w:rsidRDefault="00D757DA">
            <w:pPr>
              <w:pStyle w:val="TableParagraph"/>
              <w:rPr>
                <w:rFonts w:ascii="Times New Roman"/>
                <w:sz w:val="20"/>
              </w:rPr>
            </w:pPr>
          </w:p>
        </w:tc>
        <w:tc>
          <w:tcPr>
            <w:tcW w:w="467" w:type="dxa"/>
            <w:vMerge/>
            <w:tcBorders>
              <w:top w:val="nil"/>
              <w:left w:val="single" w:sz="6" w:space="0" w:color="D9D9D9"/>
            </w:tcBorders>
          </w:tcPr>
          <w:p w14:paraId="03EA636A" w14:textId="77777777" w:rsidR="00D757DA" w:rsidRDefault="00D757DA">
            <w:pPr>
              <w:rPr>
                <w:sz w:val="2"/>
                <w:szCs w:val="2"/>
              </w:rPr>
            </w:pPr>
          </w:p>
        </w:tc>
      </w:tr>
      <w:tr w:rsidR="00D757DA" w14:paraId="58B87158" w14:textId="77777777">
        <w:trPr>
          <w:trHeight w:val="341"/>
        </w:trPr>
        <w:tc>
          <w:tcPr>
            <w:tcW w:w="1858" w:type="dxa"/>
            <w:vMerge/>
            <w:tcBorders>
              <w:top w:val="nil"/>
            </w:tcBorders>
          </w:tcPr>
          <w:p w14:paraId="2F8EFD2D" w14:textId="77777777" w:rsidR="00D757DA" w:rsidRDefault="00D757DA">
            <w:pPr>
              <w:rPr>
                <w:sz w:val="2"/>
                <w:szCs w:val="2"/>
              </w:rPr>
            </w:pPr>
          </w:p>
        </w:tc>
        <w:tc>
          <w:tcPr>
            <w:tcW w:w="107" w:type="dxa"/>
            <w:vMerge/>
            <w:tcBorders>
              <w:top w:val="nil"/>
              <w:right w:val="single" w:sz="6" w:space="0" w:color="D9D9D9"/>
            </w:tcBorders>
          </w:tcPr>
          <w:p w14:paraId="1B9367CA" w14:textId="77777777" w:rsidR="00D757DA" w:rsidRDefault="00D757DA">
            <w:pPr>
              <w:rPr>
                <w:sz w:val="2"/>
                <w:szCs w:val="2"/>
              </w:rPr>
            </w:pPr>
          </w:p>
        </w:tc>
        <w:tc>
          <w:tcPr>
            <w:tcW w:w="1711" w:type="dxa"/>
            <w:tcBorders>
              <w:top w:val="nil"/>
              <w:left w:val="single" w:sz="6" w:space="0" w:color="D9D9D9"/>
              <w:bottom w:val="nil"/>
              <w:right w:val="nil"/>
            </w:tcBorders>
          </w:tcPr>
          <w:p w14:paraId="01016BF4" w14:textId="77777777" w:rsidR="00D757DA" w:rsidRDefault="0033254E">
            <w:pPr>
              <w:pStyle w:val="TableParagraph"/>
              <w:spacing w:before="110" w:line="212" w:lineRule="exact"/>
              <w:ind w:left="551"/>
              <w:rPr>
                <w:rFonts w:ascii="Calibri"/>
                <w:sz w:val="18"/>
              </w:rPr>
            </w:pPr>
            <w:r>
              <w:rPr>
                <w:rFonts w:ascii="Calibri"/>
                <w:color w:val="585858"/>
                <w:sz w:val="18"/>
              </w:rPr>
              <w:t>40,000</w:t>
            </w:r>
          </w:p>
        </w:tc>
        <w:tc>
          <w:tcPr>
            <w:tcW w:w="3879" w:type="dxa"/>
            <w:tcBorders>
              <w:top w:val="nil"/>
              <w:left w:val="nil"/>
              <w:bottom w:val="nil"/>
              <w:right w:val="nil"/>
            </w:tcBorders>
          </w:tcPr>
          <w:p w14:paraId="2E9732A1" w14:textId="77777777" w:rsidR="00D757DA" w:rsidRDefault="00D757DA">
            <w:pPr>
              <w:pStyle w:val="TableParagraph"/>
              <w:rPr>
                <w:rFonts w:ascii="Times New Roman"/>
                <w:sz w:val="20"/>
              </w:rPr>
            </w:pPr>
          </w:p>
        </w:tc>
        <w:tc>
          <w:tcPr>
            <w:tcW w:w="998" w:type="dxa"/>
            <w:tcBorders>
              <w:top w:val="nil"/>
              <w:left w:val="nil"/>
              <w:bottom w:val="nil"/>
              <w:right w:val="single" w:sz="6" w:space="0" w:color="D9D9D9"/>
            </w:tcBorders>
          </w:tcPr>
          <w:p w14:paraId="797E0CCC" w14:textId="77777777" w:rsidR="00D757DA" w:rsidRDefault="00D757DA">
            <w:pPr>
              <w:pStyle w:val="TableParagraph"/>
              <w:rPr>
                <w:rFonts w:ascii="Times New Roman"/>
                <w:sz w:val="20"/>
              </w:rPr>
            </w:pPr>
          </w:p>
        </w:tc>
        <w:tc>
          <w:tcPr>
            <w:tcW w:w="467" w:type="dxa"/>
            <w:vMerge/>
            <w:tcBorders>
              <w:top w:val="nil"/>
              <w:left w:val="single" w:sz="6" w:space="0" w:color="D9D9D9"/>
            </w:tcBorders>
          </w:tcPr>
          <w:p w14:paraId="73BDF04B" w14:textId="77777777" w:rsidR="00D757DA" w:rsidRDefault="00D757DA">
            <w:pPr>
              <w:rPr>
                <w:sz w:val="2"/>
                <w:szCs w:val="2"/>
              </w:rPr>
            </w:pPr>
          </w:p>
        </w:tc>
      </w:tr>
      <w:tr w:rsidR="00D757DA" w14:paraId="6CE7D532" w14:textId="77777777">
        <w:trPr>
          <w:trHeight w:val="199"/>
        </w:trPr>
        <w:tc>
          <w:tcPr>
            <w:tcW w:w="1858" w:type="dxa"/>
            <w:vMerge/>
            <w:tcBorders>
              <w:top w:val="nil"/>
            </w:tcBorders>
          </w:tcPr>
          <w:p w14:paraId="36E11FCD" w14:textId="77777777" w:rsidR="00D757DA" w:rsidRDefault="00D757DA">
            <w:pPr>
              <w:rPr>
                <w:sz w:val="2"/>
                <w:szCs w:val="2"/>
              </w:rPr>
            </w:pPr>
          </w:p>
        </w:tc>
        <w:tc>
          <w:tcPr>
            <w:tcW w:w="107" w:type="dxa"/>
            <w:vMerge/>
            <w:tcBorders>
              <w:top w:val="nil"/>
              <w:right w:val="single" w:sz="6" w:space="0" w:color="D9D9D9"/>
            </w:tcBorders>
          </w:tcPr>
          <w:p w14:paraId="758DC559" w14:textId="77777777" w:rsidR="00D757DA" w:rsidRDefault="00D757DA">
            <w:pPr>
              <w:rPr>
                <w:sz w:val="2"/>
                <w:szCs w:val="2"/>
              </w:rPr>
            </w:pPr>
          </w:p>
        </w:tc>
        <w:tc>
          <w:tcPr>
            <w:tcW w:w="1711" w:type="dxa"/>
            <w:tcBorders>
              <w:top w:val="nil"/>
              <w:left w:val="single" w:sz="6" w:space="0" w:color="D9D9D9"/>
              <w:bottom w:val="nil"/>
              <w:right w:val="nil"/>
            </w:tcBorders>
          </w:tcPr>
          <w:p w14:paraId="5AD8EB48" w14:textId="77777777" w:rsidR="00D757DA" w:rsidRDefault="00D757DA">
            <w:pPr>
              <w:pStyle w:val="TableParagraph"/>
              <w:rPr>
                <w:rFonts w:ascii="Times New Roman"/>
                <w:sz w:val="12"/>
              </w:rPr>
            </w:pPr>
          </w:p>
        </w:tc>
        <w:tc>
          <w:tcPr>
            <w:tcW w:w="3879" w:type="dxa"/>
            <w:tcBorders>
              <w:top w:val="nil"/>
              <w:left w:val="nil"/>
              <w:bottom w:val="nil"/>
              <w:right w:val="nil"/>
            </w:tcBorders>
          </w:tcPr>
          <w:p w14:paraId="4EC6FE0D" w14:textId="77777777" w:rsidR="00D757DA" w:rsidRDefault="00D757DA">
            <w:pPr>
              <w:pStyle w:val="TableParagraph"/>
              <w:rPr>
                <w:rFonts w:ascii="Times New Roman"/>
                <w:sz w:val="12"/>
              </w:rPr>
            </w:pPr>
          </w:p>
        </w:tc>
        <w:tc>
          <w:tcPr>
            <w:tcW w:w="998" w:type="dxa"/>
            <w:tcBorders>
              <w:top w:val="nil"/>
              <w:left w:val="nil"/>
              <w:bottom w:val="nil"/>
              <w:right w:val="single" w:sz="6" w:space="0" w:color="D9D9D9"/>
            </w:tcBorders>
          </w:tcPr>
          <w:p w14:paraId="430D0AD8" w14:textId="77777777" w:rsidR="00D757DA" w:rsidRDefault="00D757DA">
            <w:pPr>
              <w:pStyle w:val="TableParagraph"/>
              <w:rPr>
                <w:rFonts w:ascii="Times New Roman"/>
                <w:sz w:val="12"/>
              </w:rPr>
            </w:pPr>
          </w:p>
        </w:tc>
        <w:tc>
          <w:tcPr>
            <w:tcW w:w="467" w:type="dxa"/>
            <w:vMerge/>
            <w:tcBorders>
              <w:top w:val="nil"/>
              <w:left w:val="single" w:sz="6" w:space="0" w:color="D9D9D9"/>
            </w:tcBorders>
          </w:tcPr>
          <w:p w14:paraId="6665DD4E" w14:textId="77777777" w:rsidR="00D757DA" w:rsidRDefault="00D757DA">
            <w:pPr>
              <w:rPr>
                <w:sz w:val="2"/>
                <w:szCs w:val="2"/>
              </w:rPr>
            </w:pPr>
          </w:p>
        </w:tc>
      </w:tr>
      <w:tr w:rsidR="00D757DA" w14:paraId="51ACE2ED" w14:textId="77777777">
        <w:trPr>
          <w:trHeight w:val="311"/>
        </w:trPr>
        <w:tc>
          <w:tcPr>
            <w:tcW w:w="1858" w:type="dxa"/>
            <w:vMerge/>
            <w:tcBorders>
              <w:top w:val="nil"/>
            </w:tcBorders>
          </w:tcPr>
          <w:p w14:paraId="14EAD388" w14:textId="77777777" w:rsidR="00D757DA" w:rsidRDefault="00D757DA">
            <w:pPr>
              <w:rPr>
                <w:sz w:val="2"/>
                <w:szCs w:val="2"/>
              </w:rPr>
            </w:pPr>
          </w:p>
        </w:tc>
        <w:tc>
          <w:tcPr>
            <w:tcW w:w="107" w:type="dxa"/>
            <w:vMerge/>
            <w:tcBorders>
              <w:top w:val="nil"/>
              <w:right w:val="single" w:sz="6" w:space="0" w:color="D9D9D9"/>
            </w:tcBorders>
          </w:tcPr>
          <w:p w14:paraId="0FC1BF55" w14:textId="77777777" w:rsidR="00D757DA" w:rsidRDefault="00D757DA">
            <w:pPr>
              <w:rPr>
                <w:sz w:val="2"/>
                <w:szCs w:val="2"/>
              </w:rPr>
            </w:pPr>
          </w:p>
        </w:tc>
        <w:tc>
          <w:tcPr>
            <w:tcW w:w="1711" w:type="dxa"/>
            <w:tcBorders>
              <w:top w:val="nil"/>
              <w:left w:val="single" w:sz="6" w:space="0" w:color="D9D9D9"/>
              <w:bottom w:val="nil"/>
              <w:right w:val="nil"/>
            </w:tcBorders>
          </w:tcPr>
          <w:p w14:paraId="16D5D8D4" w14:textId="77777777" w:rsidR="00D757DA" w:rsidRDefault="0033254E">
            <w:pPr>
              <w:pStyle w:val="TableParagraph"/>
              <w:spacing w:before="31"/>
              <w:ind w:left="551"/>
              <w:rPr>
                <w:rFonts w:ascii="Calibri"/>
                <w:sz w:val="18"/>
              </w:rPr>
            </w:pPr>
            <w:r>
              <w:rPr>
                <w:rFonts w:ascii="Calibri"/>
                <w:color w:val="585858"/>
                <w:sz w:val="18"/>
              </w:rPr>
              <w:t>30,000</w:t>
            </w:r>
          </w:p>
        </w:tc>
        <w:tc>
          <w:tcPr>
            <w:tcW w:w="3879" w:type="dxa"/>
            <w:tcBorders>
              <w:top w:val="nil"/>
              <w:left w:val="nil"/>
              <w:bottom w:val="nil"/>
              <w:right w:val="nil"/>
            </w:tcBorders>
          </w:tcPr>
          <w:p w14:paraId="24EBF24B" w14:textId="77777777" w:rsidR="00D757DA" w:rsidRDefault="00D757DA">
            <w:pPr>
              <w:pStyle w:val="TableParagraph"/>
              <w:rPr>
                <w:rFonts w:ascii="Times New Roman"/>
                <w:sz w:val="20"/>
              </w:rPr>
            </w:pPr>
          </w:p>
        </w:tc>
        <w:tc>
          <w:tcPr>
            <w:tcW w:w="998" w:type="dxa"/>
            <w:tcBorders>
              <w:top w:val="nil"/>
              <w:left w:val="nil"/>
              <w:bottom w:val="nil"/>
              <w:right w:val="single" w:sz="6" w:space="0" w:color="D9D9D9"/>
            </w:tcBorders>
          </w:tcPr>
          <w:p w14:paraId="0ABAE058" w14:textId="77777777" w:rsidR="00D757DA" w:rsidRDefault="00D757DA">
            <w:pPr>
              <w:pStyle w:val="TableParagraph"/>
              <w:rPr>
                <w:rFonts w:ascii="Times New Roman"/>
                <w:sz w:val="20"/>
              </w:rPr>
            </w:pPr>
          </w:p>
        </w:tc>
        <w:tc>
          <w:tcPr>
            <w:tcW w:w="467" w:type="dxa"/>
            <w:vMerge/>
            <w:tcBorders>
              <w:top w:val="nil"/>
              <w:left w:val="single" w:sz="6" w:space="0" w:color="D9D9D9"/>
            </w:tcBorders>
          </w:tcPr>
          <w:p w14:paraId="3E3D532E" w14:textId="77777777" w:rsidR="00D757DA" w:rsidRDefault="00D757DA">
            <w:pPr>
              <w:rPr>
                <w:sz w:val="2"/>
                <w:szCs w:val="2"/>
              </w:rPr>
            </w:pPr>
          </w:p>
        </w:tc>
      </w:tr>
      <w:tr w:rsidR="00D757DA" w14:paraId="0D928F68" w14:textId="77777777">
        <w:trPr>
          <w:trHeight w:val="199"/>
        </w:trPr>
        <w:tc>
          <w:tcPr>
            <w:tcW w:w="1858" w:type="dxa"/>
            <w:vMerge/>
            <w:tcBorders>
              <w:top w:val="nil"/>
            </w:tcBorders>
          </w:tcPr>
          <w:p w14:paraId="708A886B" w14:textId="77777777" w:rsidR="00D757DA" w:rsidRDefault="00D757DA">
            <w:pPr>
              <w:rPr>
                <w:sz w:val="2"/>
                <w:szCs w:val="2"/>
              </w:rPr>
            </w:pPr>
          </w:p>
        </w:tc>
        <w:tc>
          <w:tcPr>
            <w:tcW w:w="107" w:type="dxa"/>
            <w:vMerge/>
            <w:tcBorders>
              <w:top w:val="nil"/>
              <w:right w:val="single" w:sz="6" w:space="0" w:color="D9D9D9"/>
            </w:tcBorders>
          </w:tcPr>
          <w:p w14:paraId="0DA06769" w14:textId="77777777" w:rsidR="00D757DA" w:rsidRDefault="00D757DA">
            <w:pPr>
              <w:rPr>
                <w:sz w:val="2"/>
                <w:szCs w:val="2"/>
              </w:rPr>
            </w:pPr>
          </w:p>
        </w:tc>
        <w:tc>
          <w:tcPr>
            <w:tcW w:w="1711" w:type="dxa"/>
            <w:tcBorders>
              <w:top w:val="nil"/>
              <w:left w:val="single" w:sz="6" w:space="0" w:color="D9D9D9"/>
              <w:bottom w:val="nil"/>
              <w:right w:val="nil"/>
            </w:tcBorders>
          </w:tcPr>
          <w:p w14:paraId="5DABE868" w14:textId="77777777" w:rsidR="00D757DA" w:rsidRDefault="00D757DA">
            <w:pPr>
              <w:pStyle w:val="TableParagraph"/>
              <w:rPr>
                <w:rFonts w:ascii="Times New Roman"/>
                <w:sz w:val="12"/>
              </w:rPr>
            </w:pPr>
          </w:p>
        </w:tc>
        <w:tc>
          <w:tcPr>
            <w:tcW w:w="3879" w:type="dxa"/>
            <w:tcBorders>
              <w:top w:val="nil"/>
              <w:left w:val="nil"/>
              <w:bottom w:val="nil"/>
              <w:right w:val="nil"/>
            </w:tcBorders>
          </w:tcPr>
          <w:p w14:paraId="26FFBFA4" w14:textId="77777777" w:rsidR="00D757DA" w:rsidRDefault="00D757DA">
            <w:pPr>
              <w:pStyle w:val="TableParagraph"/>
              <w:rPr>
                <w:rFonts w:ascii="Times New Roman"/>
                <w:sz w:val="12"/>
              </w:rPr>
            </w:pPr>
          </w:p>
        </w:tc>
        <w:tc>
          <w:tcPr>
            <w:tcW w:w="998" w:type="dxa"/>
            <w:tcBorders>
              <w:top w:val="nil"/>
              <w:left w:val="nil"/>
              <w:bottom w:val="nil"/>
              <w:right w:val="single" w:sz="6" w:space="0" w:color="D9D9D9"/>
            </w:tcBorders>
          </w:tcPr>
          <w:p w14:paraId="3C67B299" w14:textId="77777777" w:rsidR="00D757DA" w:rsidRDefault="00D757DA">
            <w:pPr>
              <w:pStyle w:val="TableParagraph"/>
              <w:rPr>
                <w:rFonts w:ascii="Times New Roman"/>
                <w:sz w:val="12"/>
              </w:rPr>
            </w:pPr>
          </w:p>
        </w:tc>
        <w:tc>
          <w:tcPr>
            <w:tcW w:w="467" w:type="dxa"/>
            <w:vMerge/>
            <w:tcBorders>
              <w:top w:val="nil"/>
              <w:left w:val="single" w:sz="6" w:space="0" w:color="D9D9D9"/>
            </w:tcBorders>
          </w:tcPr>
          <w:p w14:paraId="713B5E03" w14:textId="77777777" w:rsidR="00D757DA" w:rsidRDefault="00D757DA">
            <w:pPr>
              <w:rPr>
                <w:sz w:val="2"/>
                <w:szCs w:val="2"/>
              </w:rPr>
            </w:pPr>
          </w:p>
        </w:tc>
      </w:tr>
      <w:tr w:rsidR="00D757DA" w14:paraId="23C47BDD" w14:textId="77777777">
        <w:trPr>
          <w:trHeight w:val="346"/>
        </w:trPr>
        <w:tc>
          <w:tcPr>
            <w:tcW w:w="1858" w:type="dxa"/>
            <w:vMerge/>
            <w:tcBorders>
              <w:top w:val="nil"/>
            </w:tcBorders>
          </w:tcPr>
          <w:p w14:paraId="4A943510" w14:textId="77777777" w:rsidR="00D757DA" w:rsidRDefault="00D757DA">
            <w:pPr>
              <w:rPr>
                <w:sz w:val="2"/>
                <w:szCs w:val="2"/>
              </w:rPr>
            </w:pPr>
          </w:p>
        </w:tc>
        <w:tc>
          <w:tcPr>
            <w:tcW w:w="107" w:type="dxa"/>
            <w:vMerge/>
            <w:tcBorders>
              <w:top w:val="nil"/>
              <w:right w:val="single" w:sz="6" w:space="0" w:color="D9D9D9"/>
            </w:tcBorders>
          </w:tcPr>
          <w:p w14:paraId="32C48E11" w14:textId="77777777" w:rsidR="00D757DA" w:rsidRDefault="00D757DA">
            <w:pPr>
              <w:rPr>
                <w:sz w:val="2"/>
                <w:szCs w:val="2"/>
              </w:rPr>
            </w:pPr>
          </w:p>
        </w:tc>
        <w:tc>
          <w:tcPr>
            <w:tcW w:w="1711" w:type="dxa"/>
            <w:tcBorders>
              <w:top w:val="nil"/>
              <w:left w:val="single" w:sz="6" w:space="0" w:color="D9D9D9"/>
              <w:bottom w:val="nil"/>
              <w:right w:val="nil"/>
            </w:tcBorders>
          </w:tcPr>
          <w:p w14:paraId="398AE131" w14:textId="77777777" w:rsidR="00D757DA" w:rsidRDefault="0033254E">
            <w:pPr>
              <w:pStyle w:val="TableParagraph"/>
              <w:spacing w:line="203" w:lineRule="exact"/>
              <w:ind w:left="551"/>
              <w:rPr>
                <w:rFonts w:ascii="Calibri"/>
                <w:sz w:val="18"/>
              </w:rPr>
            </w:pPr>
            <w:r>
              <w:rPr>
                <w:rFonts w:ascii="Calibri"/>
                <w:color w:val="585858"/>
                <w:sz w:val="18"/>
              </w:rPr>
              <w:t>20,000</w:t>
            </w:r>
          </w:p>
        </w:tc>
        <w:tc>
          <w:tcPr>
            <w:tcW w:w="3879" w:type="dxa"/>
            <w:tcBorders>
              <w:top w:val="nil"/>
              <w:left w:val="nil"/>
              <w:bottom w:val="nil"/>
              <w:right w:val="nil"/>
            </w:tcBorders>
          </w:tcPr>
          <w:p w14:paraId="1FEDE56D" w14:textId="77777777" w:rsidR="00D757DA" w:rsidRDefault="00D757DA">
            <w:pPr>
              <w:pStyle w:val="TableParagraph"/>
              <w:rPr>
                <w:rFonts w:ascii="Times New Roman"/>
                <w:sz w:val="20"/>
              </w:rPr>
            </w:pPr>
          </w:p>
        </w:tc>
        <w:tc>
          <w:tcPr>
            <w:tcW w:w="998" w:type="dxa"/>
            <w:tcBorders>
              <w:top w:val="nil"/>
              <w:left w:val="nil"/>
              <w:bottom w:val="nil"/>
              <w:right w:val="single" w:sz="6" w:space="0" w:color="D9D9D9"/>
            </w:tcBorders>
          </w:tcPr>
          <w:p w14:paraId="04874B29" w14:textId="77777777" w:rsidR="00D757DA" w:rsidRDefault="00D757DA">
            <w:pPr>
              <w:pStyle w:val="TableParagraph"/>
              <w:rPr>
                <w:rFonts w:ascii="Times New Roman"/>
                <w:sz w:val="20"/>
              </w:rPr>
            </w:pPr>
          </w:p>
        </w:tc>
        <w:tc>
          <w:tcPr>
            <w:tcW w:w="467" w:type="dxa"/>
            <w:vMerge/>
            <w:tcBorders>
              <w:top w:val="nil"/>
              <w:left w:val="single" w:sz="6" w:space="0" w:color="D9D9D9"/>
            </w:tcBorders>
          </w:tcPr>
          <w:p w14:paraId="555B1F16" w14:textId="77777777" w:rsidR="00D757DA" w:rsidRDefault="00D757DA">
            <w:pPr>
              <w:rPr>
                <w:sz w:val="2"/>
                <w:szCs w:val="2"/>
              </w:rPr>
            </w:pPr>
          </w:p>
        </w:tc>
      </w:tr>
      <w:tr w:rsidR="00D757DA" w14:paraId="66741458" w14:textId="77777777">
        <w:trPr>
          <w:trHeight w:val="472"/>
        </w:trPr>
        <w:tc>
          <w:tcPr>
            <w:tcW w:w="1858" w:type="dxa"/>
            <w:vMerge/>
            <w:tcBorders>
              <w:top w:val="nil"/>
            </w:tcBorders>
          </w:tcPr>
          <w:p w14:paraId="43D0A434" w14:textId="77777777" w:rsidR="00D757DA" w:rsidRDefault="00D757DA">
            <w:pPr>
              <w:rPr>
                <w:sz w:val="2"/>
                <w:szCs w:val="2"/>
              </w:rPr>
            </w:pPr>
          </w:p>
        </w:tc>
        <w:tc>
          <w:tcPr>
            <w:tcW w:w="107" w:type="dxa"/>
            <w:vMerge/>
            <w:tcBorders>
              <w:top w:val="nil"/>
              <w:right w:val="single" w:sz="6" w:space="0" w:color="D9D9D9"/>
            </w:tcBorders>
          </w:tcPr>
          <w:p w14:paraId="36382D57" w14:textId="77777777" w:rsidR="00D757DA" w:rsidRDefault="00D757DA">
            <w:pPr>
              <w:rPr>
                <w:sz w:val="2"/>
                <w:szCs w:val="2"/>
              </w:rPr>
            </w:pPr>
          </w:p>
        </w:tc>
        <w:tc>
          <w:tcPr>
            <w:tcW w:w="1711" w:type="dxa"/>
            <w:tcBorders>
              <w:top w:val="nil"/>
              <w:left w:val="single" w:sz="6" w:space="0" w:color="D9D9D9"/>
              <w:bottom w:val="nil"/>
              <w:right w:val="nil"/>
            </w:tcBorders>
          </w:tcPr>
          <w:p w14:paraId="24304344" w14:textId="77777777" w:rsidR="00D757DA" w:rsidRDefault="0033254E">
            <w:pPr>
              <w:pStyle w:val="TableParagraph"/>
              <w:spacing w:before="110"/>
              <w:ind w:left="551"/>
              <w:rPr>
                <w:rFonts w:ascii="Calibri"/>
                <w:sz w:val="18"/>
              </w:rPr>
            </w:pPr>
            <w:r>
              <w:rPr>
                <w:rFonts w:ascii="Calibri"/>
                <w:color w:val="585858"/>
                <w:sz w:val="18"/>
              </w:rPr>
              <w:t>10,000</w:t>
            </w:r>
          </w:p>
        </w:tc>
        <w:tc>
          <w:tcPr>
            <w:tcW w:w="3879" w:type="dxa"/>
            <w:tcBorders>
              <w:top w:val="nil"/>
              <w:left w:val="nil"/>
              <w:bottom w:val="nil"/>
              <w:right w:val="nil"/>
            </w:tcBorders>
          </w:tcPr>
          <w:p w14:paraId="6A914751" w14:textId="77777777" w:rsidR="00D757DA" w:rsidRDefault="00D757DA">
            <w:pPr>
              <w:pStyle w:val="TableParagraph"/>
              <w:rPr>
                <w:rFonts w:ascii="Times New Roman"/>
                <w:sz w:val="20"/>
              </w:rPr>
            </w:pPr>
          </w:p>
        </w:tc>
        <w:tc>
          <w:tcPr>
            <w:tcW w:w="998" w:type="dxa"/>
            <w:tcBorders>
              <w:top w:val="nil"/>
              <w:left w:val="nil"/>
              <w:bottom w:val="nil"/>
              <w:right w:val="single" w:sz="6" w:space="0" w:color="D9D9D9"/>
            </w:tcBorders>
          </w:tcPr>
          <w:p w14:paraId="6269D06E" w14:textId="77777777" w:rsidR="00D757DA" w:rsidRDefault="00D757DA">
            <w:pPr>
              <w:pStyle w:val="TableParagraph"/>
              <w:rPr>
                <w:rFonts w:ascii="Times New Roman"/>
                <w:sz w:val="20"/>
              </w:rPr>
            </w:pPr>
          </w:p>
        </w:tc>
        <w:tc>
          <w:tcPr>
            <w:tcW w:w="467" w:type="dxa"/>
            <w:vMerge/>
            <w:tcBorders>
              <w:top w:val="nil"/>
              <w:left w:val="single" w:sz="6" w:space="0" w:color="D9D9D9"/>
            </w:tcBorders>
          </w:tcPr>
          <w:p w14:paraId="106DFC48" w14:textId="77777777" w:rsidR="00D757DA" w:rsidRDefault="00D757DA">
            <w:pPr>
              <w:rPr>
                <w:sz w:val="2"/>
                <w:szCs w:val="2"/>
              </w:rPr>
            </w:pPr>
          </w:p>
        </w:tc>
      </w:tr>
      <w:tr w:rsidR="00D757DA" w14:paraId="412F8DB3" w14:textId="77777777">
        <w:trPr>
          <w:trHeight w:val="348"/>
        </w:trPr>
        <w:tc>
          <w:tcPr>
            <w:tcW w:w="1858" w:type="dxa"/>
            <w:vMerge/>
            <w:tcBorders>
              <w:top w:val="nil"/>
            </w:tcBorders>
          </w:tcPr>
          <w:p w14:paraId="0E3D6B08" w14:textId="77777777" w:rsidR="00D757DA" w:rsidRDefault="00D757DA">
            <w:pPr>
              <w:rPr>
                <w:sz w:val="2"/>
                <w:szCs w:val="2"/>
              </w:rPr>
            </w:pPr>
          </w:p>
        </w:tc>
        <w:tc>
          <w:tcPr>
            <w:tcW w:w="107" w:type="dxa"/>
            <w:vMerge/>
            <w:tcBorders>
              <w:top w:val="nil"/>
              <w:right w:val="single" w:sz="6" w:space="0" w:color="D9D9D9"/>
            </w:tcBorders>
          </w:tcPr>
          <w:p w14:paraId="653FDD6F" w14:textId="77777777" w:rsidR="00D757DA" w:rsidRDefault="00D757DA">
            <w:pPr>
              <w:rPr>
                <w:sz w:val="2"/>
                <w:szCs w:val="2"/>
              </w:rPr>
            </w:pPr>
          </w:p>
        </w:tc>
        <w:tc>
          <w:tcPr>
            <w:tcW w:w="1711" w:type="dxa"/>
            <w:tcBorders>
              <w:top w:val="nil"/>
              <w:left w:val="single" w:sz="6" w:space="0" w:color="D9D9D9"/>
              <w:bottom w:val="nil"/>
              <w:right w:val="nil"/>
            </w:tcBorders>
          </w:tcPr>
          <w:p w14:paraId="5E1EC8C2" w14:textId="77777777" w:rsidR="00D757DA" w:rsidRDefault="0033254E">
            <w:pPr>
              <w:pStyle w:val="TableParagraph"/>
              <w:spacing w:before="110" w:line="218" w:lineRule="exact"/>
              <w:ind w:left="311"/>
              <w:jc w:val="center"/>
              <w:rPr>
                <w:rFonts w:ascii="Calibri"/>
                <w:sz w:val="18"/>
              </w:rPr>
            </w:pPr>
            <w:r>
              <w:rPr>
                <w:rFonts w:ascii="Calibri"/>
                <w:color w:val="585858"/>
                <w:sz w:val="18"/>
              </w:rPr>
              <w:t>0</w:t>
            </w:r>
          </w:p>
        </w:tc>
        <w:tc>
          <w:tcPr>
            <w:tcW w:w="3879" w:type="dxa"/>
            <w:tcBorders>
              <w:top w:val="nil"/>
              <w:left w:val="nil"/>
              <w:bottom w:val="nil"/>
              <w:right w:val="nil"/>
            </w:tcBorders>
          </w:tcPr>
          <w:p w14:paraId="5E08A7B8" w14:textId="77777777" w:rsidR="00D757DA" w:rsidRDefault="00D757DA">
            <w:pPr>
              <w:pStyle w:val="TableParagraph"/>
              <w:rPr>
                <w:rFonts w:ascii="Times New Roman"/>
                <w:sz w:val="20"/>
              </w:rPr>
            </w:pPr>
          </w:p>
        </w:tc>
        <w:tc>
          <w:tcPr>
            <w:tcW w:w="998" w:type="dxa"/>
            <w:tcBorders>
              <w:top w:val="nil"/>
              <w:left w:val="nil"/>
              <w:bottom w:val="nil"/>
              <w:right w:val="single" w:sz="6" w:space="0" w:color="D9D9D9"/>
            </w:tcBorders>
          </w:tcPr>
          <w:p w14:paraId="0D17379B" w14:textId="77777777" w:rsidR="00D757DA" w:rsidRDefault="00D757DA">
            <w:pPr>
              <w:pStyle w:val="TableParagraph"/>
              <w:rPr>
                <w:rFonts w:ascii="Times New Roman"/>
                <w:sz w:val="20"/>
              </w:rPr>
            </w:pPr>
          </w:p>
        </w:tc>
        <w:tc>
          <w:tcPr>
            <w:tcW w:w="467" w:type="dxa"/>
            <w:vMerge/>
            <w:tcBorders>
              <w:top w:val="nil"/>
              <w:left w:val="single" w:sz="6" w:space="0" w:color="D9D9D9"/>
            </w:tcBorders>
          </w:tcPr>
          <w:p w14:paraId="4EBCEF27" w14:textId="77777777" w:rsidR="00D757DA" w:rsidRDefault="00D757DA">
            <w:pPr>
              <w:rPr>
                <w:sz w:val="2"/>
                <w:szCs w:val="2"/>
              </w:rPr>
            </w:pPr>
          </w:p>
        </w:tc>
      </w:tr>
      <w:tr w:rsidR="00D757DA" w14:paraId="2142798B" w14:textId="77777777">
        <w:trPr>
          <w:trHeight w:val="249"/>
        </w:trPr>
        <w:tc>
          <w:tcPr>
            <w:tcW w:w="1858" w:type="dxa"/>
            <w:vMerge/>
            <w:tcBorders>
              <w:top w:val="nil"/>
            </w:tcBorders>
          </w:tcPr>
          <w:p w14:paraId="585BE065" w14:textId="77777777" w:rsidR="00D757DA" w:rsidRDefault="00D757DA">
            <w:pPr>
              <w:rPr>
                <w:sz w:val="2"/>
                <w:szCs w:val="2"/>
              </w:rPr>
            </w:pPr>
          </w:p>
        </w:tc>
        <w:tc>
          <w:tcPr>
            <w:tcW w:w="107" w:type="dxa"/>
            <w:vMerge/>
            <w:tcBorders>
              <w:top w:val="nil"/>
              <w:right w:val="single" w:sz="6" w:space="0" w:color="D9D9D9"/>
            </w:tcBorders>
          </w:tcPr>
          <w:p w14:paraId="57BC70C3" w14:textId="77777777" w:rsidR="00D757DA" w:rsidRDefault="00D757DA">
            <w:pPr>
              <w:rPr>
                <w:sz w:val="2"/>
                <w:szCs w:val="2"/>
              </w:rPr>
            </w:pPr>
          </w:p>
        </w:tc>
        <w:tc>
          <w:tcPr>
            <w:tcW w:w="1711" w:type="dxa"/>
            <w:tcBorders>
              <w:top w:val="nil"/>
              <w:left w:val="single" w:sz="6" w:space="0" w:color="D9D9D9"/>
              <w:bottom w:val="nil"/>
              <w:right w:val="nil"/>
            </w:tcBorders>
          </w:tcPr>
          <w:p w14:paraId="733EBC28" w14:textId="77777777" w:rsidR="00D757DA" w:rsidRDefault="0033254E">
            <w:pPr>
              <w:pStyle w:val="TableParagraph"/>
              <w:spacing w:line="205" w:lineRule="exact"/>
              <w:ind w:left="995"/>
              <w:rPr>
                <w:rFonts w:ascii="Calibri"/>
                <w:sz w:val="18"/>
              </w:rPr>
            </w:pPr>
            <w:r>
              <w:rPr>
                <w:rFonts w:ascii="Calibri"/>
                <w:color w:val="585858"/>
                <w:sz w:val="18"/>
              </w:rPr>
              <w:t>97.5%</w:t>
            </w:r>
          </w:p>
        </w:tc>
        <w:tc>
          <w:tcPr>
            <w:tcW w:w="3879" w:type="dxa"/>
            <w:tcBorders>
              <w:top w:val="nil"/>
              <w:left w:val="nil"/>
              <w:bottom w:val="nil"/>
              <w:right w:val="nil"/>
            </w:tcBorders>
          </w:tcPr>
          <w:p w14:paraId="48C54A22" w14:textId="77777777" w:rsidR="00D757DA" w:rsidRDefault="0033254E">
            <w:pPr>
              <w:pStyle w:val="TableParagraph"/>
              <w:tabs>
                <w:tab w:val="left" w:pos="1005"/>
                <w:tab w:val="left" w:pos="1980"/>
                <w:tab w:val="left" w:pos="2956"/>
              </w:tabs>
              <w:spacing w:line="205" w:lineRule="exact"/>
              <w:ind w:left="30"/>
              <w:jc w:val="center"/>
              <w:rPr>
                <w:rFonts w:ascii="Calibri"/>
                <w:sz w:val="18"/>
              </w:rPr>
            </w:pPr>
            <w:r>
              <w:rPr>
                <w:rFonts w:ascii="Calibri"/>
                <w:color w:val="585858"/>
                <w:sz w:val="18"/>
              </w:rPr>
              <w:t>98.0%</w:t>
            </w:r>
            <w:r>
              <w:rPr>
                <w:rFonts w:ascii="Calibri"/>
                <w:color w:val="585858"/>
                <w:sz w:val="18"/>
              </w:rPr>
              <w:tab/>
              <w:t>98.5%</w:t>
            </w:r>
            <w:r>
              <w:rPr>
                <w:rFonts w:ascii="Calibri"/>
                <w:color w:val="585858"/>
                <w:sz w:val="18"/>
              </w:rPr>
              <w:tab/>
            </w:r>
            <w:r>
              <w:rPr>
                <w:rFonts w:ascii="Calibri"/>
                <w:color w:val="585858"/>
                <w:sz w:val="18"/>
              </w:rPr>
              <w:t>99.0%</w:t>
            </w:r>
            <w:r>
              <w:rPr>
                <w:rFonts w:ascii="Calibri"/>
                <w:color w:val="585858"/>
                <w:sz w:val="18"/>
              </w:rPr>
              <w:tab/>
              <w:t>99.5%</w:t>
            </w:r>
          </w:p>
        </w:tc>
        <w:tc>
          <w:tcPr>
            <w:tcW w:w="998" w:type="dxa"/>
            <w:tcBorders>
              <w:top w:val="nil"/>
              <w:left w:val="nil"/>
              <w:bottom w:val="nil"/>
              <w:right w:val="single" w:sz="6" w:space="0" w:color="D9D9D9"/>
            </w:tcBorders>
          </w:tcPr>
          <w:p w14:paraId="53B9E114" w14:textId="77777777" w:rsidR="00D757DA" w:rsidRDefault="0033254E">
            <w:pPr>
              <w:pStyle w:val="TableParagraph"/>
              <w:spacing w:line="205" w:lineRule="exact"/>
              <w:ind w:left="224" w:right="187"/>
              <w:jc w:val="center"/>
              <w:rPr>
                <w:rFonts w:ascii="Calibri"/>
                <w:sz w:val="18"/>
              </w:rPr>
            </w:pPr>
            <w:r>
              <w:rPr>
                <w:rFonts w:ascii="Calibri"/>
                <w:color w:val="585858"/>
                <w:sz w:val="18"/>
              </w:rPr>
              <w:t>100.0%</w:t>
            </w:r>
          </w:p>
        </w:tc>
        <w:tc>
          <w:tcPr>
            <w:tcW w:w="467" w:type="dxa"/>
            <w:vMerge/>
            <w:tcBorders>
              <w:top w:val="nil"/>
              <w:left w:val="single" w:sz="6" w:space="0" w:color="D9D9D9"/>
            </w:tcBorders>
          </w:tcPr>
          <w:p w14:paraId="1CFC973B" w14:textId="77777777" w:rsidR="00D757DA" w:rsidRDefault="00D757DA">
            <w:pPr>
              <w:rPr>
                <w:sz w:val="2"/>
                <w:szCs w:val="2"/>
              </w:rPr>
            </w:pPr>
          </w:p>
        </w:tc>
      </w:tr>
      <w:tr w:rsidR="00D757DA" w14:paraId="29606A73" w14:textId="77777777">
        <w:trPr>
          <w:trHeight w:val="499"/>
        </w:trPr>
        <w:tc>
          <w:tcPr>
            <w:tcW w:w="1858" w:type="dxa"/>
            <w:vMerge/>
            <w:tcBorders>
              <w:top w:val="nil"/>
            </w:tcBorders>
          </w:tcPr>
          <w:p w14:paraId="0E3D8B70" w14:textId="77777777" w:rsidR="00D757DA" w:rsidRDefault="00D757DA">
            <w:pPr>
              <w:rPr>
                <w:sz w:val="2"/>
                <w:szCs w:val="2"/>
              </w:rPr>
            </w:pPr>
          </w:p>
        </w:tc>
        <w:tc>
          <w:tcPr>
            <w:tcW w:w="107" w:type="dxa"/>
            <w:vMerge/>
            <w:tcBorders>
              <w:top w:val="nil"/>
              <w:right w:val="single" w:sz="6" w:space="0" w:color="D9D9D9"/>
            </w:tcBorders>
          </w:tcPr>
          <w:p w14:paraId="6A1AF52B" w14:textId="77777777" w:rsidR="00D757DA" w:rsidRDefault="00D757DA">
            <w:pPr>
              <w:rPr>
                <w:sz w:val="2"/>
                <w:szCs w:val="2"/>
              </w:rPr>
            </w:pPr>
          </w:p>
        </w:tc>
        <w:tc>
          <w:tcPr>
            <w:tcW w:w="1711" w:type="dxa"/>
            <w:tcBorders>
              <w:top w:val="nil"/>
              <w:left w:val="single" w:sz="6" w:space="0" w:color="D9D9D9"/>
              <w:bottom w:val="thinThickMediumGap" w:sz="3" w:space="0" w:color="D9D9D9"/>
              <w:right w:val="nil"/>
            </w:tcBorders>
          </w:tcPr>
          <w:p w14:paraId="273C5647" w14:textId="77777777" w:rsidR="00D757DA" w:rsidRDefault="00D757DA">
            <w:pPr>
              <w:pStyle w:val="TableParagraph"/>
              <w:rPr>
                <w:rFonts w:ascii="Times New Roman"/>
                <w:sz w:val="20"/>
              </w:rPr>
            </w:pPr>
          </w:p>
        </w:tc>
        <w:tc>
          <w:tcPr>
            <w:tcW w:w="3879" w:type="dxa"/>
            <w:tcBorders>
              <w:top w:val="nil"/>
              <w:left w:val="nil"/>
              <w:bottom w:val="thinThickMediumGap" w:sz="3" w:space="0" w:color="D9D9D9"/>
              <w:right w:val="nil"/>
            </w:tcBorders>
          </w:tcPr>
          <w:p w14:paraId="50C6AB99" w14:textId="77777777" w:rsidR="00D757DA" w:rsidRDefault="0033254E">
            <w:pPr>
              <w:pStyle w:val="TableParagraph"/>
              <w:spacing w:before="6"/>
              <w:ind w:left="30"/>
              <w:jc w:val="center"/>
              <w:rPr>
                <w:rFonts w:ascii="Calibri"/>
                <w:sz w:val="20"/>
              </w:rPr>
            </w:pPr>
            <w:r>
              <w:rPr>
                <w:rFonts w:ascii="Calibri"/>
                <w:color w:val="585858"/>
                <w:sz w:val="20"/>
              </w:rPr>
              <w:t>Web Services availability (SV5), %</w:t>
            </w:r>
          </w:p>
        </w:tc>
        <w:tc>
          <w:tcPr>
            <w:tcW w:w="998" w:type="dxa"/>
            <w:tcBorders>
              <w:top w:val="nil"/>
              <w:left w:val="nil"/>
              <w:bottom w:val="thinThickMediumGap" w:sz="3" w:space="0" w:color="D9D9D9"/>
              <w:right w:val="single" w:sz="6" w:space="0" w:color="D9D9D9"/>
            </w:tcBorders>
          </w:tcPr>
          <w:p w14:paraId="70B1E332" w14:textId="77777777" w:rsidR="00D757DA" w:rsidRDefault="00D757DA">
            <w:pPr>
              <w:pStyle w:val="TableParagraph"/>
              <w:rPr>
                <w:rFonts w:ascii="Times New Roman"/>
                <w:sz w:val="20"/>
              </w:rPr>
            </w:pPr>
          </w:p>
        </w:tc>
        <w:tc>
          <w:tcPr>
            <w:tcW w:w="467" w:type="dxa"/>
            <w:vMerge/>
            <w:tcBorders>
              <w:top w:val="nil"/>
              <w:left w:val="single" w:sz="6" w:space="0" w:color="D9D9D9"/>
            </w:tcBorders>
          </w:tcPr>
          <w:p w14:paraId="7365F477" w14:textId="77777777" w:rsidR="00D757DA" w:rsidRDefault="00D757DA">
            <w:pPr>
              <w:rPr>
                <w:sz w:val="2"/>
                <w:szCs w:val="2"/>
              </w:rPr>
            </w:pPr>
          </w:p>
        </w:tc>
      </w:tr>
    </w:tbl>
    <w:p w14:paraId="72E082EF" w14:textId="77777777" w:rsidR="00D757DA" w:rsidRDefault="0033254E">
      <w:pPr>
        <w:pStyle w:val="Zkladntext"/>
        <w:rPr>
          <w:sz w:val="20"/>
        </w:rPr>
      </w:pPr>
      <w:r>
        <w:pict w14:anchorId="34FF0E1B">
          <v:shape id="_x0000_s2073" type="#_x0000_t202" style="position:absolute;margin-left:183.8pt;margin-top:236.7pt;width:12pt;height:44.35pt;z-index:-255606784;mso-position-horizontal-relative:page;mso-position-vertical-relative:page" filled="f" stroked="f">
            <v:textbox style="layout-flow:vertical;mso-layout-flow-alt:bottom-to-top" inset="0,0,0,0">
              <w:txbxContent>
                <w:p w14:paraId="3A938F78" w14:textId="77777777" w:rsidR="00D757DA" w:rsidRDefault="0033254E">
                  <w:pPr>
                    <w:spacing w:line="223" w:lineRule="exact"/>
                    <w:ind w:left="20"/>
                    <w:rPr>
                      <w:rFonts w:ascii="Calibri"/>
                      <w:sz w:val="20"/>
                    </w:rPr>
                  </w:pPr>
                  <w:r>
                    <w:rPr>
                      <w:rFonts w:ascii="Calibri"/>
                      <w:color w:val="585858"/>
                      <w:sz w:val="20"/>
                    </w:rPr>
                    <w:t>SP5, Euros</w:t>
                  </w:r>
                </w:p>
              </w:txbxContent>
            </v:textbox>
            <w10:wrap anchorx="page" anchory="page"/>
          </v:shape>
        </w:pict>
      </w:r>
    </w:p>
    <w:p w14:paraId="2A0BFDC4" w14:textId="77777777" w:rsidR="00D757DA" w:rsidRDefault="00D757DA">
      <w:pPr>
        <w:pStyle w:val="Zkladntext"/>
        <w:spacing w:before="8"/>
        <w:rPr>
          <w:sz w:val="23"/>
        </w:rPr>
      </w:pPr>
    </w:p>
    <w:p w14:paraId="29131442" w14:textId="77777777" w:rsidR="00D757DA" w:rsidRDefault="0033254E">
      <w:pPr>
        <w:pStyle w:val="Odstavecseseznamem"/>
        <w:numPr>
          <w:ilvl w:val="1"/>
          <w:numId w:val="37"/>
        </w:numPr>
        <w:tabs>
          <w:tab w:val="left" w:pos="841"/>
        </w:tabs>
        <w:ind w:right="1431" w:hanging="12"/>
      </w:pPr>
      <w:r>
        <w:pict w14:anchorId="37CD016B">
          <v:group id="_x0000_s2064" style="position:absolute;left:0;text-align:left;margin-left:228.45pt;margin-top:-218.05pt;width:249.55pt;height:150.55pt;z-index:-255607808;mso-position-horizontal-relative:page" coordorigin="4569,-4361" coordsize="4991,3011">
            <v:shape id="_x0000_s2072" style="position:absolute;left:4627;top:-4305;width:4876;height:2895" coordorigin="4627,-4304" coordsize="4876,2895" path="m9503,-4304r-70,41l9363,-4221r-69,41l9224,-4139r-70,42l9085,-4056r-70,41l8945,-3973r-69,41l8806,-3891r-70,42l8667,-3808r-70,42l8527,-3725r-69,41l8388,-3642r-70,41l8249,-3560r-70,42l8110,-3477r-70,41l7970,-3394r-69,41l7831,-3312r-70,42l7692,-3229r-70,41l7552,-3146r-69,41l7413,-3063r-70,41l7274,-2981r-70,42l7134,-2898r-69,41l6995,-2815r-70,41l6856,-2733r-70,42l6716,-2650r-69,42l6577,-2567r-69,41l6438,-2484r-70,41l6299,-2402r-70,42l6159,-2319r-69,41l6020,-2236r-70,41l5881,-2154r-70,42l5741,-2071r-69,41l5602,-1988r-70,41l5463,-1905r-70,41l5323,-1823r-69,42l5184,-1740r-70,41l5045,-1657r-70,41l4906,-1575r-70,42l4766,-1492r-69,42l4627,-1409e" filled="f" strokecolor="#4f81bc" strokeweight="1.5pt">
              <v:path arrowok="t"/>
            </v:shape>
            <v:shape id="_x0000_s2071" type="#_x0000_t75" style="position:absolute;left:9443;top:-4362;width:116;height:116">
              <v:imagedata r:id="rId16" o:title=""/>
            </v:shape>
            <v:shape id="_x0000_s2070" type="#_x0000_t75" style="position:absolute;left:8468;top:-3783;width:116;height:116">
              <v:imagedata r:id="rId16" o:title=""/>
            </v:shape>
            <v:shape id="_x0000_s2069" type="#_x0000_t75" style="position:absolute;left:5543;top:-2046;width:116;height:116">
              <v:imagedata r:id="rId15" o:title=""/>
            </v:shape>
            <v:shape id="_x0000_s2068" type="#_x0000_t75" style="position:absolute;left:4568;top:-1467;width:116;height:116">
              <v:imagedata r:id="rId16" o:title=""/>
            </v:shape>
            <v:shape id="_x0000_s2067" type="#_x0000_t75" style="position:absolute;left:7494;top:-3202;width:116;height:116">
              <v:imagedata r:id="rId15" o:title=""/>
            </v:shape>
            <v:shape id="_x0000_s2066" type="#_x0000_t75" style="position:absolute;left:6519;top:-2624;width:116;height:116">
              <v:imagedata r:id="rId15" o:title=""/>
            </v:shape>
            <v:line id="_x0000_s2065" style="position:absolute" from="4627,-1409" to="9503,-4304" strokecolor="#4f81bc" strokeweight="1.5pt">
              <v:stroke dashstyle="dot"/>
            </v:line>
            <w10:wrap anchorx="page"/>
          </v:group>
        </w:pict>
      </w:r>
      <w:r>
        <w:pict w14:anchorId="4EBC3705">
          <v:shape id="_x0000_s2063" type="#_x0000_t202" style="position:absolute;left:0;text-align:left;margin-left:231pt;margin-top:-215.6pt;width:244.95pt;height:145.5pt;z-index:251678720;mso-position-horizontal-relative:page" filled="f" stroked="f">
            <v:textbox inset="0,0,0,0">
              <w:txbxContent>
                <w:tbl>
                  <w:tblPr>
                    <w:tblStyle w:val="TableNormal"/>
                    <w:tblW w:w="0" w:type="auto"/>
                    <w:tblInd w:w="7"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Look w:val="01E0" w:firstRow="1" w:lastRow="1" w:firstColumn="1" w:lastColumn="1" w:noHBand="0" w:noVBand="0"/>
                  </w:tblPr>
                  <w:tblGrid>
                    <w:gridCol w:w="975"/>
                    <w:gridCol w:w="977"/>
                    <w:gridCol w:w="975"/>
                    <w:gridCol w:w="975"/>
                    <w:gridCol w:w="976"/>
                  </w:tblGrid>
                  <w:tr w:rsidR="00D757DA" w14:paraId="063E8E18" w14:textId="77777777">
                    <w:trPr>
                      <w:trHeight w:val="467"/>
                    </w:trPr>
                    <w:tc>
                      <w:tcPr>
                        <w:tcW w:w="975" w:type="dxa"/>
                        <w:tcBorders>
                          <w:left w:val="single" w:sz="6" w:space="0" w:color="BEBEBE"/>
                        </w:tcBorders>
                      </w:tcPr>
                      <w:p w14:paraId="2709EB42" w14:textId="77777777" w:rsidR="00D757DA" w:rsidRDefault="00D757DA">
                        <w:pPr>
                          <w:pStyle w:val="TableParagraph"/>
                          <w:rPr>
                            <w:rFonts w:ascii="Times New Roman"/>
                            <w:sz w:val="20"/>
                          </w:rPr>
                        </w:pPr>
                      </w:p>
                    </w:tc>
                    <w:tc>
                      <w:tcPr>
                        <w:tcW w:w="977" w:type="dxa"/>
                      </w:tcPr>
                      <w:p w14:paraId="42930FEE" w14:textId="77777777" w:rsidR="00D757DA" w:rsidRDefault="00D757DA">
                        <w:pPr>
                          <w:pStyle w:val="TableParagraph"/>
                          <w:rPr>
                            <w:rFonts w:ascii="Times New Roman"/>
                            <w:sz w:val="20"/>
                          </w:rPr>
                        </w:pPr>
                      </w:p>
                    </w:tc>
                    <w:tc>
                      <w:tcPr>
                        <w:tcW w:w="975" w:type="dxa"/>
                      </w:tcPr>
                      <w:p w14:paraId="1ED6E5D8" w14:textId="77777777" w:rsidR="00D757DA" w:rsidRDefault="00D757DA">
                        <w:pPr>
                          <w:pStyle w:val="TableParagraph"/>
                          <w:rPr>
                            <w:rFonts w:ascii="Times New Roman"/>
                            <w:sz w:val="20"/>
                          </w:rPr>
                        </w:pPr>
                      </w:p>
                    </w:tc>
                    <w:tc>
                      <w:tcPr>
                        <w:tcW w:w="975" w:type="dxa"/>
                      </w:tcPr>
                      <w:p w14:paraId="353C54C7" w14:textId="77777777" w:rsidR="00D757DA" w:rsidRDefault="00D757DA">
                        <w:pPr>
                          <w:pStyle w:val="TableParagraph"/>
                          <w:spacing w:before="4"/>
                          <w:rPr>
                            <w:sz w:val="18"/>
                          </w:rPr>
                        </w:pPr>
                      </w:p>
                      <w:p w14:paraId="668D30CE" w14:textId="77777777" w:rsidR="00D757DA" w:rsidRDefault="0033254E">
                        <w:pPr>
                          <w:pStyle w:val="TableParagraph"/>
                          <w:ind w:right="-87"/>
                          <w:jc w:val="right"/>
                          <w:rPr>
                            <w:rFonts w:ascii="Calibri"/>
                            <w:sz w:val="18"/>
                          </w:rPr>
                        </w:pPr>
                        <w:r>
                          <w:rPr>
                            <w:rFonts w:ascii="Calibri"/>
                            <w:color w:val="404040"/>
                            <w:sz w:val="18"/>
                          </w:rPr>
                          <w:t>48,0</w:t>
                        </w:r>
                      </w:p>
                    </w:tc>
                    <w:tc>
                      <w:tcPr>
                        <w:tcW w:w="976" w:type="dxa"/>
                      </w:tcPr>
                      <w:p w14:paraId="519638DC" w14:textId="77777777" w:rsidR="00D757DA" w:rsidRDefault="00D757DA">
                        <w:pPr>
                          <w:pStyle w:val="TableParagraph"/>
                          <w:spacing w:before="4"/>
                          <w:rPr>
                            <w:sz w:val="18"/>
                          </w:rPr>
                        </w:pPr>
                      </w:p>
                      <w:p w14:paraId="0B102A97" w14:textId="77777777" w:rsidR="00D757DA" w:rsidRDefault="0033254E">
                        <w:pPr>
                          <w:pStyle w:val="TableParagraph"/>
                          <w:ind w:left="68"/>
                          <w:rPr>
                            <w:rFonts w:ascii="Calibri"/>
                            <w:sz w:val="18"/>
                          </w:rPr>
                        </w:pPr>
                        <w:r>
                          <w:rPr>
                            <w:rFonts w:ascii="Calibri"/>
                            <w:color w:val="404040"/>
                            <w:sz w:val="18"/>
                          </w:rPr>
                          <w:t>00</w:t>
                        </w:r>
                      </w:p>
                    </w:tc>
                  </w:tr>
                  <w:tr w:rsidR="00D757DA" w14:paraId="40E14A1F" w14:textId="77777777">
                    <w:trPr>
                      <w:trHeight w:val="467"/>
                    </w:trPr>
                    <w:tc>
                      <w:tcPr>
                        <w:tcW w:w="975" w:type="dxa"/>
                        <w:tcBorders>
                          <w:left w:val="single" w:sz="6" w:space="0" w:color="BEBEBE"/>
                        </w:tcBorders>
                      </w:tcPr>
                      <w:p w14:paraId="28DDDAC7" w14:textId="77777777" w:rsidR="00D757DA" w:rsidRDefault="00D757DA">
                        <w:pPr>
                          <w:pStyle w:val="TableParagraph"/>
                          <w:rPr>
                            <w:rFonts w:ascii="Times New Roman"/>
                            <w:sz w:val="20"/>
                          </w:rPr>
                        </w:pPr>
                      </w:p>
                    </w:tc>
                    <w:tc>
                      <w:tcPr>
                        <w:tcW w:w="977" w:type="dxa"/>
                      </w:tcPr>
                      <w:p w14:paraId="621ED6A3" w14:textId="77777777" w:rsidR="00D757DA" w:rsidRDefault="00D757DA">
                        <w:pPr>
                          <w:pStyle w:val="TableParagraph"/>
                          <w:rPr>
                            <w:rFonts w:ascii="Times New Roman"/>
                            <w:sz w:val="20"/>
                          </w:rPr>
                        </w:pPr>
                      </w:p>
                    </w:tc>
                    <w:tc>
                      <w:tcPr>
                        <w:tcW w:w="975" w:type="dxa"/>
                      </w:tcPr>
                      <w:p w14:paraId="541D1CF5" w14:textId="77777777" w:rsidR="00D757DA" w:rsidRDefault="00D757DA">
                        <w:pPr>
                          <w:pStyle w:val="TableParagraph"/>
                          <w:spacing w:before="9"/>
                          <w:rPr>
                            <w:sz w:val="26"/>
                          </w:rPr>
                        </w:pPr>
                      </w:p>
                      <w:p w14:paraId="7BECB280" w14:textId="77777777" w:rsidR="00D757DA" w:rsidRDefault="0033254E">
                        <w:pPr>
                          <w:pStyle w:val="TableParagraph"/>
                          <w:spacing w:line="139" w:lineRule="exact"/>
                          <w:ind w:right="-87"/>
                          <w:jc w:val="right"/>
                          <w:rPr>
                            <w:rFonts w:ascii="Calibri"/>
                            <w:sz w:val="18"/>
                          </w:rPr>
                        </w:pPr>
                        <w:r>
                          <w:rPr>
                            <w:rFonts w:ascii="Calibri"/>
                            <w:color w:val="404040"/>
                            <w:sz w:val="18"/>
                          </w:rPr>
                          <w:t>36,0</w:t>
                        </w:r>
                      </w:p>
                    </w:tc>
                    <w:tc>
                      <w:tcPr>
                        <w:tcW w:w="975" w:type="dxa"/>
                      </w:tcPr>
                      <w:p w14:paraId="4288CDFD" w14:textId="77777777" w:rsidR="00D757DA" w:rsidRDefault="00D757DA">
                        <w:pPr>
                          <w:pStyle w:val="TableParagraph"/>
                          <w:spacing w:before="9"/>
                          <w:rPr>
                            <w:sz w:val="26"/>
                          </w:rPr>
                        </w:pPr>
                      </w:p>
                      <w:p w14:paraId="1553358F" w14:textId="77777777" w:rsidR="00D757DA" w:rsidRDefault="0033254E">
                        <w:pPr>
                          <w:pStyle w:val="TableParagraph"/>
                          <w:spacing w:line="139" w:lineRule="exact"/>
                          <w:ind w:left="67"/>
                          <w:rPr>
                            <w:rFonts w:ascii="Calibri"/>
                            <w:sz w:val="18"/>
                          </w:rPr>
                        </w:pPr>
                        <w:r>
                          <w:rPr>
                            <w:rFonts w:ascii="Calibri"/>
                            <w:color w:val="404040"/>
                            <w:sz w:val="18"/>
                          </w:rPr>
                          <w:t>00</w:t>
                        </w:r>
                      </w:p>
                    </w:tc>
                    <w:tc>
                      <w:tcPr>
                        <w:tcW w:w="976" w:type="dxa"/>
                      </w:tcPr>
                      <w:p w14:paraId="343A6FD7" w14:textId="77777777" w:rsidR="00D757DA" w:rsidRDefault="00D757DA">
                        <w:pPr>
                          <w:pStyle w:val="TableParagraph"/>
                          <w:rPr>
                            <w:rFonts w:ascii="Times New Roman"/>
                            <w:sz w:val="20"/>
                          </w:rPr>
                        </w:pPr>
                      </w:p>
                    </w:tc>
                  </w:tr>
                  <w:tr w:rsidR="00D757DA" w14:paraId="520244E1" w14:textId="77777777">
                    <w:trPr>
                      <w:trHeight w:val="467"/>
                    </w:trPr>
                    <w:tc>
                      <w:tcPr>
                        <w:tcW w:w="975" w:type="dxa"/>
                        <w:tcBorders>
                          <w:left w:val="single" w:sz="6" w:space="0" w:color="BEBEBE"/>
                        </w:tcBorders>
                      </w:tcPr>
                      <w:p w14:paraId="1DE557E3" w14:textId="77777777" w:rsidR="00D757DA" w:rsidRDefault="00D757DA">
                        <w:pPr>
                          <w:pStyle w:val="TableParagraph"/>
                          <w:rPr>
                            <w:rFonts w:ascii="Times New Roman"/>
                            <w:sz w:val="20"/>
                          </w:rPr>
                        </w:pPr>
                      </w:p>
                    </w:tc>
                    <w:tc>
                      <w:tcPr>
                        <w:tcW w:w="977" w:type="dxa"/>
                      </w:tcPr>
                      <w:p w14:paraId="02696407" w14:textId="77777777" w:rsidR="00D757DA" w:rsidRDefault="00D757DA">
                        <w:pPr>
                          <w:pStyle w:val="TableParagraph"/>
                          <w:rPr>
                            <w:rFonts w:ascii="Times New Roman"/>
                            <w:sz w:val="20"/>
                          </w:rPr>
                        </w:pPr>
                      </w:p>
                    </w:tc>
                    <w:tc>
                      <w:tcPr>
                        <w:tcW w:w="975" w:type="dxa"/>
                      </w:tcPr>
                      <w:p w14:paraId="202F1BBD" w14:textId="77777777" w:rsidR="00D757DA" w:rsidRDefault="00D757DA">
                        <w:pPr>
                          <w:pStyle w:val="TableParagraph"/>
                          <w:rPr>
                            <w:rFonts w:ascii="Times New Roman"/>
                            <w:sz w:val="20"/>
                          </w:rPr>
                        </w:pPr>
                      </w:p>
                    </w:tc>
                    <w:tc>
                      <w:tcPr>
                        <w:tcW w:w="975" w:type="dxa"/>
                      </w:tcPr>
                      <w:p w14:paraId="4A47E82B" w14:textId="77777777" w:rsidR="00D757DA" w:rsidRDefault="00D757DA">
                        <w:pPr>
                          <w:pStyle w:val="TableParagraph"/>
                          <w:rPr>
                            <w:rFonts w:ascii="Times New Roman"/>
                            <w:sz w:val="20"/>
                          </w:rPr>
                        </w:pPr>
                      </w:p>
                    </w:tc>
                    <w:tc>
                      <w:tcPr>
                        <w:tcW w:w="976" w:type="dxa"/>
                      </w:tcPr>
                      <w:p w14:paraId="43A2A78A" w14:textId="77777777" w:rsidR="00D757DA" w:rsidRDefault="00D757DA">
                        <w:pPr>
                          <w:pStyle w:val="TableParagraph"/>
                          <w:rPr>
                            <w:rFonts w:ascii="Times New Roman"/>
                            <w:sz w:val="20"/>
                          </w:rPr>
                        </w:pPr>
                      </w:p>
                    </w:tc>
                  </w:tr>
                  <w:tr w:rsidR="00D757DA" w14:paraId="47367738" w14:textId="77777777">
                    <w:trPr>
                      <w:trHeight w:val="467"/>
                    </w:trPr>
                    <w:tc>
                      <w:tcPr>
                        <w:tcW w:w="975" w:type="dxa"/>
                        <w:tcBorders>
                          <w:left w:val="single" w:sz="6" w:space="0" w:color="BEBEBE"/>
                        </w:tcBorders>
                      </w:tcPr>
                      <w:p w14:paraId="3C194D38" w14:textId="77777777" w:rsidR="00D757DA" w:rsidRDefault="00D757DA">
                        <w:pPr>
                          <w:pStyle w:val="TableParagraph"/>
                          <w:rPr>
                            <w:rFonts w:ascii="Times New Roman"/>
                            <w:sz w:val="20"/>
                          </w:rPr>
                        </w:pPr>
                      </w:p>
                    </w:tc>
                    <w:tc>
                      <w:tcPr>
                        <w:tcW w:w="977" w:type="dxa"/>
                      </w:tcPr>
                      <w:p w14:paraId="31B4433F" w14:textId="77777777" w:rsidR="00D757DA" w:rsidRDefault="0033254E">
                        <w:pPr>
                          <w:pStyle w:val="TableParagraph"/>
                          <w:spacing w:line="142" w:lineRule="exact"/>
                          <w:ind w:right="-87"/>
                          <w:jc w:val="right"/>
                          <w:rPr>
                            <w:rFonts w:ascii="Calibri"/>
                            <w:sz w:val="18"/>
                          </w:rPr>
                        </w:pPr>
                        <w:r>
                          <w:rPr>
                            <w:rFonts w:ascii="Calibri"/>
                            <w:color w:val="404040"/>
                            <w:sz w:val="18"/>
                          </w:rPr>
                          <w:t>24,0</w:t>
                        </w:r>
                      </w:p>
                    </w:tc>
                    <w:tc>
                      <w:tcPr>
                        <w:tcW w:w="975" w:type="dxa"/>
                      </w:tcPr>
                      <w:p w14:paraId="6B84A2EC" w14:textId="77777777" w:rsidR="00D757DA" w:rsidRDefault="0033254E">
                        <w:pPr>
                          <w:pStyle w:val="TableParagraph"/>
                          <w:spacing w:line="142" w:lineRule="exact"/>
                          <w:ind w:left="67"/>
                          <w:rPr>
                            <w:rFonts w:ascii="Calibri"/>
                            <w:sz w:val="18"/>
                          </w:rPr>
                        </w:pPr>
                        <w:r>
                          <w:rPr>
                            <w:rFonts w:ascii="Calibri"/>
                            <w:color w:val="404040"/>
                            <w:sz w:val="18"/>
                          </w:rPr>
                          <w:t>00</w:t>
                        </w:r>
                      </w:p>
                    </w:tc>
                    <w:tc>
                      <w:tcPr>
                        <w:tcW w:w="975" w:type="dxa"/>
                      </w:tcPr>
                      <w:p w14:paraId="5A6B2C2C" w14:textId="77777777" w:rsidR="00D757DA" w:rsidRDefault="00D757DA">
                        <w:pPr>
                          <w:pStyle w:val="TableParagraph"/>
                          <w:rPr>
                            <w:rFonts w:ascii="Times New Roman"/>
                            <w:sz w:val="20"/>
                          </w:rPr>
                        </w:pPr>
                      </w:p>
                    </w:tc>
                    <w:tc>
                      <w:tcPr>
                        <w:tcW w:w="976" w:type="dxa"/>
                      </w:tcPr>
                      <w:p w14:paraId="5C8A7850" w14:textId="77777777" w:rsidR="00D757DA" w:rsidRDefault="00D757DA">
                        <w:pPr>
                          <w:pStyle w:val="TableParagraph"/>
                          <w:rPr>
                            <w:rFonts w:ascii="Times New Roman"/>
                            <w:sz w:val="20"/>
                          </w:rPr>
                        </w:pPr>
                      </w:p>
                    </w:tc>
                  </w:tr>
                  <w:tr w:rsidR="00D757DA" w14:paraId="6BFC8A08" w14:textId="77777777">
                    <w:trPr>
                      <w:trHeight w:val="467"/>
                    </w:trPr>
                    <w:tc>
                      <w:tcPr>
                        <w:tcW w:w="975" w:type="dxa"/>
                        <w:tcBorders>
                          <w:left w:val="single" w:sz="6" w:space="0" w:color="BEBEBE"/>
                        </w:tcBorders>
                      </w:tcPr>
                      <w:p w14:paraId="0F88773D" w14:textId="77777777" w:rsidR="00D757DA" w:rsidRDefault="0033254E">
                        <w:pPr>
                          <w:pStyle w:val="TableParagraph"/>
                          <w:spacing w:before="19"/>
                          <w:ind w:right="-87"/>
                          <w:jc w:val="right"/>
                          <w:rPr>
                            <w:rFonts w:ascii="Calibri"/>
                            <w:sz w:val="18"/>
                          </w:rPr>
                        </w:pPr>
                        <w:r>
                          <w:rPr>
                            <w:rFonts w:ascii="Calibri"/>
                            <w:color w:val="404040"/>
                            <w:sz w:val="18"/>
                          </w:rPr>
                          <w:t>12,0</w:t>
                        </w:r>
                      </w:p>
                    </w:tc>
                    <w:tc>
                      <w:tcPr>
                        <w:tcW w:w="977" w:type="dxa"/>
                      </w:tcPr>
                      <w:p w14:paraId="0153151D" w14:textId="77777777" w:rsidR="00D757DA" w:rsidRDefault="0033254E">
                        <w:pPr>
                          <w:pStyle w:val="TableParagraph"/>
                          <w:spacing w:before="19"/>
                          <w:ind w:left="69"/>
                          <w:rPr>
                            <w:rFonts w:ascii="Calibri"/>
                            <w:sz w:val="18"/>
                          </w:rPr>
                        </w:pPr>
                        <w:r>
                          <w:rPr>
                            <w:rFonts w:ascii="Calibri"/>
                            <w:color w:val="404040"/>
                            <w:sz w:val="18"/>
                          </w:rPr>
                          <w:t>00</w:t>
                        </w:r>
                      </w:p>
                    </w:tc>
                    <w:tc>
                      <w:tcPr>
                        <w:tcW w:w="975" w:type="dxa"/>
                      </w:tcPr>
                      <w:p w14:paraId="6B5DA49E" w14:textId="77777777" w:rsidR="00D757DA" w:rsidRDefault="00D757DA">
                        <w:pPr>
                          <w:pStyle w:val="TableParagraph"/>
                          <w:rPr>
                            <w:rFonts w:ascii="Times New Roman"/>
                            <w:sz w:val="20"/>
                          </w:rPr>
                        </w:pPr>
                      </w:p>
                    </w:tc>
                    <w:tc>
                      <w:tcPr>
                        <w:tcW w:w="975" w:type="dxa"/>
                      </w:tcPr>
                      <w:p w14:paraId="02812C40" w14:textId="77777777" w:rsidR="00D757DA" w:rsidRDefault="00D757DA">
                        <w:pPr>
                          <w:pStyle w:val="TableParagraph"/>
                          <w:rPr>
                            <w:rFonts w:ascii="Times New Roman"/>
                            <w:sz w:val="20"/>
                          </w:rPr>
                        </w:pPr>
                      </w:p>
                    </w:tc>
                    <w:tc>
                      <w:tcPr>
                        <w:tcW w:w="976" w:type="dxa"/>
                      </w:tcPr>
                      <w:p w14:paraId="308B5304" w14:textId="77777777" w:rsidR="00D757DA" w:rsidRDefault="00D757DA">
                        <w:pPr>
                          <w:pStyle w:val="TableParagraph"/>
                          <w:rPr>
                            <w:rFonts w:ascii="Times New Roman"/>
                            <w:sz w:val="20"/>
                          </w:rPr>
                        </w:pPr>
                      </w:p>
                    </w:tc>
                  </w:tr>
                  <w:tr w:rsidR="00D757DA" w14:paraId="5FE04433" w14:textId="77777777">
                    <w:trPr>
                      <w:trHeight w:val="468"/>
                    </w:trPr>
                    <w:tc>
                      <w:tcPr>
                        <w:tcW w:w="975" w:type="dxa"/>
                        <w:tcBorders>
                          <w:left w:val="single" w:sz="6" w:space="0" w:color="BEBEBE"/>
                          <w:bottom w:val="single" w:sz="6" w:space="0" w:color="BEBEBE"/>
                        </w:tcBorders>
                      </w:tcPr>
                      <w:p w14:paraId="524853FC" w14:textId="77777777" w:rsidR="00D757DA" w:rsidRDefault="0033254E">
                        <w:pPr>
                          <w:pStyle w:val="TableParagraph"/>
                          <w:spacing w:before="116"/>
                          <w:ind w:left="-46"/>
                          <w:rPr>
                            <w:rFonts w:ascii="Calibri"/>
                            <w:sz w:val="18"/>
                          </w:rPr>
                        </w:pPr>
                        <w:r>
                          <w:rPr>
                            <w:rFonts w:ascii="Calibri"/>
                            <w:color w:val="404040"/>
                            <w:sz w:val="18"/>
                          </w:rPr>
                          <w:t>0</w:t>
                        </w:r>
                      </w:p>
                    </w:tc>
                    <w:tc>
                      <w:tcPr>
                        <w:tcW w:w="977" w:type="dxa"/>
                        <w:tcBorders>
                          <w:bottom w:val="single" w:sz="6" w:space="0" w:color="BEBEBE"/>
                        </w:tcBorders>
                      </w:tcPr>
                      <w:p w14:paraId="3BCAC6C9" w14:textId="77777777" w:rsidR="00D757DA" w:rsidRDefault="00D757DA">
                        <w:pPr>
                          <w:pStyle w:val="TableParagraph"/>
                          <w:rPr>
                            <w:rFonts w:ascii="Times New Roman"/>
                            <w:sz w:val="20"/>
                          </w:rPr>
                        </w:pPr>
                      </w:p>
                    </w:tc>
                    <w:tc>
                      <w:tcPr>
                        <w:tcW w:w="975" w:type="dxa"/>
                        <w:tcBorders>
                          <w:bottom w:val="single" w:sz="6" w:space="0" w:color="BEBEBE"/>
                        </w:tcBorders>
                      </w:tcPr>
                      <w:p w14:paraId="6D38D77F" w14:textId="77777777" w:rsidR="00D757DA" w:rsidRDefault="00D757DA">
                        <w:pPr>
                          <w:pStyle w:val="TableParagraph"/>
                          <w:rPr>
                            <w:rFonts w:ascii="Times New Roman"/>
                            <w:sz w:val="20"/>
                          </w:rPr>
                        </w:pPr>
                      </w:p>
                    </w:tc>
                    <w:tc>
                      <w:tcPr>
                        <w:tcW w:w="975" w:type="dxa"/>
                        <w:tcBorders>
                          <w:bottom w:val="single" w:sz="6" w:space="0" w:color="BEBEBE"/>
                        </w:tcBorders>
                      </w:tcPr>
                      <w:p w14:paraId="38B0121B" w14:textId="77777777" w:rsidR="00D757DA" w:rsidRDefault="00D757DA">
                        <w:pPr>
                          <w:pStyle w:val="TableParagraph"/>
                          <w:rPr>
                            <w:rFonts w:ascii="Times New Roman"/>
                            <w:sz w:val="20"/>
                          </w:rPr>
                        </w:pPr>
                      </w:p>
                    </w:tc>
                    <w:tc>
                      <w:tcPr>
                        <w:tcW w:w="976" w:type="dxa"/>
                        <w:tcBorders>
                          <w:bottom w:val="single" w:sz="6" w:space="0" w:color="BEBEBE"/>
                        </w:tcBorders>
                      </w:tcPr>
                      <w:p w14:paraId="55B37019" w14:textId="77777777" w:rsidR="00D757DA" w:rsidRDefault="00D757DA">
                        <w:pPr>
                          <w:pStyle w:val="TableParagraph"/>
                          <w:rPr>
                            <w:rFonts w:ascii="Times New Roman"/>
                            <w:sz w:val="20"/>
                          </w:rPr>
                        </w:pPr>
                      </w:p>
                    </w:tc>
                  </w:tr>
                </w:tbl>
                <w:p w14:paraId="39A53F8E" w14:textId="77777777" w:rsidR="00D757DA" w:rsidRDefault="00D757DA">
                  <w:pPr>
                    <w:pStyle w:val="Zkladntext"/>
                  </w:pPr>
                </w:p>
              </w:txbxContent>
            </v:textbox>
            <w10:wrap anchorx="page"/>
          </v:shape>
        </w:pict>
      </w:r>
      <w:r>
        <w:t>The</w:t>
      </w:r>
      <w:r>
        <w:rPr>
          <w:spacing w:val="-7"/>
        </w:rPr>
        <w:t xml:space="preserve"> </w:t>
      </w:r>
      <w:r>
        <w:t>level</w:t>
      </w:r>
      <w:r>
        <w:rPr>
          <w:spacing w:val="-8"/>
        </w:rPr>
        <w:t xml:space="preserve"> </w:t>
      </w:r>
      <w:r>
        <w:t>of</w:t>
      </w:r>
      <w:r>
        <w:rPr>
          <w:spacing w:val="-7"/>
        </w:rPr>
        <w:t xml:space="preserve"> </w:t>
      </w:r>
      <w:r>
        <w:t>contribution</w:t>
      </w:r>
      <w:r>
        <w:rPr>
          <w:spacing w:val="-9"/>
        </w:rPr>
        <w:t xml:space="preserve"> </w:t>
      </w:r>
      <w:r>
        <w:t>will</w:t>
      </w:r>
      <w:r>
        <w:rPr>
          <w:spacing w:val="-8"/>
        </w:rPr>
        <w:t xml:space="preserve"> </w:t>
      </w:r>
      <w:r>
        <w:t>be</w:t>
      </w:r>
      <w:r>
        <w:rPr>
          <w:spacing w:val="-7"/>
        </w:rPr>
        <w:t xml:space="preserve"> </w:t>
      </w:r>
      <w:r>
        <w:t>performance-based,</w:t>
      </w:r>
      <w:r>
        <w:rPr>
          <w:spacing w:val="-6"/>
        </w:rPr>
        <w:t xml:space="preserve"> </w:t>
      </w:r>
      <w:r>
        <w:t>i.e.</w:t>
      </w:r>
      <w:r>
        <w:rPr>
          <w:spacing w:val="-9"/>
        </w:rPr>
        <w:t xml:space="preserve"> </w:t>
      </w:r>
      <w:r>
        <w:t>adjusted</w:t>
      </w:r>
      <w:r>
        <w:rPr>
          <w:spacing w:val="-8"/>
        </w:rPr>
        <w:t xml:space="preserve"> </w:t>
      </w:r>
      <w:r>
        <w:t>based</w:t>
      </w:r>
      <w:r>
        <w:rPr>
          <w:spacing w:val="-9"/>
        </w:rPr>
        <w:t xml:space="preserve"> </w:t>
      </w:r>
      <w:r>
        <w:t>on</w:t>
      </w:r>
      <w:r>
        <w:rPr>
          <w:spacing w:val="-13"/>
        </w:rPr>
        <w:t xml:space="preserve"> </w:t>
      </w:r>
      <w:r>
        <w:t>the</w:t>
      </w:r>
      <w:r>
        <w:rPr>
          <w:spacing w:val="-7"/>
        </w:rPr>
        <w:t xml:space="preserve"> </w:t>
      </w:r>
      <w:r>
        <w:t>level</w:t>
      </w:r>
      <w:r>
        <w:rPr>
          <w:spacing w:val="-10"/>
        </w:rPr>
        <w:t xml:space="preserve"> </w:t>
      </w:r>
      <w:r>
        <w:t>of service completion according to the above-mentioned</w:t>
      </w:r>
      <w:r>
        <w:rPr>
          <w:spacing w:val="-3"/>
        </w:rPr>
        <w:t xml:space="preserve"> </w:t>
      </w:r>
      <w:r>
        <w:t>KPIs.</w:t>
      </w:r>
    </w:p>
    <w:p w14:paraId="5BFCE976" w14:textId="77777777" w:rsidR="00D757DA" w:rsidRDefault="00D757DA">
      <w:pPr>
        <w:pStyle w:val="Zkladntext"/>
        <w:spacing w:before="11"/>
        <w:rPr>
          <w:sz w:val="20"/>
        </w:rPr>
      </w:pPr>
    </w:p>
    <w:p w14:paraId="10954AA2" w14:textId="77777777" w:rsidR="00D757DA" w:rsidRDefault="0033254E">
      <w:pPr>
        <w:pStyle w:val="Odstavecseseznamem"/>
        <w:numPr>
          <w:ilvl w:val="1"/>
          <w:numId w:val="37"/>
        </w:numPr>
        <w:tabs>
          <w:tab w:val="left" w:pos="841"/>
        </w:tabs>
        <w:spacing w:line="252" w:lineRule="exact"/>
        <w:ind w:left="840" w:hanging="733"/>
      </w:pPr>
      <w:r>
        <w:t>A</w:t>
      </w:r>
      <w:r>
        <w:rPr>
          <w:spacing w:val="6"/>
        </w:rPr>
        <w:t xml:space="preserve"> </w:t>
      </w:r>
      <w:r>
        <w:t>maximum</w:t>
      </w:r>
      <w:r>
        <w:rPr>
          <w:spacing w:val="9"/>
        </w:rPr>
        <w:t xml:space="preserve"> </w:t>
      </w:r>
      <w:r>
        <w:t>yearly</w:t>
      </w:r>
      <w:r>
        <w:rPr>
          <w:spacing w:val="8"/>
        </w:rPr>
        <w:t xml:space="preserve"> </w:t>
      </w:r>
      <w:r>
        <w:t>contribution</w:t>
      </w:r>
      <w:r>
        <w:rPr>
          <w:spacing w:val="6"/>
        </w:rPr>
        <w:t xml:space="preserve"> </w:t>
      </w:r>
      <w:r>
        <w:t>of</w:t>
      </w:r>
      <w:r>
        <w:rPr>
          <w:spacing w:val="7"/>
        </w:rPr>
        <w:t xml:space="preserve"> </w:t>
      </w:r>
      <w:r>
        <w:t>130</w:t>
      </w:r>
      <w:r>
        <w:rPr>
          <w:spacing w:val="6"/>
        </w:rPr>
        <w:t xml:space="preserve"> </w:t>
      </w:r>
      <w:r>
        <w:t>000</w:t>
      </w:r>
      <w:r>
        <w:rPr>
          <w:spacing w:val="6"/>
        </w:rPr>
        <w:t xml:space="preserve"> </w:t>
      </w:r>
      <w:r>
        <w:t>€</w:t>
      </w:r>
      <w:r>
        <w:rPr>
          <w:spacing w:val="6"/>
        </w:rPr>
        <w:t xml:space="preserve"> </w:t>
      </w:r>
      <w:r>
        <w:t>per</w:t>
      </w:r>
      <w:r>
        <w:rPr>
          <w:spacing w:val="7"/>
        </w:rPr>
        <w:t xml:space="preserve"> </w:t>
      </w:r>
      <w:r>
        <w:t>tool</w:t>
      </w:r>
      <w:r>
        <w:rPr>
          <w:spacing w:val="6"/>
        </w:rPr>
        <w:t xml:space="preserve"> </w:t>
      </w:r>
      <w:r>
        <w:t>will</w:t>
      </w:r>
      <w:r>
        <w:rPr>
          <w:spacing w:val="6"/>
        </w:rPr>
        <w:t xml:space="preserve"> </w:t>
      </w:r>
      <w:r>
        <w:t>be</w:t>
      </w:r>
      <w:r>
        <w:rPr>
          <w:spacing w:val="6"/>
        </w:rPr>
        <w:t xml:space="preserve"> </w:t>
      </w:r>
      <w:r>
        <w:t>granted</w:t>
      </w:r>
      <w:r>
        <w:rPr>
          <w:spacing w:val="6"/>
        </w:rPr>
        <w:t xml:space="preserve"> </w:t>
      </w:r>
      <w:r>
        <w:t>provided</w:t>
      </w:r>
      <w:r>
        <w:rPr>
          <w:spacing w:val="6"/>
        </w:rPr>
        <w:t xml:space="preserve"> </w:t>
      </w:r>
      <w:r>
        <w:t>that</w:t>
      </w:r>
      <w:r>
        <w:rPr>
          <w:spacing w:val="8"/>
        </w:rPr>
        <w:t xml:space="preserve"> </w:t>
      </w:r>
      <w:r>
        <w:t>all</w:t>
      </w:r>
    </w:p>
    <w:p w14:paraId="4A5CD881" w14:textId="77777777" w:rsidR="00D757DA" w:rsidRDefault="0033254E">
      <w:pPr>
        <w:pStyle w:val="Zkladntext"/>
        <w:spacing w:line="252" w:lineRule="exact"/>
        <w:ind w:left="120"/>
      </w:pPr>
      <w:r>
        <w:t>services are completely implemented.</w:t>
      </w:r>
    </w:p>
    <w:p w14:paraId="66EABAC8" w14:textId="77777777" w:rsidR="00D757DA" w:rsidRDefault="00D757DA">
      <w:pPr>
        <w:pStyle w:val="Zkladntext"/>
        <w:rPr>
          <w:sz w:val="21"/>
        </w:rPr>
      </w:pPr>
    </w:p>
    <w:p w14:paraId="560C7667" w14:textId="77777777" w:rsidR="00D757DA" w:rsidRDefault="0033254E">
      <w:pPr>
        <w:pStyle w:val="Odstavecseseznamem"/>
        <w:numPr>
          <w:ilvl w:val="1"/>
          <w:numId w:val="37"/>
        </w:numPr>
        <w:tabs>
          <w:tab w:val="left" w:pos="829"/>
        </w:tabs>
        <w:spacing w:line="252" w:lineRule="exact"/>
        <w:ind w:left="828" w:hanging="709"/>
      </w:pPr>
      <w:r>
        <w:t>The</w:t>
      </w:r>
      <w:r>
        <w:rPr>
          <w:spacing w:val="25"/>
        </w:rPr>
        <w:t xml:space="preserve"> </w:t>
      </w:r>
      <w:r>
        <w:t>following</w:t>
      </w:r>
      <w:r>
        <w:rPr>
          <w:spacing w:val="25"/>
        </w:rPr>
        <w:t xml:space="preserve"> </w:t>
      </w:r>
      <w:r>
        <w:t>rules</w:t>
      </w:r>
      <w:r>
        <w:rPr>
          <w:spacing w:val="26"/>
        </w:rPr>
        <w:t xml:space="preserve"> </w:t>
      </w:r>
      <w:r>
        <w:t>and</w:t>
      </w:r>
      <w:r>
        <w:rPr>
          <w:spacing w:val="26"/>
        </w:rPr>
        <w:t xml:space="preserve"> </w:t>
      </w:r>
      <w:r>
        <w:t>conditions</w:t>
      </w:r>
      <w:r>
        <w:rPr>
          <w:spacing w:val="26"/>
        </w:rPr>
        <w:t xml:space="preserve"> </w:t>
      </w:r>
      <w:r>
        <w:t>applied</w:t>
      </w:r>
      <w:r>
        <w:rPr>
          <w:spacing w:val="25"/>
        </w:rPr>
        <w:t xml:space="preserve"> </w:t>
      </w:r>
      <w:r>
        <w:t>to</w:t>
      </w:r>
      <w:r>
        <w:rPr>
          <w:spacing w:val="26"/>
        </w:rPr>
        <w:t xml:space="preserve"> </w:t>
      </w:r>
      <w:r>
        <w:t>each</w:t>
      </w:r>
      <w:r>
        <w:rPr>
          <w:spacing w:val="26"/>
        </w:rPr>
        <w:t xml:space="preserve"> </w:t>
      </w:r>
      <w:proofErr w:type="gramStart"/>
      <w:r>
        <w:t>trade</w:t>
      </w:r>
      <w:r>
        <w:rPr>
          <w:spacing w:val="23"/>
        </w:rPr>
        <w:t xml:space="preserve"> </w:t>
      </w:r>
      <w:r>
        <w:t>mark</w:t>
      </w:r>
      <w:proofErr w:type="gramEnd"/>
      <w:r>
        <w:rPr>
          <w:spacing w:val="26"/>
        </w:rPr>
        <w:t xml:space="preserve"> </w:t>
      </w:r>
      <w:r>
        <w:t>and</w:t>
      </w:r>
      <w:r>
        <w:rPr>
          <w:spacing w:val="26"/>
        </w:rPr>
        <w:t xml:space="preserve"> </w:t>
      </w:r>
      <w:r>
        <w:t>design</w:t>
      </w:r>
      <w:r>
        <w:rPr>
          <w:spacing w:val="25"/>
        </w:rPr>
        <w:t xml:space="preserve"> </w:t>
      </w:r>
      <w:r>
        <w:t>found</w:t>
      </w:r>
      <w:r>
        <w:rPr>
          <w:spacing w:val="25"/>
        </w:rPr>
        <w:t xml:space="preserve"> </w:t>
      </w:r>
      <w:r>
        <w:t>in</w:t>
      </w:r>
    </w:p>
    <w:p w14:paraId="37272EE7" w14:textId="77777777" w:rsidR="00D757DA" w:rsidRDefault="0033254E">
      <w:pPr>
        <w:pStyle w:val="Zkladntext"/>
        <w:spacing w:line="252" w:lineRule="exact"/>
        <w:ind w:left="120"/>
      </w:pPr>
      <w:r>
        <w:t>“active” status within the Central Index shall be observed:</w:t>
      </w:r>
    </w:p>
    <w:p w14:paraId="753F1374" w14:textId="77777777" w:rsidR="00D757DA" w:rsidRDefault="00D757DA">
      <w:pPr>
        <w:pStyle w:val="Zkladntext"/>
        <w:spacing w:before="9"/>
        <w:rPr>
          <w:sz w:val="20"/>
        </w:rPr>
      </w:pPr>
    </w:p>
    <w:p w14:paraId="0FDA4A8C" w14:textId="77777777" w:rsidR="00D757DA" w:rsidRDefault="0033254E">
      <w:pPr>
        <w:pStyle w:val="Zkladntext"/>
        <w:ind w:left="2941"/>
      </w:pPr>
      <w:proofErr w:type="gramStart"/>
      <w:r>
        <w:t>Trade marks</w:t>
      </w:r>
      <w:proofErr w:type="gramEnd"/>
      <w:r>
        <w:t xml:space="preserve"> Rules and Conditions</w:t>
      </w:r>
    </w:p>
    <w:p w14:paraId="446A84A5" w14:textId="77777777" w:rsidR="00D757DA" w:rsidRDefault="00D757DA">
      <w:pPr>
        <w:pStyle w:val="Zkladntext"/>
        <w:spacing w:before="2"/>
        <w:rPr>
          <w:sz w:val="12"/>
        </w:rPr>
      </w:pPr>
    </w:p>
    <w:tbl>
      <w:tblPr>
        <w:tblStyle w:val="TableNormal"/>
        <w:tblW w:w="0" w:type="auto"/>
        <w:tblInd w:w="14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832"/>
        <w:gridCol w:w="3909"/>
        <w:gridCol w:w="4255"/>
      </w:tblGrid>
      <w:tr w:rsidR="00D757DA" w14:paraId="17238159" w14:textId="77777777">
        <w:trPr>
          <w:trHeight w:val="415"/>
        </w:trPr>
        <w:tc>
          <w:tcPr>
            <w:tcW w:w="832" w:type="dxa"/>
            <w:tcBorders>
              <w:top w:val="nil"/>
              <w:left w:val="nil"/>
              <w:right w:val="nil"/>
            </w:tcBorders>
            <w:shd w:val="clear" w:color="auto" w:fill="4F81BC"/>
          </w:tcPr>
          <w:p w14:paraId="456F9917" w14:textId="77777777" w:rsidR="00D757DA" w:rsidRDefault="0033254E">
            <w:pPr>
              <w:pStyle w:val="TableParagraph"/>
              <w:ind w:left="264"/>
              <w:rPr>
                <w:b/>
              </w:rPr>
            </w:pPr>
            <w:r>
              <w:rPr>
                <w:b/>
              </w:rPr>
              <w:t>No</w:t>
            </w:r>
          </w:p>
        </w:tc>
        <w:tc>
          <w:tcPr>
            <w:tcW w:w="3909" w:type="dxa"/>
            <w:tcBorders>
              <w:top w:val="nil"/>
              <w:left w:val="nil"/>
              <w:right w:val="single" w:sz="12" w:space="0" w:color="FFFFFF"/>
            </w:tcBorders>
            <w:shd w:val="clear" w:color="auto" w:fill="4F81BC"/>
          </w:tcPr>
          <w:p w14:paraId="6550D774" w14:textId="77777777" w:rsidR="00D757DA" w:rsidRDefault="0033254E">
            <w:pPr>
              <w:pStyle w:val="TableParagraph"/>
              <w:spacing w:before="60"/>
              <w:ind w:left="1695" w:right="1682"/>
              <w:jc w:val="center"/>
              <w:rPr>
                <w:b/>
              </w:rPr>
            </w:pPr>
            <w:r>
              <w:rPr>
                <w:b/>
              </w:rPr>
              <w:t>Rule</w:t>
            </w:r>
          </w:p>
        </w:tc>
        <w:tc>
          <w:tcPr>
            <w:tcW w:w="4255" w:type="dxa"/>
            <w:tcBorders>
              <w:top w:val="nil"/>
              <w:left w:val="single" w:sz="12" w:space="0" w:color="FFFFFF"/>
              <w:right w:val="nil"/>
            </w:tcBorders>
            <w:shd w:val="clear" w:color="auto" w:fill="4F81BC"/>
          </w:tcPr>
          <w:p w14:paraId="69665DA5" w14:textId="77777777" w:rsidR="00D757DA" w:rsidRDefault="0033254E">
            <w:pPr>
              <w:pStyle w:val="TableParagraph"/>
              <w:spacing w:before="60"/>
              <w:ind w:left="169" w:right="176"/>
              <w:jc w:val="center"/>
              <w:rPr>
                <w:b/>
              </w:rPr>
            </w:pPr>
            <w:r>
              <w:rPr>
                <w:b/>
              </w:rPr>
              <w:t>Condition</w:t>
            </w:r>
          </w:p>
        </w:tc>
      </w:tr>
      <w:tr w:rsidR="00D757DA" w14:paraId="5D1FE327" w14:textId="77777777">
        <w:trPr>
          <w:trHeight w:val="942"/>
        </w:trPr>
        <w:tc>
          <w:tcPr>
            <w:tcW w:w="832" w:type="dxa"/>
            <w:tcBorders>
              <w:left w:val="nil"/>
              <w:bottom w:val="single" w:sz="12" w:space="0" w:color="FFFFFF"/>
            </w:tcBorders>
            <w:shd w:val="clear" w:color="auto" w:fill="4F81BC"/>
          </w:tcPr>
          <w:p w14:paraId="4825F738" w14:textId="77777777" w:rsidR="00D757DA" w:rsidRDefault="0033254E">
            <w:pPr>
              <w:pStyle w:val="TableParagraph"/>
              <w:spacing w:before="9"/>
              <w:ind w:right="176"/>
              <w:jc w:val="right"/>
              <w:rPr>
                <w:b/>
                <w:sz w:val="20"/>
              </w:rPr>
            </w:pPr>
            <w:r>
              <w:rPr>
                <w:b/>
                <w:w w:val="95"/>
                <w:sz w:val="20"/>
              </w:rPr>
              <w:t>1.</w:t>
            </w:r>
          </w:p>
        </w:tc>
        <w:tc>
          <w:tcPr>
            <w:tcW w:w="3909" w:type="dxa"/>
            <w:tcBorders>
              <w:bottom w:val="single" w:sz="12" w:space="0" w:color="FFFFFF"/>
              <w:right w:val="single" w:sz="12" w:space="0" w:color="FFFFFF"/>
            </w:tcBorders>
            <w:shd w:val="clear" w:color="auto" w:fill="A7BEDE"/>
          </w:tcPr>
          <w:p w14:paraId="7389E88C" w14:textId="77777777" w:rsidR="00D757DA" w:rsidRDefault="0033254E">
            <w:pPr>
              <w:pStyle w:val="TableParagraph"/>
              <w:spacing w:before="129"/>
              <w:ind w:left="78"/>
              <w:rPr>
                <w:sz w:val="20"/>
              </w:rPr>
            </w:pPr>
            <w:proofErr w:type="gramStart"/>
            <w:r>
              <w:rPr>
                <w:sz w:val="20"/>
              </w:rPr>
              <w:t>Trade mark</w:t>
            </w:r>
            <w:proofErr w:type="gramEnd"/>
            <w:r>
              <w:rPr>
                <w:sz w:val="20"/>
              </w:rPr>
              <w:t xml:space="preserve"> name is mandatory.</w:t>
            </w:r>
          </w:p>
        </w:tc>
        <w:tc>
          <w:tcPr>
            <w:tcW w:w="4255" w:type="dxa"/>
            <w:tcBorders>
              <w:left w:val="single" w:sz="12" w:space="0" w:color="FFFFFF"/>
              <w:bottom w:val="single" w:sz="12" w:space="0" w:color="FFFFFF"/>
              <w:right w:val="nil"/>
            </w:tcBorders>
            <w:shd w:val="clear" w:color="auto" w:fill="A7BEDE"/>
          </w:tcPr>
          <w:p w14:paraId="0CAB2E76" w14:textId="77777777" w:rsidR="00D757DA" w:rsidRDefault="0033254E">
            <w:pPr>
              <w:pStyle w:val="TableParagraph"/>
              <w:spacing w:before="69"/>
              <w:ind w:left="169" w:right="2141"/>
              <w:jc w:val="center"/>
              <w:rPr>
                <w:sz w:val="20"/>
              </w:rPr>
            </w:pPr>
            <w:r>
              <w:rPr>
                <w:sz w:val="20"/>
              </w:rPr>
              <w:t>When the TM type is:</w:t>
            </w:r>
          </w:p>
          <w:p w14:paraId="1E22120D" w14:textId="77777777" w:rsidR="00D757DA" w:rsidRDefault="0033254E">
            <w:pPr>
              <w:pStyle w:val="TableParagraph"/>
              <w:numPr>
                <w:ilvl w:val="0"/>
                <w:numId w:val="36"/>
              </w:numPr>
              <w:tabs>
                <w:tab w:val="left" w:pos="278"/>
                <w:tab w:val="left" w:pos="811"/>
              </w:tabs>
              <w:spacing w:before="70"/>
              <w:ind w:right="2031" w:hanging="811"/>
              <w:rPr>
                <w:sz w:val="20"/>
              </w:rPr>
            </w:pPr>
            <w:r>
              <w:rPr>
                <w:sz w:val="20"/>
              </w:rPr>
              <w:t>combined</w:t>
            </w:r>
          </w:p>
          <w:p w14:paraId="1C1B4482" w14:textId="77777777" w:rsidR="00D757DA" w:rsidRDefault="0033254E">
            <w:pPr>
              <w:pStyle w:val="TableParagraph"/>
              <w:numPr>
                <w:ilvl w:val="0"/>
                <w:numId w:val="36"/>
              </w:numPr>
              <w:tabs>
                <w:tab w:val="left" w:pos="275"/>
                <w:tab w:val="left" w:pos="811"/>
              </w:tabs>
              <w:spacing w:before="11"/>
              <w:ind w:right="2405" w:hanging="811"/>
              <w:rPr>
                <w:sz w:val="20"/>
              </w:rPr>
            </w:pPr>
            <w:r>
              <w:rPr>
                <w:sz w:val="20"/>
              </w:rPr>
              <w:t>word.</w:t>
            </w:r>
          </w:p>
        </w:tc>
      </w:tr>
      <w:tr w:rsidR="00D757DA" w14:paraId="11EAB094" w14:textId="77777777">
        <w:trPr>
          <w:trHeight w:val="2215"/>
        </w:trPr>
        <w:tc>
          <w:tcPr>
            <w:tcW w:w="832" w:type="dxa"/>
            <w:tcBorders>
              <w:top w:val="single" w:sz="12" w:space="0" w:color="FFFFFF"/>
              <w:left w:val="nil"/>
              <w:bottom w:val="single" w:sz="8" w:space="0" w:color="FFFFFF"/>
            </w:tcBorders>
            <w:shd w:val="clear" w:color="auto" w:fill="4F81BC"/>
          </w:tcPr>
          <w:p w14:paraId="2B5A244A" w14:textId="77777777" w:rsidR="00D757DA" w:rsidRDefault="0033254E">
            <w:pPr>
              <w:pStyle w:val="TableParagraph"/>
              <w:spacing w:before="5"/>
              <w:ind w:right="176"/>
              <w:jc w:val="right"/>
              <w:rPr>
                <w:b/>
                <w:sz w:val="20"/>
              </w:rPr>
            </w:pPr>
            <w:r>
              <w:rPr>
                <w:b/>
                <w:w w:val="95"/>
                <w:sz w:val="20"/>
              </w:rPr>
              <w:t>2.</w:t>
            </w:r>
          </w:p>
        </w:tc>
        <w:tc>
          <w:tcPr>
            <w:tcW w:w="3909" w:type="dxa"/>
            <w:tcBorders>
              <w:top w:val="single" w:sz="12" w:space="0" w:color="FFFFFF"/>
              <w:bottom w:val="single" w:sz="8" w:space="0" w:color="FFFFFF"/>
              <w:right w:val="single" w:sz="12" w:space="0" w:color="FFFFFF"/>
            </w:tcBorders>
            <w:shd w:val="clear" w:color="auto" w:fill="D2DFED"/>
          </w:tcPr>
          <w:p w14:paraId="3C2EEB8C" w14:textId="77777777" w:rsidR="00D757DA" w:rsidRDefault="0033254E">
            <w:pPr>
              <w:pStyle w:val="TableParagraph"/>
              <w:spacing w:before="125" w:line="249" w:lineRule="auto"/>
              <w:ind w:left="78"/>
              <w:rPr>
                <w:sz w:val="20"/>
              </w:rPr>
            </w:pPr>
            <w:proofErr w:type="gramStart"/>
            <w:r>
              <w:rPr>
                <w:sz w:val="20"/>
              </w:rPr>
              <w:t>Trade mark</w:t>
            </w:r>
            <w:proofErr w:type="gramEnd"/>
            <w:r>
              <w:rPr>
                <w:sz w:val="20"/>
              </w:rPr>
              <w:t xml:space="preserve"> graphic representation is mandatory.</w:t>
            </w:r>
          </w:p>
        </w:tc>
        <w:tc>
          <w:tcPr>
            <w:tcW w:w="4255" w:type="dxa"/>
            <w:tcBorders>
              <w:top w:val="single" w:sz="12" w:space="0" w:color="FFFFFF"/>
              <w:left w:val="single" w:sz="12" w:space="0" w:color="FFFFFF"/>
              <w:bottom w:val="single" w:sz="8" w:space="0" w:color="FFFFFF"/>
              <w:right w:val="nil"/>
            </w:tcBorders>
            <w:shd w:val="clear" w:color="auto" w:fill="D2DFED"/>
          </w:tcPr>
          <w:p w14:paraId="6F0F2A54" w14:textId="77777777" w:rsidR="00D757DA" w:rsidRDefault="0033254E">
            <w:pPr>
              <w:pStyle w:val="TableParagraph"/>
              <w:spacing w:before="5"/>
              <w:ind w:left="169" w:right="2141"/>
              <w:jc w:val="center"/>
              <w:rPr>
                <w:sz w:val="20"/>
              </w:rPr>
            </w:pPr>
            <w:r>
              <w:rPr>
                <w:sz w:val="20"/>
              </w:rPr>
              <w:t>When the TM type is:</w:t>
            </w:r>
          </w:p>
          <w:p w14:paraId="33D7DBDE" w14:textId="77777777" w:rsidR="00D757DA" w:rsidRDefault="0033254E">
            <w:pPr>
              <w:pStyle w:val="TableParagraph"/>
              <w:numPr>
                <w:ilvl w:val="0"/>
                <w:numId w:val="35"/>
              </w:numPr>
              <w:tabs>
                <w:tab w:val="left" w:pos="304"/>
                <w:tab w:val="left" w:pos="813"/>
              </w:tabs>
              <w:spacing w:before="70"/>
              <w:ind w:right="2062" w:hanging="813"/>
              <w:rPr>
                <w:sz w:val="20"/>
              </w:rPr>
            </w:pPr>
            <w:r>
              <w:rPr>
                <w:sz w:val="20"/>
              </w:rPr>
              <w:t>3D</w:t>
            </w:r>
            <w:r>
              <w:rPr>
                <w:spacing w:val="-7"/>
                <w:sz w:val="20"/>
              </w:rPr>
              <w:t xml:space="preserve"> </w:t>
            </w:r>
            <w:r>
              <w:rPr>
                <w:sz w:val="20"/>
              </w:rPr>
              <w:t>shape</w:t>
            </w:r>
          </w:p>
          <w:p w14:paraId="7B1A9728" w14:textId="77777777" w:rsidR="00D757DA" w:rsidRDefault="0033254E">
            <w:pPr>
              <w:pStyle w:val="TableParagraph"/>
              <w:numPr>
                <w:ilvl w:val="0"/>
                <w:numId w:val="35"/>
              </w:numPr>
              <w:tabs>
                <w:tab w:val="left" w:pos="304"/>
                <w:tab w:val="left" w:pos="813"/>
              </w:tabs>
              <w:spacing w:before="10"/>
              <w:ind w:right="2053" w:hanging="813"/>
              <w:rPr>
                <w:sz w:val="20"/>
              </w:rPr>
            </w:pPr>
            <w:r>
              <w:rPr>
                <w:sz w:val="20"/>
              </w:rPr>
              <w:t>combined</w:t>
            </w:r>
          </w:p>
          <w:p w14:paraId="4625CC9F" w14:textId="77777777" w:rsidR="00D757DA" w:rsidRDefault="0033254E">
            <w:pPr>
              <w:pStyle w:val="TableParagraph"/>
              <w:numPr>
                <w:ilvl w:val="0"/>
                <w:numId w:val="35"/>
              </w:numPr>
              <w:tabs>
                <w:tab w:val="left" w:pos="812"/>
                <w:tab w:val="left" w:pos="813"/>
              </w:tabs>
              <w:spacing w:before="10"/>
              <w:rPr>
                <w:sz w:val="20"/>
              </w:rPr>
            </w:pPr>
            <w:r>
              <w:rPr>
                <w:sz w:val="20"/>
              </w:rPr>
              <w:t>figurative</w:t>
            </w:r>
          </w:p>
          <w:p w14:paraId="3327C99A" w14:textId="77777777" w:rsidR="00D757DA" w:rsidRDefault="0033254E">
            <w:pPr>
              <w:pStyle w:val="TableParagraph"/>
              <w:numPr>
                <w:ilvl w:val="0"/>
                <w:numId w:val="35"/>
              </w:numPr>
              <w:tabs>
                <w:tab w:val="left" w:pos="812"/>
                <w:tab w:val="left" w:pos="813"/>
              </w:tabs>
              <w:spacing w:before="10"/>
              <w:rPr>
                <w:sz w:val="20"/>
              </w:rPr>
            </w:pPr>
            <w:proofErr w:type="spellStart"/>
            <w:r>
              <w:rPr>
                <w:sz w:val="20"/>
              </w:rPr>
              <w:t>colour</w:t>
            </w:r>
            <w:proofErr w:type="spellEnd"/>
          </w:p>
          <w:p w14:paraId="186DEA9F" w14:textId="77777777" w:rsidR="00D757DA" w:rsidRDefault="0033254E">
            <w:pPr>
              <w:pStyle w:val="TableParagraph"/>
              <w:numPr>
                <w:ilvl w:val="0"/>
                <w:numId w:val="35"/>
              </w:numPr>
              <w:tabs>
                <w:tab w:val="left" w:pos="812"/>
                <w:tab w:val="left" w:pos="813"/>
              </w:tabs>
              <w:spacing w:before="10"/>
              <w:rPr>
                <w:sz w:val="20"/>
              </w:rPr>
            </w:pPr>
            <w:proofErr w:type="spellStart"/>
            <w:r>
              <w:rPr>
                <w:sz w:val="20"/>
              </w:rPr>
              <w:t>kennfaden</w:t>
            </w:r>
            <w:proofErr w:type="spellEnd"/>
            <w:r>
              <w:rPr>
                <w:spacing w:val="-2"/>
                <w:sz w:val="20"/>
              </w:rPr>
              <w:t xml:space="preserve"> </w:t>
            </w:r>
            <w:r>
              <w:rPr>
                <w:sz w:val="20"/>
              </w:rPr>
              <w:t>(Tracer)</w:t>
            </w:r>
          </w:p>
          <w:p w14:paraId="4BCE88CA" w14:textId="77777777" w:rsidR="00D757DA" w:rsidRDefault="0033254E">
            <w:pPr>
              <w:pStyle w:val="TableParagraph"/>
              <w:numPr>
                <w:ilvl w:val="0"/>
                <w:numId w:val="35"/>
              </w:numPr>
              <w:tabs>
                <w:tab w:val="left" w:pos="812"/>
                <w:tab w:val="left" w:pos="813"/>
              </w:tabs>
              <w:spacing w:before="10"/>
              <w:rPr>
                <w:sz w:val="20"/>
              </w:rPr>
            </w:pPr>
            <w:r>
              <w:rPr>
                <w:sz w:val="20"/>
              </w:rPr>
              <w:t>pattern</w:t>
            </w:r>
          </w:p>
          <w:p w14:paraId="4D627B9C" w14:textId="77777777" w:rsidR="00D757DA" w:rsidRDefault="0033254E">
            <w:pPr>
              <w:pStyle w:val="TableParagraph"/>
              <w:numPr>
                <w:ilvl w:val="0"/>
                <w:numId w:val="35"/>
              </w:numPr>
              <w:tabs>
                <w:tab w:val="left" w:pos="812"/>
                <w:tab w:val="left" w:pos="813"/>
              </w:tabs>
              <w:spacing w:before="10"/>
              <w:rPr>
                <w:sz w:val="20"/>
              </w:rPr>
            </w:pPr>
            <w:r>
              <w:rPr>
                <w:sz w:val="20"/>
              </w:rPr>
              <w:t>position</w:t>
            </w:r>
          </w:p>
          <w:p w14:paraId="562CDB6C" w14:textId="77777777" w:rsidR="00D757DA" w:rsidRDefault="0033254E">
            <w:pPr>
              <w:pStyle w:val="TableParagraph"/>
              <w:numPr>
                <w:ilvl w:val="0"/>
                <w:numId w:val="35"/>
              </w:numPr>
              <w:tabs>
                <w:tab w:val="left" w:pos="812"/>
                <w:tab w:val="left" w:pos="813"/>
              </w:tabs>
              <w:spacing w:before="10" w:line="210" w:lineRule="exact"/>
              <w:rPr>
                <w:sz w:val="20"/>
              </w:rPr>
            </w:pPr>
            <w:r>
              <w:rPr>
                <w:sz w:val="20"/>
              </w:rPr>
              <w:t>stylized</w:t>
            </w:r>
            <w:r>
              <w:rPr>
                <w:spacing w:val="-3"/>
                <w:sz w:val="20"/>
              </w:rPr>
              <w:t xml:space="preserve"> </w:t>
            </w:r>
            <w:r>
              <w:rPr>
                <w:sz w:val="20"/>
              </w:rPr>
              <w:t>characters.</w:t>
            </w:r>
          </w:p>
        </w:tc>
      </w:tr>
      <w:tr w:rsidR="00D757DA" w14:paraId="6F5D34DE" w14:textId="77777777">
        <w:trPr>
          <w:trHeight w:val="599"/>
        </w:trPr>
        <w:tc>
          <w:tcPr>
            <w:tcW w:w="832" w:type="dxa"/>
            <w:tcBorders>
              <w:top w:val="single" w:sz="8" w:space="0" w:color="FFFFFF"/>
              <w:left w:val="nil"/>
              <w:bottom w:val="single" w:sz="8" w:space="0" w:color="FFFFFF"/>
            </w:tcBorders>
            <w:shd w:val="clear" w:color="auto" w:fill="4F81BC"/>
          </w:tcPr>
          <w:p w14:paraId="7384D848" w14:textId="77777777" w:rsidR="00D757DA" w:rsidRDefault="0033254E">
            <w:pPr>
              <w:pStyle w:val="TableParagraph"/>
              <w:spacing w:before="9"/>
              <w:ind w:right="176"/>
              <w:jc w:val="right"/>
              <w:rPr>
                <w:b/>
                <w:sz w:val="20"/>
              </w:rPr>
            </w:pPr>
            <w:r>
              <w:rPr>
                <w:b/>
                <w:w w:val="95"/>
                <w:sz w:val="20"/>
              </w:rPr>
              <w:t>3.</w:t>
            </w:r>
          </w:p>
        </w:tc>
        <w:tc>
          <w:tcPr>
            <w:tcW w:w="3909" w:type="dxa"/>
            <w:tcBorders>
              <w:top w:val="single" w:sz="8" w:space="0" w:color="FFFFFF"/>
              <w:bottom w:val="single" w:sz="8" w:space="0" w:color="FFFFFF"/>
              <w:right w:val="single" w:sz="12" w:space="0" w:color="FFFFFF"/>
            </w:tcBorders>
            <w:shd w:val="clear" w:color="auto" w:fill="A7BEDE"/>
          </w:tcPr>
          <w:p w14:paraId="4A6A3D0A" w14:textId="77777777" w:rsidR="00D757DA" w:rsidRDefault="0033254E">
            <w:pPr>
              <w:pStyle w:val="TableParagraph"/>
              <w:spacing w:before="69" w:line="249" w:lineRule="auto"/>
              <w:ind w:left="78" w:right="208"/>
              <w:rPr>
                <w:sz w:val="20"/>
              </w:rPr>
            </w:pPr>
            <w:proofErr w:type="gramStart"/>
            <w:r>
              <w:rPr>
                <w:sz w:val="20"/>
              </w:rPr>
              <w:t>Trade mark</w:t>
            </w:r>
            <w:proofErr w:type="gramEnd"/>
            <w:r>
              <w:rPr>
                <w:sz w:val="20"/>
              </w:rPr>
              <w:t xml:space="preserve"> graphic representation must be empty.</w:t>
            </w:r>
          </w:p>
        </w:tc>
        <w:tc>
          <w:tcPr>
            <w:tcW w:w="4255" w:type="dxa"/>
            <w:tcBorders>
              <w:top w:val="single" w:sz="8" w:space="0" w:color="FFFFFF"/>
              <w:left w:val="single" w:sz="12" w:space="0" w:color="FFFFFF"/>
              <w:bottom w:val="single" w:sz="8" w:space="0" w:color="FFFFFF"/>
              <w:right w:val="nil"/>
            </w:tcBorders>
            <w:shd w:val="clear" w:color="auto" w:fill="A7BEDE"/>
          </w:tcPr>
          <w:p w14:paraId="68B47E46" w14:textId="77777777" w:rsidR="00D757DA" w:rsidRDefault="0033254E">
            <w:pPr>
              <w:pStyle w:val="TableParagraph"/>
              <w:spacing w:before="189"/>
              <w:ind w:left="90"/>
              <w:rPr>
                <w:sz w:val="20"/>
              </w:rPr>
            </w:pPr>
            <w:r>
              <w:rPr>
                <w:sz w:val="20"/>
              </w:rPr>
              <w:t>When the TM type is Word</w:t>
            </w:r>
          </w:p>
        </w:tc>
      </w:tr>
      <w:tr w:rsidR="00D757DA" w14:paraId="5B6F6227" w14:textId="77777777">
        <w:trPr>
          <w:trHeight w:val="360"/>
        </w:trPr>
        <w:tc>
          <w:tcPr>
            <w:tcW w:w="832" w:type="dxa"/>
            <w:tcBorders>
              <w:top w:val="single" w:sz="8" w:space="0" w:color="FFFFFF"/>
              <w:left w:val="nil"/>
              <w:bottom w:val="nil"/>
              <w:right w:val="nil"/>
            </w:tcBorders>
            <w:shd w:val="clear" w:color="auto" w:fill="4F81BC"/>
          </w:tcPr>
          <w:p w14:paraId="65C22900" w14:textId="77777777" w:rsidR="00D757DA" w:rsidRDefault="0033254E">
            <w:pPr>
              <w:pStyle w:val="TableParagraph"/>
              <w:spacing w:before="9"/>
              <w:ind w:right="206"/>
              <w:jc w:val="right"/>
              <w:rPr>
                <w:b/>
                <w:sz w:val="20"/>
              </w:rPr>
            </w:pPr>
            <w:r>
              <w:rPr>
                <w:b/>
                <w:w w:val="95"/>
                <w:sz w:val="20"/>
              </w:rPr>
              <w:t>4.</w:t>
            </w:r>
          </w:p>
        </w:tc>
        <w:tc>
          <w:tcPr>
            <w:tcW w:w="3909" w:type="dxa"/>
            <w:tcBorders>
              <w:top w:val="single" w:sz="8" w:space="0" w:color="FFFFFF"/>
              <w:left w:val="nil"/>
              <w:bottom w:val="nil"/>
              <w:right w:val="single" w:sz="12" w:space="0" w:color="FFFFFF"/>
            </w:tcBorders>
            <w:shd w:val="clear" w:color="auto" w:fill="D2DFED"/>
          </w:tcPr>
          <w:p w14:paraId="64ABC4AE" w14:textId="77777777" w:rsidR="00D757DA" w:rsidRDefault="0033254E">
            <w:pPr>
              <w:pStyle w:val="TableParagraph"/>
              <w:spacing w:before="69"/>
              <w:ind w:left="108"/>
              <w:rPr>
                <w:sz w:val="20"/>
              </w:rPr>
            </w:pPr>
            <w:r>
              <w:rPr>
                <w:sz w:val="20"/>
              </w:rPr>
              <w:t>Application number is mandatory.</w:t>
            </w:r>
          </w:p>
        </w:tc>
        <w:tc>
          <w:tcPr>
            <w:tcW w:w="4255" w:type="dxa"/>
            <w:tcBorders>
              <w:top w:val="single" w:sz="8" w:space="0" w:color="FFFFFF"/>
              <w:left w:val="single" w:sz="12" w:space="0" w:color="FFFFFF"/>
              <w:bottom w:val="nil"/>
              <w:right w:val="nil"/>
            </w:tcBorders>
            <w:shd w:val="clear" w:color="auto" w:fill="D2DFED"/>
          </w:tcPr>
          <w:p w14:paraId="2CA545B1" w14:textId="77777777" w:rsidR="00D757DA" w:rsidRDefault="0033254E">
            <w:pPr>
              <w:pStyle w:val="TableParagraph"/>
              <w:spacing w:before="69"/>
              <w:ind w:left="92"/>
              <w:rPr>
                <w:sz w:val="20"/>
              </w:rPr>
            </w:pPr>
            <w:r>
              <w:rPr>
                <w:sz w:val="20"/>
              </w:rPr>
              <w:t>Always.</w:t>
            </w:r>
          </w:p>
        </w:tc>
      </w:tr>
    </w:tbl>
    <w:p w14:paraId="5B155D9D" w14:textId="77777777" w:rsidR="00D757DA" w:rsidRDefault="00D757DA">
      <w:pPr>
        <w:rPr>
          <w:sz w:val="20"/>
        </w:rPr>
        <w:sectPr w:rsidR="00D757DA">
          <w:pgSz w:w="11910" w:h="16840"/>
          <w:pgMar w:top="1420" w:right="0" w:bottom="1080" w:left="1320" w:header="0" w:footer="881" w:gutter="0"/>
          <w:cols w:space="708"/>
        </w:sectPr>
      </w:pPr>
    </w:p>
    <w:tbl>
      <w:tblPr>
        <w:tblStyle w:val="TableNormal"/>
        <w:tblW w:w="0" w:type="auto"/>
        <w:tblInd w:w="147" w:type="dxa"/>
        <w:tblLayout w:type="fixed"/>
        <w:tblLook w:val="01E0" w:firstRow="1" w:lastRow="1" w:firstColumn="1" w:lastColumn="1" w:noHBand="0" w:noVBand="0"/>
      </w:tblPr>
      <w:tblGrid>
        <w:gridCol w:w="832"/>
        <w:gridCol w:w="3909"/>
        <w:gridCol w:w="4255"/>
      </w:tblGrid>
      <w:tr w:rsidR="00D757DA" w14:paraId="368A343F" w14:textId="77777777">
        <w:trPr>
          <w:trHeight w:val="1256"/>
        </w:trPr>
        <w:tc>
          <w:tcPr>
            <w:tcW w:w="832" w:type="dxa"/>
            <w:tcBorders>
              <w:bottom w:val="single" w:sz="12" w:space="0" w:color="FFFFFF"/>
              <w:right w:val="single" w:sz="24" w:space="0" w:color="FFFFFF"/>
            </w:tcBorders>
            <w:shd w:val="clear" w:color="auto" w:fill="4F81BC"/>
          </w:tcPr>
          <w:p w14:paraId="5DB53C01" w14:textId="77777777" w:rsidR="00D757DA" w:rsidRDefault="0033254E">
            <w:pPr>
              <w:pStyle w:val="TableParagraph"/>
              <w:spacing w:before="9"/>
              <w:ind w:left="458"/>
              <w:rPr>
                <w:b/>
                <w:sz w:val="20"/>
              </w:rPr>
            </w:pPr>
            <w:r>
              <w:rPr>
                <w:b/>
                <w:sz w:val="20"/>
              </w:rPr>
              <w:lastRenderedPageBreak/>
              <w:t>5.</w:t>
            </w:r>
          </w:p>
        </w:tc>
        <w:tc>
          <w:tcPr>
            <w:tcW w:w="3909" w:type="dxa"/>
            <w:tcBorders>
              <w:left w:val="single" w:sz="24" w:space="0" w:color="FFFFFF"/>
              <w:bottom w:val="single" w:sz="12" w:space="0" w:color="FFFFFF"/>
              <w:right w:val="single" w:sz="12" w:space="0" w:color="FFFFFF"/>
            </w:tcBorders>
            <w:shd w:val="clear" w:color="auto" w:fill="A7BEDE"/>
          </w:tcPr>
          <w:p w14:paraId="0CCBE8C1" w14:textId="77777777" w:rsidR="00D757DA" w:rsidRDefault="0033254E">
            <w:pPr>
              <w:pStyle w:val="TableParagraph"/>
              <w:spacing w:before="129"/>
              <w:ind w:left="78"/>
              <w:rPr>
                <w:sz w:val="20"/>
              </w:rPr>
            </w:pPr>
            <w:r>
              <w:rPr>
                <w:sz w:val="20"/>
              </w:rPr>
              <w:t>Applicant name is mandatory.</w:t>
            </w:r>
          </w:p>
        </w:tc>
        <w:tc>
          <w:tcPr>
            <w:tcW w:w="4255" w:type="dxa"/>
            <w:tcBorders>
              <w:left w:val="single" w:sz="12" w:space="0" w:color="FFFFFF"/>
              <w:bottom w:val="single" w:sz="12" w:space="0" w:color="FFFFFF"/>
            </w:tcBorders>
            <w:shd w:val="clear" w:color="auto" w:fill="A7BEDE"/>
          </w:tcPr>
          <w:p w14:paraId="05ACE74B" w14:textId="77777777" w:rsidR="00D757DA" w:rsidRDefault="0033254E">
            <w:pPr>
              <w:pStyle w:val="TableParagraph"/>
              <w:spacing w:before="69"/>
              <w:ind w:left="90"/>
              <w:rPr>
                <w:sz w:val="20"/>
              </w:rPr>
            </w:pPr>
            <w:r>
              <w:rPr>
                <w:sz w:val="20"/>
              </w:rPr>
              <w:t>Always:</w:t>
            </w:r>
          </w:p>
          <w:p w14:paraId="5531DE0B" w14:textId="77777777" w:rsidR="00D757DA" w:rsidRDefault="0033254E">
            <w:pPr>
              <w:pStyle w:val="TableParagraph"/>
              <w:numPr>
                <w:ilvl w:val="0"/>
                <w:numId w:val="34"/>
              </w:numPr>
              <w:tabs>
                <w:tab w:val="left" w:pos="407"/>
                <w:tab w:val="left" w:pos="408"/>
              </w:tabs>
              <w:spacing w:before="10"/>
              <w:rPr>
                <w:sz w:val="20"/>
              </w:rPr>
            </w:pPr>
            <w:r>
              <w:rPr>
                <w:sz w:val="20"/>
              </w:rPr>
              <w:t>if not known, should have the</w:t>
            </w:r>
            <w:r>
              <w:rPr>
                <w:spacing w:val="29"/>
                <w:sz w:val="20"/>
              </w:rPr>
              <w:t xml:space="preserve"> </w:t>
            </w:r>
            <w:r>
              <w:rPr>
                <w:sz w:val="20"/>
              </w:rPr>
              <w:t>value</w:t>
            </w:r>
          </w:p>
          <w:p w14:paraId="752035DE" w14:textId="77777777" w:rsidR="00D757DA" w:rsidRDefault="0033254E">
            <w:pPr>
              <w:pStyle w:val="TableParagraph"/>
              <w:spacing w:before="10"/>
              <w:ind w:left="407"/>
              <w:rPr>
                <w:sz w:val="20"/>
              </w:rPr>
            </w:pPr>
            <w:r>
              <w:rPr>
                <w:sz w:val="20"/>
              </w:rPr>
              <w:t>“Unknown</w:t>
            </w:r>
            <w:proofErr w:type="gramStart"/>
            <w:r>
              <w:rPr>
                <w:sz w:val="20"/>
              </w:rPr>
              <w:t>”;</w:t>
            </w:r>
            <w:proofErr w:type="gramEnd"/>
          </w:p>
          <w:p w14:paraId="6FBF78BC" w14:textId="77777777" w:rsidR="00D757DA" w:rsidRDefault="0033254E">
            <w:pPr>
              <w:pStyle w:val="TableParagraph"/>
              <w:numPr>
                <w:ilvl w:val="0"/>
                <w:numId w:val="34"/>
              </w:numPr>
              <w:tabs>
                <w:tab w:val="left" w:pos="407"/>
                <w:tab w:val="left" w:pos="408"/>
              </w:tabs>
              <w:spacing w:before="10"/>
              <w:rPr>
                <w:sz w:val="20"/>
              </w:rPr>
            </w:pPr>
            <w:r>
              <w:rPr>
                <w:sz w:val="20"/>
              </w:rPr>
              <w:t>if not available, should have the</w:t>
            </w:r>
            <w:r>
              <w:rPr>
                <w:spacing w:val="-18"/>
                <w:sz w:val="20"/>
              </w:rPr>
              <w:t xml:space="preserve"> </w:t>
            </w:r>
            <w:r>
              <w:rPr>
                <w:sz w:val="20"/>
              </w:rPr>
              <w:t>value</w:t>
            </w:r>
          </w:p>
          <w:p w14:paraId="1F87C480" w14:textId="77777777" w:rsidR="00D757DA" w:rsidRDefault="0033254E">
            <w:pPr>
              <w:pStyle w:val="TableParagraph"/>
              <w:spacing w:before="10" w:line="207" w:lineRule="exact"/>
              <w:ind w:left="407"/>
              <w:rPr>
                <w:sz w:val="20"/>
              </w:rPr>
            </w:pPr>
            <w:r>
              <w:rPr>
                <w:sz w:val="20"/>
              </w:rPr>
              <w:t>“Not available”.</w:t>
            </w:r>
          </w:p>
        </w:tc>
      </w:tr>
      <w:tr w:rsidR="00D757DA" w14:paraId="38AABFC8" w14:textId="77777777">
        <w:trPr>
          <w:trHeight w:val="1315"/>
        </w:trPr>
        <w:tc>
          <w:tcPr>
            <w:tcW w:w="832" w:type="dxa"/>
            <w:tcBorders>
              <w:top w:val="single" w:sz="12" w:space="0" w:color="FFFFFF"/>
              <w:bottom w:val="single" w:sz="8" w:space="0" w:color="FFFFFF"/>
              <w:right w:val="single" w:sz="24" w:space="0" w:color="FFFFFF"/>
            </w:tcBorders>
            <w:shd w:val="clear" w:color="auto" w:fill="4F81BC"/>
          </w:tcPr>
          <w:p w14:paraId="6F03353E" w14:textId="77777777" w:rsidR="00D757DA" w:rsidRDefault="0033254E">
            <w:pPr>
              <w:pStyle w:val="TableParagraph"/>
              <w:spacing w:before="5"/>
              <w:ind w:left="458"/>
              <w:rPr>
                <w:b/>
                <w:sz w:val="20"/>
              </w:rPr>
            </w:pPr>
            <w:r>
              <w:rPr>
                <w:b/>
                <w:sz w:val="20"/>
              </w:rPr>
              <w:t>6.</w:t>
            </w:r>
          </w:p>
        </w:tc>
        <w:tc>
          <w:tcPr>
            <w:tcW w:w="3909" w:type="dxa"/>
            <w:tcBorders>
              <w:top w:val="single" w:sz="12" w:space="0" w:color="FFFFFF"/>
              <w:left w:val="single" w:sz="24" w:space="0" w:color="FFFFFF"/>
              <w:bottom w:val="single" w:sz="8" w:space="0" w:color="FFFFFF"/>
              <w:right w:val="single" w:sz="12" w:space="0" w:color="FFFFFF"/>
            </w:tcBorders>
            <w:shd w:val="clear" w:color="auto" w:fill="D2DFED"/>
          </w:tcPr>
          <w:p w14:paraId="691E7BFD" w14:textId="77777777" w:rsidR="00D757DA" w:rsidRDefault="0033254E">
            <w:pPr>
              <w:pStyle w:val="TableParagraph"/>
              <w:spacing w:before="65"/>
              <w:ind w:left="78"/>
              <w:rPr>
                <w:sz w:val="20"/>
              </w:rPr>
            </w:pPr>
            <w:r>
              <w:rPr>
                <w:sz w:val="20"/>
              </w:rPr>
              <w:t>Application date:</w:t>
            </w:r>
          </w:p>
          <w:p w14:paraId="51878B7A" w14:textId="77777777" w:rsidR="00D757DA" w:rsidRDefault="0033254E">
            <w:pPr>
              <w:pStyle w:val="TableParagraph"/>
              <w:numPr>
                <w:ilvl w:val="0"/>
                <w:numId w:val="33"/>
              </w:numPr>
              <w:tabs>
                <w:tab w:val="left" w:pos="798"/>
                <w:tab w:val="left" w:pos="799"/>
              </w:tabs>
              <w:spacing w:before="70"/>
              <w:ind w:hanging="361"/>
              <w:rPr>
                <w:sz w:val="20"/>
              </w:rPr>
            </w:pPr>
            <w:r>
              <w:rPr>
                <w:sz w:val="20"/>
              </w:rPr>
              <w:t>is</w:t>
            </w:r>
            <w:r>
              <w:rPr>
                <w:spacing w:val="-1"/>
                <w:sz w:val="20"/>
              </w:rPr>
              <w:t xml:space="preserve"> </w:t>
            </w:r>
            <w:r>
              <w:rPr>
                <w:sz w:val="20"/>
              </w:rPr>
              <w:t>mandatory</w:t>
            </w:r>
          </w:p>
          <w:p w14:paraId="57FE96BE" w14:textId="77777777" w:rsidR="00D757DA" w:rsidRDefault="0033254E">
            <w:pPr>
              <w:pStyle w:val="TableParagraph"/>
              <w:numPr>
                <w:ilvl w:val="0"/>
                <w:numId w:val="33"/>
              </w:numPr>
              <w:tabs>
                <w:tab w:val="left" w:pos="798"/>
                <w:tab w:val="left" w:pos="799"/>
              </w:tabs>
              <w:spacing w:before="10"/>
              <w:ind w:hanging="361"/>
              <w:rPr>
                <w:sz w:val="20"/>
              </w:rPr>
            </w:pPr>
            <w:r>
              <w:rPr>
                <w:sz w:val="20"/>
              </w:rPr>
              <w:t>must be in the valid date</w:t>
            </w:r>
            <w:r>
              <w:rPr>
                <w:spacing w:val="-7"/>
                <w:sz w:val="20"/>
              </w:rPr>
              <w:t xml:space="preserve"> </w:t>
            </w:r>
            <w:r>
              <w:rPr>
                <w:sz w:val="20"/>
              </w:rPr>
              <w:t>format</w:t>
            </w:r>
          </w:p>
          <w:p w14:paraId="5CE9E58B" w14:textId="77777777" w:rsidR="00D757DA" w:rsidRDefault="00D757DA">
            <w:pPr>
              <w:pStyle w:val="TableParagraph"/>
              <w:spacing w:before="8"/>
              <w:rPr>
                <w:sz w:val="21"/>
              </w:rPr>
            </w:pPr>
          </w:p>
          <w:p w14:paraId="1417DC44" w14:textId="77777777" w:rsidR="00D757DA" w:rsidRDefault="0033254E">
            <w:pPr>
              <w:pStyle w:val="TableParagraph"/>
              <w:numPr>
                <w:ilvl w:val="0"/>
                <w:numId w:val="33"/>
              </w:numPr>
              <w:tabs>
                <w:tab w:val="left" w:pos="791"/>
                <w:tab w:val="left" w:pos="792"/>
              </w:tabs>
              <w:spacing w:line="210" w:lineRule="exact"/>
              <w:ind w:left="791" w:hanging="356"/>
              <w:rPr>
                <w:sz w:val="20"/>
              </w:rPr>
            </w:pPr>
            <w:r>
              <w:rPr>
                <w:sz w:val="20"/>
              </w:rPr>
              <w:t>must be a date in the</w:t>
            </w:r>
            <w:r>
              <w:rPr>
                <w:spacing w:val="-5"/>
                <w:sz w:val="20"/>
              </w:rPr>
              <w:t xml:space="preserve"> </w:t>
            </w:r>
            <w:r>
              <w:rPr>
                <w:sz w:val="20"/>
              </w:rPr>
              <w:t>pas</w:t>
            </w:r>
            <w:hyperlink w:anchor="_bookmark1" w:history="1">
              <w:r>
                <w:rPr>
                  <w:sz w:val="20"/>
                </w:rPr>
                <w:t>t</w:t>
              </w:r>
              <w:r>
                <w:rPr>
                  <w:position w:val="6"/>
                  <w:sz w:val="13"/>
                </w:rPr>
                <w:t>2</w:t>
              </w:r>
              <w:r>
                <w:rPr>
                  <w:sz w:val="20"/>
                </w:rPr>
                <w:t>.</w:t>
              </w:r>
            </w:hyperlink>
          </w:p>
        </w:tc>
        <w:tc>
          <w:tcPr>
            <w:tcW w:w="4255" w:type="dxa"/>
            <w:tcBorders>
              <w:top w:val="single" w:sz="12" w:space="0" w:color="FFFFFF"/>
              <w:left w:val="single" w:sz="12" w:space="0" w:color="FFFFFF"/>
              <w:bottom w:val="single" w:sz="8" w:space="0" w:color="FFFFFF"/>
            </w:tcBorders>
            <w:shd w:val="clear" w:color="auto" w:fill="D2DFED"/>
          </w:tcPr>
          <w:p w14:paraId="7269DD37" w14:textId="77777777" w:rsidR="00D757DA" w:rsidRDefault="00D757DA">
            <w:pPr>
              <w:pStyle w:val="TableParagraph"/>
            </w:pPr>
          </w:p>
          <w:p w14:paraId="62586FE1" w14:textId="77777777" w:rsidR="00D757DA" w:rsidRDefault="00D757DA">
            <w:pPr>
              <w:pStyle w:val="TableParagraph"/>
              <w:spacing w:before="4"/>
              <w:rPr>
                <w:sz w:val="25"/>
              </w:rPr>
            </w:pPr>
          </w:p>
          <w:p w14:paraId="75C8EFF7" w14:textId="77777777" w:rsidR="00D757DA" w:rsidRDefault="0033254E">
            <w:pPr>
              <w:pStyle w:val="TableParagraph"/>
              <w:ind w:left="92"/>
              <w:rPr>
                <w:sz w:val="20"/>
              </w:rPr>
            </w:pPr>
            <w:r>
              <w:rPr>
                <w:sz w:val="20"/>
              </w:rPr>
              <w:t>Always.</w:t>
            </w:r>
          </w:p>
        </w:tc>
      </w:tr>
      <w:tr w:rsidR="00D757DA" w14:paraId="641C9C34" w14:textId="77777777">
        <w:trPr>
          <w:trHeight w:val="252"/>
        </w:trPr>
        <w:tc>
          <w:tcPr>
            <w:tcW w:w="832" w:type="dxa"/>
            <w:tcBorders>
              <w:top w:val="single" w:sz="8" w:space="0" w:color="FFFFFF"/>
            </w:tcBorders>
          </w:tcPr>
          <w:p w14:paraId="098C289C" w14:textId="77777777" w:rsidR="00D757DA" w:rsidRDefault="0033254E">
            <w:pPr>
              <w:pStyle w:val="TableParagraph"/>
              <w:spacing w:before="9" w:line="223" w:lineRule="exact"/>
              <w:ind w:left="458"/>
              <w:rPr>
                <w:b/>
                <w:sz w:val="20"/>
              </w:rPr>
            </w:pPr>
            <w:r>
              <w:rPr>
                <w:b/>
                <w:sz w:val="20"/>
              </w:rPr>
              <w:t>7.</w:t>
            </w:r>
          </w:p>
        </w:tc>
        <w:tc>
          <w:tcPr>
            <w:tcW w:w="3909" w:type="dxa"/>
            <w:vMerge w:val="restart"/>
            <w:tcBorders>
              <w:top w:val="single" w:sz="8" w:space="0" w:color="FFFFFF"/>
              <w:right w:val="single" w:sz="12" w:space="0" w:color="FFFFFF"/>
            </w:tcBorders>
            <w:shd w:val="clear" w:color="auto" w:fill="A7BEDE"/>
          </w:tcPr>
          <w:p w14:paraId="60FEB10D" w14:textId="77777777" w:rsidR="00D757DA" w:rsidRDefault="0033254E">
            <w:pPr>
              <w:pStyle w:val="TableParagraph"/>
              <w:spacing w:before="69"/>
              <w:ind w:left="108"/>
              <w:rPr>
                <w:sz w:val="20"/>
              </w:rPr>
            </w:pPr>
            <w:r>
              <w:rPr>
                <w:sz w:val="20"/>
              </w:rPr>
              <w:t>Registration number must be empty.</w:t>
            </w:r>
          </w:p>
        </w:tc>
        <w:tc>
          <w:tcPr>
            <w:tcW w:w="4255" w:type="dxa"/>
            <w:tcBorders>
              <w:top w:val="single" w:sz="8" w:space="0" w:color="FFFFFF"/>
              <w:left w:val="single" w:sz="12" w:space="0" w:color="FFFFFF"/>
            </w:tcBorders>
            <w:shd w:val="clear" w:color="auto" w:fill="A7BEDE"/>
          </w:tcPr>
          <w:p w14:paraId="25DB2B66" w14:textId="77777777" w:rsidR="00D757DA" w:rsidRDefault="00D757DA">
            <w:pPr>
              <w:pStyle w:val="TableParagraph"/>
              <w:rPr>
                <w:rFonts w:ascii="Times New Roman"/>
                <w:sz w:val="18"/>
              </w:rPr>
            </w:pPr>
          </w:p>
        </w:tc>
      </w:tr>
      <w:tr w:rsidR="00D757DA" w14:paraId="0EEA930E" w14:textId="77777777">
        <w:trPr>
          <w:trHeight w:val="230"/>
        </w:trPr>
        <w:tc>
          <w:tcPr>
            <w:tcW w:w="832" w:type="dxa"/>
            <w:vMerge w:val="restart"/>
            <w:tcBorders>
              <w:bottom w:val="single" w:sz="12" w:space="0" w:color="FFFFFF"/>
            </w:tcBorders>
          </w:tcPr>
          <w:p w14:paraId="38A160EA" w14:textId="77777777" w:rsidR="00D757DA" w:rsidRDefault="0033254E">
            <w:pPr>
              <w:pStyle w:val="TableParagraph"/>
              <w:spacing w:before="136"/>
              <w:ind w:left="458"/>
              <w:rPr>
                <w:b/>
                <w:sz w:val="20"/>
              </w:rPr>
            </w:pPr>
            <w:r>
              <w:rPr>
                <w:b/>
                <w:sz w:val="20"/>
              </w:rPr>
              <w:t>8.</w:t>
            </w:r>
          </w:p>
        </w:tc>
        <w:tc>
          <w:tcPr>
            <w:tcW w:w="3909" w:type="dxa"/>
            <w:vMerge/>
            <w:tcBorders>
              <w:top w:val="nil"/>
              <w:right w:val="single" w:sz="12" w:space="0" w:color="FFFFFF"/>
            </w:tcBorders>
            <w:shd w:val="clear" w:color="auto" w:fill="A7BEDE"/>
          </w:tcPr>
          <w:p w14:paraId="220FCBAC" w14:textId="77777777" w:rsidR="00D757DA" w:rsidRDefault="00D757DA">
            <w:pPr>
              <w:rPr>
                <w:sz w:val="2"/>
                <w:szCs w:val="2"/>
              </w:rPr>
            </w:pPr>
          </w:p>
        </w:tc>
        <w:tc>
          <w:tcPr>
            <w:tcW w:w="4255" w:type="dxa"/>
            <w:vMerge w:val="restart"/>
            <w:tcBorders>
              <w:left w:val="single" w:sz="12" w:space="0" w:color="FFFFFF"/>
            </w:tcBorders>
            <w:shd w:val="clear" w:color="auto" w:fill="A7BEDE"/>
          </w:tcPr>
          <w:p w14:paraId="53055715" w14:textId="77777777" w:rsidR="00D757DA" w:rsidRDefault="0033254E">
            <w:pPr>
              <w:pStyle w:val="TableParagraph"/>
              <w:spacing w:before="6"/>
              <w:ind w:left="90"/>
              <w:rPr>
                <w:sz w:val="20"/>
              </w:rPr>
            </w:pPr>
            <w:r>
              <w:rPr>
                <w:sz w:val="20"/>
              </w:rPr>
              <w:t>When the TM status is “Filed”.</w:t>
            </w:r>
          </w:p>
        </w:tc>
      </w:tr>
      <w:tr w:rsidR="00D757DA" w14:paraId="6CCF6922" w14:textId="77777777">
        <w:trPr>
          <w:trHeight w:val="350"/>
        </w:trPr>
        <w:tc>
          <w:tcPr>
            <w:tcW w:w="832" w:type="dxa"/>
            <w:vMerge/>
            <w:tcBorders>
              <w:top w:val="nil"/>
              <w:bottom w:val="single" w:sz="12" w:space="0" w:color="FFFFFF"/>
            </w:tcBorders>
          </w:tcPr>
          <w:p w14:paraId="58182C11" w14:textId="77777777" w:rsidR="00D757DA" w:rsidRDefault="00D757DA">
            <w:pPr>
              <w:rPr>
                <w:sz w:val="2"/>
                <w:szCs w:val="2"/>
              </w:rPr>
            </w:pPr>
          </w:p>
        </w:tc>
        <w:tc>
          <w:tcPr>
            <w:tcW w:w="3909" w:type="dxa"/>
            <w:tcBorders>
              <w:bottom w:val="single" w:sz="12" w:space="0" w:color="FFFFFF"/>
              <w:right w:val="single" w:sz="12" w:space="0" w:color="FFFFFF"/>
            </w:tcBorders>
            <w:shd w:val="clear" w:color="auto" w:fill="D2DFED"/>
          </w:tcPr>
          <w:p w14:paraId="325F79EB" w14:textId="77777777" w:rsidR="00D757DA" w:rsidRDefault="0033254E">
            <w:pPr>
              <w:pStyle w:val="TableParagraph"/>
              <w:spacing w:before="64"/>
              <w:ind w:left="108"/>
              <w:rPr>
                <w:sz w:val="20"/>
              </w:rPr>
            </w:pPr>
            <w:r>
              <w:rPr>
                <w:sz w:val="20"/>
              </w:rPr>
              <w:t>Registration date must be empty.</w:t>
            </w:r>
          </w:p>
        </w:tc>
        <w:tc>
          <w:tcPr>
            <w:tcW w:w="4255" w:type="dxa"/>
            <w:vMerge/>
            <w:tcBorders>
              <w:top w:val="nil"/>
              <w:left w:val="single" w:sz="12" w:space="0" w:color="FFFFFF"/>
            </w:tcBorders>
            <w:shd w:val="clear" w:color="auto" w:fill="A7BEDE"/>
          </w:tcPr>
          <w:p w14:paraId="13D4FBDF" w14:textId="77777777" w:rsidR="00D757DA" w:rsidRDefault="00D757DA">
            <w:pPr>
              <w:rPr>
                <w:sz w:val="2"/>
                <w:szCs w:val="2"/>
              </w:rPr>
            </w:pPr>
          </w:p>
        </w:tc>
      </w:tr>
      <w:tr w:rsidR="00D757DA" w14:paraId="7FFF95AA" w14:textId="77777777">
        <w:trPr>
          <w:trHeight w:val="365"/>
        </w:trPr>
        <w:tc>
          <w:tcPr>
            <w:tcW w:w="832" w:type="dxa"/>
            <w:tcBorders>
              <w:top w:val="single" w:sz="12" w:space="0" w:color="FFFFFF"/>
            </w:tcBorders>
            <w:shd w:val="clear" w:color="auto" w:fill="4F81BC"/>
          </w:tcPr>
          <w:p w14:paraId="6C01365C" w14:textId="77777777" w:rsidR="00D757DA" w:rsidRDefault="0033254E">
            <w:pPr>
              <w:pStyle w:val="TableParagraph"/>
              <w:spacing w:before="5"/>
              <w:ind w:left="458"/>
              <w:rPr>
                <w:b/>
                <w:sz w:val="20"/>
              </w:rPr>
            </w:pPr>
            <w:r>
              <w:rPr>
                <w:b/>
                <w:sz w:val="20"/>
              </w:rPr>
              <w:t>9.</w:t>
            </w:r>
          </w:p>
        </w:tc>
        <w:tc>
          <w:tcPr>
            <w:tcW w:w="3909" w:type="dxa"/>
            <w:tcBorders>
              <w:top w:val="single" w:sz="12" w:space="0" w:color="FFFFFF"/>
              <w:right w:val="single" w:sz="12" w:space="0" w:color="FFFFFF"/>
            </w:tcBorders>
            <w:shd w:val="clear" w:color="auto" w:fill="A7BEDE"/>
          </w:tcPr>
          <w:p w14:paraId="058F4EC0" w14:textId="77777777" w:rsidR="00D757DA" w:rsidRDefault="0033254E">
            <w:pPr>
              <w:pStyle w:val="TableParagraph"/>
              <w:spacing w:before="65"/>
              <w:ind w:left="108"/>
              <w:rPr>
                <w:sz w:val="20"/>
              </w:rPr>
            </w:pPr>
            <w:r>
              <w:rPr>
                <w:sz w:val="20"/>
              </w:rPr>
              <w:t>Registration number is mandatory.</w:t>
            </w:r>
          </w:p>
        </w:tc>
        <w:tc>
          <w:tcPr>
            <w:tcW w:w="4255" w:type="dxa"/>
            <w:tcBorders>
              <w:left w:val="single" w:sz="12" w:space="0" w:color="FFFFFF"/>
            </w:tcBorders>
            <w:shd w:val="clear" w:color="auto" w:fill="A7BEDE"/>
          </w:tcPr>
          <w:p w14:paraId="65CCE1CE" w14:textId="77777777" w:rsidR="00D757DA" w:rsidRDefault="00D757DA">
            <w:pPr>
              <w:pStyle w:val="TableParagraph"/>
              <w:rPr>
                <w:rFonts w:ascii="Times New Roman"/>
                <w:sz w:val="18"/>
              </w:rPr>
            </w:pPr>
          </w:p>
        </w:tc>
      </w:tr>
      <w:tr w:rsidR="00D757DA" w14:paraId="28E9A064" w14:textId="77777777">
        <w:trPr>
          <w:trHeight w:val="347"/>
        </w:trPr>
        <w:tc>
          <w:tcPr>
            <w:tcW w:w="832" w:type="dxa"/>
            <w:tcBorders>
              <w:right w:val="single" w:sz="24" w:space="0" w:color="FFFFFF"/>
            </w:tcBorders>
            <w:shd w:val="clear" w:color="auto" w:fill="4F81BC"/>
          </w:tcPr>
          <w:p w14:paraId="0B1DA84D" w14:textId="77777777" w:rsidR="00D757DA" w:rsidRDefault="0033254E">
            <w:pPr>
              <w:pStyle w:val="TableParagraph"/>
              <w:spacing w:before="19"/>
              <w:ind w:left="458"/>
              <w:rPr>
                <w:b/>
                <w:sz w:val="20"/>
              </w:rPr>
            </w:pPr>
            <w:r>
              <w:rPr>
                <w:b/>
                <w:sz w:val="20"/>
              </w:rPr>
              <w:t>10.</w:t>
            </w:r>
          </w:p>
        </w:tc>
        <w:tc>
          <w:tcPr>
            <w:tcW w:w="3909" w:type="dxa"/>
            <w:tcBorders>
              <w:left w:val="single" w:sz="24" w:space="0" w:color="FFFFFF"/>
              <w:right w:val="single" w:sz="12" w:space="0" w:color="FFFFFF"/>
            </w:tcBorders>
            <w:shd w:val="clear" w:color="auto" w:fill="D2DFED"/>
          </w:tcPr>
          <w:p w14:paraId="0BCE4A19" w14:textId="77777777" w:rsidR="00D757DA" w:rsidRDefault="0033254E">
            <w:pPr>
              <w:pStyle w:val="TableParagraph"/>
              <w:spacing w:before="79"/>
              <w:ind w:left="78"/>
              <w:rPr>
                <w:sz w:val="20"/>
              </w:rPr>
            </w:pPr>
            <w:r>
              <w:rPr>
                <w:sz w:val="20"/>
              </w:rPr>
              <w:t>Registration date:</w:t>
            </w:r>
          </w:p>
        </w:tc>
        <w:tc>
          <w:tcPr>
            <w:tcW w:w="4255" w:type="dxa"/>
            <w:tcBorders>
              <w:left w:val="single" w:sz="12" w:space="0" w:color="FFFFFF"/>
            </w:tcBorders>
            <w:shd w:val="clear" w:color="auto" w:fill="A7BEDE"/>
          </w:tcPr>
          <w:p w14:paraId="03FD566F" w14:textId="77777777" w:rsidR="00D757DA" w:rsidRDefault="00D757DA">
            <w:pPr>
              <w:pStyle w:val="TableParagraph"/>
              <w:rPr>
                <w:rFonts w:ascii="Times New Roman"/>
                <w:sz w:val="18"/>
              </w:rPr>
            </w:pPr>
          </w:p>
        </w:tc>
      </w:tr>
      <w:tr w:rsidR="00D757DA" w14:paraId="4B963E12" w14:textId="77777777">
        <w:trPr>
          <w:trHeight w:val="510"/>
        </w:trPr>
        <w:tc>
          <w:tcPr>
            <w:tcW w:w="832" w:type="dxa"/>
            <w:tcBorders>
              <w:right w:val="single" w:sz="24" w:space="0" w:color="FFFFFF"/>
            </w:tcBorders>
            <w:shd w:val="clear" w:color="auto" w:fill="4F81BC"/>
          </w:tcPr>
          <w:p w14:paraId="25BADB6B" w14:textId="77777777" w:rsidR="00D757DA" w:rsidRDefault="00D757DA">
            <w:pPr>
              <w:pStyle w:val="TableParagraph"/>
              <w:rPr>
                <w:rFonts w:ascii="Times New Roman"/>
                <w:sz w:val="18"/>
              </w:rPr>
            </w:pPr>
          </w:p>
        </w:tc>
        <w:tc>
          <w:tcPr>
            <w:tcW w:w="3909" w:type="dxa"/>
            <w:tcBorders>
              <w:left w:val="single" w:sz="24" w:space="0" w:color="FFFFFF"/>
              <w:right w:val="single" w:sz="12" w:space="0" w:color="FFFFFF"/>
            </w:tcBorders>
            <w:shd w:val="clear" w:color="auto" w:fill="D2DFED"/>
          </w:tcPr>
          <w:p w14:paraId="0C806F77" w14:textId="77777777" w:rsidR="00D757DA" w:rsidRDefault="0033254E">
            <w:pPr>
              <w:pStyle w:val="TableParagraph"/>
              <w:numPr>
                <w:ilvl w:val="0"/>
                <w:numId w:val="32"/>
              </w:numPr>
              <w:tabs>
                <w:tab w:val="left" w:pos="798"/>
                <w:tab w:val="left" w:pos="799"/>
              </w:tabs>
              <w:spacing w:before="31"/>
              <w:ind w:hanging="361"/>
              <w:rPr>
                <w:sz w:val="20"/>
              </w:rPr>
            </w:pPr>
            <w:r>
              <w:rPr>
                <w:sz w:val="20"/>
              </w:rPr>
              <w:t>is</w:t>
            </w:r>
            <w:r>
              <w:rPr>
                <w:spacing w:val="-1"/>
                <w:sz w:val="20"/>
              </w:rPr>
              <w:t xml:space="preserve"> </w:t>
            </w:r>
            <w:proofErr w:type="gramStart"/>
            <w:r>
              <w:rPr>
                <w:sz w:val="20"/>
              </w:rPr>
              <w:t>mandatory;</w:t>
            </w:r>
            <w:proofErr w:type="gramEnd"/>
          </w:p>
          <w:p w14:paraId="3640E8AB" w14:textId="77777777" w:rsidR="00D757DA" w:rsidRDefault="0033254E">
            <w:pPr>
              <w:pStyle w:val="TableParagraph"/>
              <w:numPr>
                <w:ilvl w:val="0"/>
                <w:numId w:val="32"/>
              </w:numPr>
              <w:tabs>
                <w:tab w:val="left" w:pos="798"/>
                <w:tab w:val="left" w:pos="799"/>
              </w:tabs>
              <w:spacing w:before="10" w:line="219" w:lineRule="exact"/>
              <w:ind w:hanging="361"/>
              <w:rPr>
                <w:sz w:val="20"/>
              </w:rPr>
            </w:pPr>
            <w:r>
              <w:rPr>
                <w:sz w:val="20"/>
              </w:rPr>
              <w:t>must be in the valid date</w:t>
            </w:r>
            <w:r>
              <w:rPr>
                <w:spacing w:val="-8"/>
                <w:sz w:val="20"/>
              </w:rPr>
              <w:t xml:space="preserve"> </w:t>
            </w:r>
            <w:r>
              <w:rPr>
                <w:sz w:val="20"/>
              </w:rPr>
              <w:t>format;</w:t>
            </w:r>
          </w:p>
        </w:tc>
        <w:tc>
          <w:tcPr>
            <w:tcW w:w="4255" w:type="dxa"/>
            <w:tcBorders>
              <w:left w:val="single" w:sz="12" w:space="0" w:color="FFFFFF"/>
            </w:tcBorders>
            <w:shd w:val="clear" w:color="auto" w:fill="A7BEDE"/>
          </w:tcPr>
          <w:p w14:paraId="732ACA0D" w14:textId="77777777" w:rsidR="00D757DA" w:rsidRDefault="0033254E">
            <w:pPr>
              <w:pStyle w:val="TableParagraph"/>
              <w:spacing w:before="142"/>
              <w:ind w:left="90"/>
              <w:rPr>
                <w:sz w:val="20"/>
              </w:rPr>
            </w:pPr>
            <w:r>
              <w:rPr>
                <w:sz w:val="20"/>
              </w:rPr>
              <w:t>When the TM status is “Registered”.</w:t>
            </w:r>
          </w:p>
        </w:tc>
      </w:tr>
      <w:tr w:rsidR="00D757DA" w14:paraId="3F53080C" w14:textId="77777777">
        <w:trPr>
          <w:trHeight w:val="240"/>
        </w:trPr>
        <w:tc>
          <w:tcPr>
            <w:tcW w:w="832" w:type="dxa"/>
            <w:tcBorders>
              <w:right w:val="single" w:sz="24" w:space="0" w:color="FFFFFF"/>
            </w:tcBorders>
            <w:shd w:val="clear" w:color="auto" w:fill="4F81BC"/>
          </w:tcPr>
          <w:p w14:paraId="5DD8215D" w14:textId="77777777" w:rsidR="00D757DA" w:rsidRDefault="00D757DA">
            <w:pPr>
              <w:pStyle w:val="TableParagraph"/>
              <w:rPr>
                <w:rFonts w:ascii="Times New Roman"/>
                <w:sz w:val="16"/>
              </w:rPr>
            </w:pPr>
          </w:p>
        </w:tc>
        <w:tc>
          <w:tcPr>
            <w:tcW w:w="3909" w:type="dxa"/>
            <w:tcBorders>
              <w:left w:val="single" w:sz="24" w:space="0" w:color="FFFFFF"/>
              <w:right w:val="single" w:sz="12" w:space="0" w:color="FFFFFF"/>
            </w:tcBorders>
            <w:shd w:val="clear" w:color="auto" w:fill="D2DFED"/>
          </w:tcPr>
          <w:p w14:paraId="4784CB0B" w14:textId="77777777" w:rsidR="00D757DA" w:rsidRDefault="0033254E">
            <w:pPr>
              <w:pStyle w:val="TableParagraph"/>
              <w:tabs>
                <w:tab w:val="left" w:pos="798"/>
              </w:tabs>
              <w:spacing w:before="1" w:line="219" w:lineRule="exact"/>
              <w:ind w:left="438"/>
              <w:rPr>
                <w:sz w:val="20"/>
              </w:rPr>
            </w:pPr>
            <w:r>
              <w:rPr>
                <w:sz w:val="20"/>
              </w:rPr>
              <w:t>-</w:t>
            </w:r>
            <w:r>
              <w:rPr>
                <w:sz w:val="20"/>
              </w:rPr>
              <w:tab/>
              <w:t>must be equal or later than</w:t>
            </w:r>
            <w:r>
              <w:rPr>
                <w:spacing w:val="21"/>
                <w:sz w:val="20"/>
              </w:rPr>
              <w:t xml:space="preserve"> </w:t>
            </w:r>
            <w:r>
              <w:rPr>
                <w:sz w:val="20"/>
              </w:rPr>
              <w:t>the</w:t>
            </w:r>
          </w:p>
        </w:tc>
        <w:tc>
          <w:tcPr>
            <w:tcW w:w="4255" w:type="dxa"/>
            <w:tcBorders>
              <w:left w:val="single" w:sz="12" w:space="0" w:color="FFFFFF"/>
            </w:tcBorders>
            <w:shd w:val="clear" w:color="auto" w:fill="A7BEDE"/>
          </w:tcPr>
          <w:p w14:paraId="4C6E522B" w14:textId="77777777" w:rsidR="00D757DA" w:rsidRDefault="00D757DA">
            <w:pPr>
              <w:pStyle w:val="TableParagraph"/>
              <w:rPr>
                <w:rFonts w:ascii="Times New Roman"/>
                <w:sz w:val="16"/>
              </w:rPr>
            </w:pPr>
          </w:p>
        </w:tc>
      </w:tr>
      <w:tr w:rsidR="00D757DA" w14:paraId="181A76BA" w14:textId="77777777">
        <w:trPr>
          <w:trHeight w:val="240"/>
        </w:trPr>
        <w:tc>
          <w:tcPr>
            <w:tcW w:w="832" w:type="dxa"/>
            <w:tcBorders>
              <w:right w:val="single" w:sz="24" w:space="0" w:color="FFFFFF"/>
            </w:tcBorders>
            <w:shd w:val="clear" w:color="auto" w:fill="4F81BC"/>
          </w:tcPr>
          <w:p w14:paraId="6F6898B0" w14:textId="77777777" w:rsidR="00D757DA" w:rsidRDefault="00D757DA">
            <w:pPr>
              <w:pStyle w:val="TableParagraph"/>
              <w:rPr>
                <w:rFonts w:ascii="Times New Roman"/>
                <w:sz w:val="16"/>
              </w:rPr>
            </w:pPr>
          </w:p>
        </w:tc>
        <w:tc>
          <w:tcPr>
            <w:tcW w:w="3909" w:type="dxa"/>
            <w:tcBorders>
              <w:left w:val="single" w:sz="24" w:space="0" w:color="FFFFFF"/>
              <w:right w:val="single" w:sz="12" w:space="0" w:color="FFFFFF"/>
            </w:tcBorders>
            <w:shd w:val="clear" w:color="auto" w:fill="D2DFED"/>
          </w:tcPr>
          <w:p w14:paraId="1AB67A19" w14:textId="77777777" w:rsidR="00D757DA" w:rsidRDefault="0033254E">
            <w:pPr>
              <w:pStyle w:val="TableParagraph"/>
              <w:spacing w:before="1" w:line="219" w:lineRule="exact"/>
              <w:ind w:left="798"/>
              <w:rPr>
                <w:sz w:val="20"/>
              </w:rPr>
            </w:pPr>
            <w:r>
              <w:rPr>
                <w:sz w:val="20"/>
              </w:rPr>
              <w:t>application date;</w:t>
            </w:r>
          </w:p>
        </w:tc>
        <w:tc>
          <w:tcPr>
            <w:tcW w:w="4255" w:type="dxa"/>
            <w:tcBorders>
              <w:left w:val="single" w:sz="12" w:space="0" w:color="FFFFFF"/>
            </w:tcBorders>
            <w:shd w:val="clear" w:color="auto" w:fill="A7BEDE"/>
          </w:tcPr>
          <w:p w14:paraId="6576C2C2" w14:textId="77777777" w:rsidR="00D757DA" w:rsidRDefault="00D757DA">
            <w:pPr>
              <w:pStyle w:val="TableParagraph"/>
              <w:rPr>
                <w:rFonts w:ascii="Times New Roman"/>
                <w:sz w:val="16"/>
              </w:rPr>
            </w:pPr>
          </w:p>
        </w:tc>
      </w:tr>
      <w:tr w:rsidR="00D757DA" w14:paraId="2344ABA4" w14:textId="77777777">
        <w:trPr>
          <w:trHeight w:val="231"/>
        </w:trPr>
        <w:tc>
          <w:tcPr>
            <w:tcW w:w="832" w:type="dxa"/>
            <w:tcBorders>
              <w:bottom w:val="single" w:sz="8" w:space="0" w:color="FFFFFF"/>
              <w:right w:val="single" w:sz="24" w:space="0" w:color="FFFFFF"/>
            </w:tcBorders>
            <w:shd w:val="clear" w:color="auto" w:fill="4F81BC"/>
          </w:tcPr>
          <w:p w14:paraId="4A4986C6" w14:textId="77777777" w:rsidR="00D757DA" w:rsidRDefault="00D757DA">
            <w:pPr>
              <w:pStyle w:val="TableParagraph"/>
              <w:rPr>
                <w:rFonts w:ascii="Times New Roman"/>
                <w:sz w:val="16"/>
              </w:rPr>
            </w:pPr>
          </w:p>
        </w:tc>
        <w:tc>
          <w:tcPr>
            <w:tcW w:w="3909" w:type="dxa"/>
            <w:tcBorders>
              <w:left w:val="single" w:sz="24" w:space="0" w:color="FFFFFF"/>
              <w:bottom w:val="single" w:sz="8" w:space="0" w:color="FFFFFF"/>
              <w:right w:val="single" w:sz="12" w:space="0" w:color="FFFFFF"/>
            </w:tcBorders>
            <w:shd w:val="clear" w:color="auto" w:fill="D2DFED"/>
          </w:tcPr>
          <w:p w14:paraId="01C44588" w14:textId="77777777" w:rsidR="00D757DA" w:rsidRDefault="0033254E">
            <w:pPr>
              <w:pStyle w:val="TableParagraph"/>
              <w:tabs>
                <w:tab w:val="left" w:pos="791"/>
              </w:tabs>
              <w:spacing w:before="1" w:line="210" w:lineRule="exact"/>
              <w:ind w:left="436"/>
              <w:rPr>
                <w:sz w:val="20"/>
              </w:rPr>
            </w:pPr>
            <w:r>
              <w:rPr>
                <w:sz w:val="20"/>
              </w:rPr>
              <w:t>-</w:t>
            </w:r>
            <w:r>
              <w:rPr>
                <w:sz w:val="20"/>
              </w:rPr>
              <w:tab/>
              <w:t>must not be a date in the</w:t>
            </w:r>
            <w:r>
              <w:rPr>
                <w:spacing w:val="-11"/>
                <w:sz w:val="20"/>
              </w:rPr>
              <w:t xml:space="preserve"> </w:t>
            </w:r>
            <w:r>
              <w:rPr>
                <w:sz w:val="20"/>
              </w:rPr>
              <w:t>future.</w:t>
            </w:r>
          </w:p>
        </w:tc>
        <w:tc>
          <w:tcPr>
            <w:tcW w:w="4255" w:type="dxa"/>
            <w:tcBorders>
              <w:left w:val="single" w:sz="12" w:space="0" w:color="FFFFFF"/>
              <w:bottom w:val="single" w:sz="8" w:space="0" w:color="FFFFFF"/>
            </w:tcBorders>
            <w:shd w:val="clear" w:color="auto" w:fill="A7BEDE"/>
          </w:tcPr>
          <w:p w14:paraId="61AC1F96" w14:textId="77777777" w:rsidR="00D757DA" w:rsidRDefault="00D757DA">
            <w:pPr>
              <w:pStyle w:val="TableParagraph"/>
              <w:rPr>
                <w:rFonts w:ascii="Times New Roman"/>
                <w:sz w:val="16"/>
              </w:rPr>
            </w:pPr>
          </w:p>
        </w:tc>
      </w:tr>
      <w:tr w:rsidR="00D757DA" w14:paraId="2DCA5977" w14:textId="77777777">
        <w:trPr>
          <w:trHeight w:val="1461"/>
        </w:trPr>
        <w:tc>
          <w:tcPr>
            <w:tcW w:w="832" w:type="dxa"/>
            <w:tcBorders>
              <w:top w:val="single" w:sz="8" w:space="0" w:color="FFFFFF"/>
              <w:right w:val="single" w:sz="24" w:space="0" w:color="FFFFFF"/>
            </w:tcBorders>
            <w:shd w:val="clear" w:color="auto" w:fill="4F81BC"/>
          </w:tcPr>
          <w:p w14:paraId="1C797D82" w14:textId="77777777" w:rsidR="00D757DA" w:rsidRDefault="0033254E">
            <w:pPr>
              <w:pStyle w:val="TableParagraph"/>
              <w:spacing w:before="9"/>
              <w:ind w:left="458"/>
              <w:rPr>
                <w:b/>
                <w:sz w:val="20"/>
              </w:rPr>
            </w:pPr>
            <w:r>
              <w:rPr>
                <w:b/>
                <w:sz w:val="20"/>
              </w:rPr>
              <w:t>11.</w:t>
            </w:r>
          </w:p>
        </w:tc>
        <w:tc>
          <w:tcPr>
            <w:tcW w:w="3909" w:type="dxa"/>
            <w:tcBorders>
              <w:top w:val="single" w:sz="8" w:space="0" w:color="FFFFFF"/>
              <w:left w:val="single" w:sz="24" w:space="0" w:color="FFFFFF"/>
              <w:right w:val="single" w:sz="12" w:space="0" w:color="FFFFFF"/>
            </w:tcBorders>
            <w:shd w:val="clear" w:color="auto" w:fill="A7BEDE"/>
          </w:tcPr>
          <w:p w14:paraId="7BD0B047" w14:textId="77777777" w:rsidR="00D757DA" w:rsidRDefault="0033254E">
            <w:pPr>
              <w:pStyle w:val="TableParagraph"/>
              <w:spacing w:before="69" w:line="249" w:lineRule="auto"/>
              <w:ind w:left="78" w:right="70"/>
              <w:rPr>
                <w:sz w:val="20"/>
              </w:rPr>
            </w:pPr>
            <w:r>
              <w:rPr>
                <w:sz w:val="20"/>
              </w:rPr>
              <w:t>At least one Nice class with a value 1-45 is mandatory.</w:t>
            </w:r>
          </w:p>
        </w:tc>
        <w:tc>
          <w:tcPr>
            <w:tcW w:w="4255" w:type="dxa"/>
            <w:tcBorders>
              <w:top w:val="single" w:sz="8" w:space="0" w:color="FFFFFF"/>
              <w:left w:val="single" w:sz="12" w:space="0" w:color="FFFFFF"/>
            </w:tcBorders>
            <w:shd w:val="clear" w:color="auto" w:fill="A7BEDE"/>
          </w:tcPr>
          <w:p w14:paraId="10077BA6" w14:textId="77777777" w:rsidR="00D757DA" w:rsidRDefault="0033254E">
            <w:pPr>
              <w:pStyle w:val="TableParagraph"/>
              <w:numPr>
                <w:ilvl w:val="0"/>
                <w:numId w:val="31"/>
              </w:numPr>
              <w:tabs>
                <w:tab w:val="left" w:pos="408"/>
              </w:tabs>
              <w:spacing w:before="9"/>
              <w:rPr>
                <w:sz w:val="20"/>
              </w:rPr>
            </w:pPr>
            <w:r>
              <w:rPr>
                <w:sz w:val="20"/>
              </w:rPr>
              <w:t>When the TM status is</w:t>
            </w:r>
            <w:r>
              <w:rPr>
                <w:spacing w:val="-9"/>
                <w:sz w:val="20"/>
              </w:rPr>
              <w:t xml:space="preserve"> </w:t>
            </w:r>
            <w:r>
              <w:rPr>
                <w:sz w:val="20"/>
              </w:rPr>
              <w:t>“Registered</w:t>
            </w:r>
            <w:proofErr w:type="gramStart"/>
            <w:r>
              <w:rPr>
                <w:sz w:val="20"/>
              </w:rPr>
              <w:t>”;</w:t>
            </w:r>
            <w:proofErr w:type="gramEnd"/>
          </w:p>
          <w:p w14:paraId="0A1F397E" w14:textId="77777777" w:rsidR="00D757DA" w:rsidRDefault="00D757DA">
            <w:pPr>
              <w:pStyle w:val="TableParagraph"/>
              <w:spacing w:before="8"/>
              <w:rPr>
                <w:sz w:val="21"/>
              </w:rPr>
            </w:pPr>
          </w:p>
          <w:p w14:paraId="6AED545D" w14:textId="77777777" w:rsidR="00D757DA" w:rsidRDefault="0033254E">
            <w:pPr>
              <w:pStyle w:val="TableParagraph"/>
              <w:numPr>
                <w:ilvl w:val="0"/>
                <w:numId w:val="31"/>
              </w:numPr>
              <w:tabs>
                <w:tab w:val="left" w:pos="408"/>
              </w:tabs>
              <w:spacing w:line="249" w:lineRule="auto"/>
              <w:ind w:right="218"/>
              <w:jc w:val="both"/>
              <w:rPr>
                <w:sz w:val="20"/>
              </w:rPr>
            </w:pPr>
            <w:r>
              <w:rPr>
                <w:sz w:val="20"/>
              </w:rPr>
              <w:t>When</w:t>
            </w:r>
            <w:r>
              <w:rPr>
                <w:spacing w:val="-10"/>
                <w:sz w:val="20"/>
              </w:rPr>
              <w:t xml:space="preserve"> </w:t>
            </w:r>
            <w:r>
              <w:rPr>
                <w:sz w:val="20"/>
              </w:rPr>
              <w:t>the</w:t>
            </w:r>
            <w:r>
              <w:rPr>
                <w:spacing w:val="-9"/>
                <w:sz w:val="20"/>
              </w:rPr>
              <w:t xml:space="preserve"> </w:t>
            </w:r>
            <w:r>
              <w:rPr>
                <w:sz w:val="20"/>
              </w:rPr>
              <w:t>TM</w:t>
            </w:r>
            <w:r>
              <w:rPr>
                <w:spacing w:val="-8"/>
                <w:sz w:val="20"/>
              </w:rPr>
              <w:t xml:space="preserve"> </w:t>
            </w:r>
            <w:r>
              <w:rPr>
                <w:sz w:val="20"/>
              </w:rPr>
              <w:t>Application</w:t>
            </w:r>
            <w:r>
              <w:rPr>
                <w:spacing w:val="-10"/>
                <w:sz w:val="20"/>
              </w:rPr>
              <w:t xml:space="preserve"> </w:t>
            </w:r>
            <w:r>
              <w:rPr>
                <w:sz w:val="20"/>
              </w:rPr>
              <w:t>date</w:t>
            </w:r>
            <w:r>
              <w:rPr>
                <w:spacing w:val="-9"/>
                <w:sz w:val="20"/>
              </w:rPr>
              <w:t xml:space="preserve"> </w:t>
            </w:r>
            <w:r>
              <w:rPr>
                <w:sz w:val="20"/>
              </w:rPr>
              <w:t>is</w:t>
            </w:r>
            <w:r>
              <w:rPr>
                <w:spacing w:val="-9"/>
                <w:sz w:val="20"/>
              </w:rPr>
              <w:t xml:space="preserve"> </w:t>
            </w:r>
            <w:r>
              <w:rPr>
                <w:sz w:val="20"/>
              </w:rPr>
              <w:t>equal</w:t>
            </w:r>
            <w:r>
              <w:rPr>
                <w:spacing w:val="-10"/>
                <w:sz w:val="20"/>
              </w:rPr>
              <w:t xml:space="preserve"> </w:t>
            </w:r>
            <w:r>
              <w:rPr>
                <w:sz w:val="20"/>
              </w:rPr>
              <w:t>or later than the date of enforcement of the Nice</w:t>
            </w:r>
            <w:r>
              <w:rPr>
                <w:spacing w:val="-13"/>
                <w:sz w:val="20"/>
              </w:rPr>
              <w:t xml:space="preserve"> </w:t>
            </w:r>
            <w:r>
              <w:rPr>
                <w:sz w:val="20"/>
              </w:rPr>
              <w:t>Agreement</w:t>
            </w:r>
            <w:r>
              <w:rPr>
                <w:spacing w:val="-12"/>
                <w:sz w:val="20"/>
              </w:rPr>
              <w:t xml:space="preserve"> </w:t>
            </w:r>
            <w:r>
              <w:rPr>
                <w:sz w:val="20"/>
              </w:rPr>
              <w:t>in</w:t>
            </w:r>
            <w:r>
              <w:rPr>
                <w:spacing w:val="-13"/>
                <w:sz w:val="20"/>
              </w:rPr>
              <w:t xml:space="preserve"> </w:t>
            </w:r>
            <w:r>
              <w:rPr>
                <w:sz w:val="20"/>
              </w:rPr>
              <w:t>the</w:t>
            </w:r>
            <w:r>
              <w:rPr>
                <w:spacing w:val="-13"/>
                <w:sz w:val="20"/>
              </w:rPr>
              <w:t xml:space="preserve"> </w:t>
            </w:r>
            <w:r>
              <w:rPr>
                <w:sz w:val="20"/>
              </w:rPr>
              <w:t>respective</w:t>
            </w:r>
            <w:r>
              <w:rPr>
                <w:spacing w:val="-13"/>
                <w:sz w:val="20"/>
              </w:rPr>
              <w:t xml:space="preserve"> </w:t>
            </w:r>
            <w:r>
              <w:rPr>
                <w:sz w:val="20"/>
              </w:rPr>
              <w:t>country</w:t>
            </w:r>
          </w:p>
        </w:tc>
      </w:tr>
    </w:tbl>
    <w:p w14:paraId="46D6F070" w14:textId="77777777" w:rsidR="00D757DA" w:rsidRDefault="00D757DA">
      <w:pPr>
        <w:pStyle w:val="Zkladntext"/>
        <w:rPr>
          <w:sz w:val="20"/>
        </w:rPr>
      </w:pPr>
    </w:p>
    <w:p w14:paraId="3ED2DA18" w14:textId="77777777" w:rsidR="00D757DA" w:rsidRDefault="00D757DA">
      <w:pPr>
        <w:pStyle w:val="Zkladntext"/>
        <w:spacing w:before="6"/>
      </w:pPr>
    </w:p>
    <w:p w14:paraId="3A05A9A7" w14:textId="77777777" w:rsidR="00D757DA" w:rsidRDefault="0033254E">
      <w:pPr>
        <w:ind w:left="3293"/>
        <w:rPr>
          <w:sz w:val="20"/>
        </w:rPr>
      </w:pPr>
      <w:r>
        <w:pict w14:anchorId="259789CB">
          <v:group id="_x0000_s2057" style="position:absolute;left:0;text-align:left;margin-left:73pt;margin-top:-364.6pt;width:40.1pt;height:340.15pt;z-index:-255603712;mso-position-horizontal-relative:page" coordorigin="1460,-7292" coordsize="802,6803">
            <v:shape id="_x0000_s2062" style="position:absolute;left:1459;top:-7293;width:802;height:3361" coordorigin="1460,-7292" coordsize="802,3361" o:spt="100" adj="0,,0" path="m2261,-4292r-77,l1558,-4292r-98,l1460,-3932r801,l2261,-4292t,-379l2184,-4671r-626,l1460,-4671r,360l2261,-4311r,-360m2261,-6010r-77,l1558,-6010r-98,l1460,-4690r801,l2261,-6010t,-1282l2184,-7292r-626,l1460,-7292r,1260l2261,-6032r,-1260e" fillcolor="#4f81bc" stroked="f">
              <v:stroke joinstyle="round"/>
              <v:formulas/>
              <v:path arrowok="t" o:connecttype="segments"/>
            </v:shape>
            <v:line id="_x0000_s2061" style="position:absolute" from="1460,-4294" to="2261,-4294" strokecolor="#4f81bc" strokeweight=".24pt"/>
            <v:shape id="_x0000_s2060" style="position:absolute;left:1459;top:-3910;width:802;height:1940" coordorigin="1460,-3910" coordsize="802,1940" o:spt="100" adj="0,,0" path="m2261,-3530r-77,l1558,-3530r-98,l1460,-1970r801,l2261,-3530t,-380l2184,-3910r-626,l1460,-3910r,360l2261,-3550r,-360e" fillcolor="#4f81bc" stroked="f">
              <v:stroke joinstyle="round"/>
              <v:formulas/>
              <v:path arrowok="t" o:connecttype="segments"/>
            </v:shape>
            <v:line id="_x0000_s2059" style="position:absolute" from="1460,-3533" to="2261,-3533" strokecolor="#4f81bc" strokeweight=".24pt"/>
            <v:shape id="_x0000_s2058" style="position:absolute;left:1459;top:-1952;width:802;height:1462" coordorigin="1460,-1951" coordsize="802,1462" path="m2261,-1951r-77,l1558,-1951r-98,l1460,-490r801,l2261,-1951e" fillcolor="#4f81bc" stroked="f">
              <v:path arrowok="t"/>
            </v:shape>
            <w10:wrap anchorx="page"/>
          </v:group>
        </w:pict>
      </w:r>
      <w:r>
        <w:pict w14:anchorId="418DF575">
          <v:group id="_x0000_s2052" style="position:absolute;left:0;text-align:left;margin-left:73pt;margin-top:41.55pt;width:25.6pt;height:249.3pt;z-index:-255602688;mso-position-horizontal-relative:page" coordorigin="1460,831" coordsize="512,4986">
            <v:shape id="_x0000_s2056" style="position:absolute;left:1459;top:830;width:512;height:4225" coordorigin="1460,831" coordsize="512,4225" o:spt="100" adj="0,,0" path="m1971,4695r-79,l1558,4695r-98,l1460,5055r511,l1971,4695t,-559l1892,4136r-334,l1460,4136r,540l1971,4676r,-540m1971,3003r-79,l1892,3003r-334,l1558,3003r-98,l1460,4117r511,l1971,3003t,-1411l1892,1592r-334,l1460,1592r,1389l1971,2981r,-1389m1971,1210r-79,l1558,1210r-98,l1460,1570r511,l1971,1210t,-379l1892,831r-334,l1460,831r,360l1971,1191r,-360e" fillcolor="#4f81bc" stroked="f">
              <v:stroke joinstyle="round"/>
              <v:formulas/>
              <v:path arrowok="t" o:connecttype="segments"/>
            </v:shape>
            <v:line id="_x0000_s2055" style="position:absolute" from="1460,4693" to="1968,4693" strokecolor="#4f81bc" strokeweight=".24pt"/>
            <v:shape id="_x0000_s2054" style="position:absolute;left:1459;top:5077;width:512;height:740" coordorigin="1460,5077" coordsize="512,740" o:spt="100" adj="0,,0" path="m1971,5456r-79,l1558,5456r-98,l1460,5816r511,l1971,5456t,-379l1892,5077r-334,l1460,5077r,360l1971,5437r,-360e" fillcolor="#4f81bc" stroked="f">
              <v:stroke joinstyle="round"/>
              <v:formulas/>
              <v:path arrowok="t" o:connecttype="segments"/>
            </v:shape>
            <v:line id="_x0000_s2053" style="position:absolute" from="1460,5454" to="1968,5454" strokecolor="#4f81bc" strokeweight=".24pt"/>
            <w10:wrap anchorx="page"/>
          </v:group>
        </w:pict>
      </w:r>
      <w:r>
        <w:rPr>
          <w:sz w:val="20"/>
        </w:rPr>
        <w:t>Designs Rules and Conditions</w:t>
      </w:r>
    </w:p>
    <w:p w14:paraId="064A4AD5" w14:textId="77777777" w:rsidR="00D757DA" w:rsidRDefault="00D757DA">
      <w:pPr>
        <w:pStyle w:val="Zkladntext"/>
        <w:spacing w:before="2"/>
        <w:rPr>
          <w:sz w:val="12"/>
        </w:rPr>
      </w:pPr>
    </w:p>
    <w:tbl>
      <w:tblPr>
        <w:tblStyle w:val="TableNormal"/>
        <w:tblW w:w="0" w:type="auto"/>
        <w:tblInd w:w="147" w:type="dxa"/>
        <w:tblLayout w:type="fixed"/>
        <w:tblLook w:val="01E0" w:firstRow="1" w:lastRow="1" w:firstColumn="1" w:lastColumn="1" w:noHBand="0" w:noVBand="0"/>
      </w:tblPr>
      <w:tblGrid>
        <w:gridCol w:w="539"/>
        <w:gridCol w:w="3837"/>
        <w:gridCol w:w="4624"/>
      </w:tblGrid>
      <w:tr w:rsidR="00D757DA" w14:paraId="1CCA1708" w14:textId="77777777">
        <w:trPr>
          <w:trHeight w:val="400"/>
        </w:trPr>
        <w:tc>
          <w:tcPr>
            <w:tcW w:w="539" w:type="dxa"/>
            <w:tcBorders>
              <w:bottom w:val="single" w:sz="24" w:space="0" w:color="FFFFFF"/>
            </w:tcBorders>
            <w:shd w:val="clear" w:color="auto" w:fill="4F81BC"/>
          </w:tcPr>
          <w:p w14:paraId="6B2574B7" w14:textId="77777777" w:rsidR="00D757DA" w:rsidRDefault="0033254E">
            <w:pPr>
              <w:pStyle w:val="TableParagraph"/>
              <w:spacing w:before="9"/>
              <w:ind w:left="132"/>
              <w:rPr>
                <w:b/>
                <w:sz w:val="20"/>
              </w:rPr>
            </w:pPr>
            <w:r>
              <w:rPr>
                <w:b/>
                <w:sz w:val="20"/>
              </w:rPr>
              <w:t>No</w:t>
            </w:r>
          </w:p>
        </w:tc>
        <w:tc>
          <w:tcPr>
            <w:tcW w:w="3837" w:type="dxa"/>
            <w:tcBorders>
              <w:bottom w:val="single" w:sz="24" w:space="0" w:color="FFFFFF"/>
              <w:right w:val="single" w:sz="8" w:space="0" w:color="FFFFFF"/>
            </w:tcBorders>
            <w:shd w:val="clear" w:color="auto" w:fill="4F81BC"/>
          </w:tcPr>
          <w:p w14:paraId="16FB782F" w14:textId="77777777" w:rsidR="00D757DA" w:rsidRDefault="0033254E">
            <w:pPr>
              <w:pStyle w:val="TableParagraph"/>
              <w:spacing w:before="69"/>
              <w:ind w:left="1679" w:right="1673"/>
              <w:jc w:val="center"/>
              <w:rPr>
                <w:b/>
                <w:sz w:val="20"/>
              </w:rPr>
            </w:pPr>
            <w:r>
              <w:rPr>
                <w:b/>
                <w:sz w:val="20"/>
              </w:rPr>
              <w:t>Rule</w:t>
            </w:r>
          </w:p>
        </w:tc>
        <w:tc>
          <w:tcPr>
            <w:tcW w:w="4624" w:type="dxa"/>
            <w:tcBorders>
              <w:left w:val="single" w:sz="8" w:space="0" w:color="FFFFFF"/>
              <w:bottom w:val="single" w:sz="24" w:space="0" w:color="FFFFFF"/>
            </w:tcBorders>
            <w:shd w:val="clear" w:color="auto" w:fill="4F81BC"/>
          </w:tcPr>
          <w:p w14:paraId="483E6589" w14:textId="77777777" w:rsidR="00D757DA" w:rsidRDefault="0033254E">
            <w:pPr>
              <w:pStyle w:val="TableParagraph"/>
              <w:spacing w:before="91"/>
              <w:ind w:left="1818" w:right="1822"/>
              <w:jc w:val="center"/>
              <w:rPr>
                <w:b/>
                <w:sz w:val="20"/>
              </w:rPr>
            </w:pPr>
            <w:r>
              <w:rPr>
                <w:b/>
                <w:sz w:val="20"/>
              </w:rPr>
              <w:t>Condition</w:t>
            </w:r>
          </w:p>
        </w:tc>
      </w:tr>
      <w:tr w:rsidR="00D757DA" w14:paraId="375BE6E7" w14:textId="77777777">
        <w:trPr>
          <w:trHeight w:val="359"/>
        </w:trPr>
        <w:tc>
          <w:tcPr>
            <w:tcW w:w="539" w:type="dxa"/>
            <w:tcBorders>
              <w:top w:val="single" w:sz="24" w:space="0" w:color="FFFFFF"/>
              <w:bottom w:val="single" w:sz="8" w:space="0" w:color="FFFFFF"/>
            </w:tcBorders>
            <w:shd w:val="clear" w:color="auto" w:fill="4F81BC"/>
          </w:tcPr>
          <w:p w14:paraId="0FE254B7" w14:textId="77777777" w:rsidR="00D757DA" w:rsidRDefault="0033254E">
            <w:pPr>
              <w:pStyle w:val="TableParagraph"/>
              <w:spacing w:before="9"/>
              <w:ind w:left="98"/>
              <w:rPr>
                <w:b/>
                <w:sz w:val="20"/>
              </w:rPr>
            </w:pPr>
            <w:r>
              <w:rPr>
                <w:b/>
                <w:sz w:val="20"/>
              </w:rPr>
              <w:t>1.</w:t>
            </w:r>
          </w:p>
        </w:tc>
        <w:tc>
          <w:tcPr>
            <w:tcW w:w="3837" w:type="dxa"/>
            <w:tcBorders>
              <w:top w:val="single" w:sz="24" w:space="0" w:color="FFFFFF"/>
              <w:bottom w:val="single" w:sz="8" w:space="0" w:color="FFFFFF"/>
              <w:right w:val="single" w:sz="8" w:space="0" w:color="FFFFFF"/>
            </w:tcBorders>
            <w:shd w:val="clear" w:color="auto" w:fill="A7BEDE"/>
          </w:tcPr>
          <w:p w14:paraId="78D8BCE7" w14:textId="77777777" w:rsidR="00D757DA" w:rsidRDefault="0033254E">
            <w:pPr>
              <w:pStyle w:val="TableParagraph"/>
              <w:spacing w:before="69"/>
              <w:ind w:left="108"/>
              <w:rPr>
                <w:sz w:val="20"/>
              </w:rPr>
            </w:pPr>
            <w:r>
              <w:rPr>
                <w:sz w:val="20"/>
              </w:rPr>
              <w:t>Application number is mandatory.</w:t>
            </w:r>
          </w:p>
        </w:tc>
        <w:tc>
          <w:tcPr>
            <w:tcW w:w="4624" w:type="dxa"/>
            <w:tcBorders>
              <w:top w:val="single" w:sz="24" w:space="0" w:color="FFFFFF"/>
              <w:left w:val="single" w:sz="8" w:space="0" w:color="FFFFFF"/>
              <w:bottom w:val="single" w:sz="8" w:space="0" w:color="FFFFFF"/>
            </w:tcBorders>
            <w:shd w:val="clear" w:color="auto" w:fill="A7BEDE"/>
          </w:tcPr>
          <w:p w14:paraId="2DD3F49D" w14:textId="77777777" w:rsidR="00D757DA" w:rsidRDefault="0033254E">
            <w:pPr>
              <w:pStyle w:val="TableParagraph"/>
              <w:spacing w:before="69"/>
              <w:ind w:left="97"/>
              <w:rPr>
                <w:sz w:val="20"/>
              </w:rPr>
            </w:pPr>
            <w:r>
              <w:rPr>
                <w:sz w:val="20"/>
              </w:rPr>
              <w:t>Always.</w:t>
            </w:r>
          </w:p>
        </w:tc>
      </w:tr>
      <w:tr w:rsidR="00D757DA" w14:paraId="0919E5FA" w14:textId="77777777">
        <w:trPr>
          <w:trHeight w:val="355"/>
        </w:trPr>
        <w:tc>
          <w:tcPr>
            <w:tcW w:w="539" w:type="dxa"/>
            <w:tcBorders>
              <w:top w:val="single" w:sz="8" w:space="0" w:color="FFFFFF"/>
              <w:bottom w:val="single" w:sz="12" w:space="0" w:color="FFFFFF"/>
            </w:tcBorders>
            <w:shd w:val="clear" w:color="auto" w:fill="4F81BC"/>
          </w:tcPr>
          <w:p w14:paraId="5BB60AC7" w14:textId="77777777" w:rsidR="00D757DA" w:rsidRDefault="0033254E">
            <w:pPr>
              <w:pStyle w:val="TableParagraph"/>
              <w:spacing w:line="229" w:lineRule="exact"/>
              <w:ind w:left="98"/>
              <w:rPr>
                <w:b/>
                <w:sz w:val="20"/>
              </w:rPr>
            </w:pPr>
            <w:r>
              <w:rPr>
                <w:b/>
                <w:sz w:val="20"/>
              </w:rPr>
              <w:t>2.</w:t>
            </w:r>
          </w:p>
        </w:tc>
        <w:tc>
          <w:tcPr>
            <w:tcW w:w="3837" w:type="dxa"/>
            <w:tcBorders>
              <w:top w:val="single" w:sz="8" w:space="0" w:color="FFFFFF"/>
              <w:bottom w:val="single" w:sz="12" w:space="0" w:color="FFFFFF"/>
              <w:right w:val="single" w:sz="8" w:space="0" w:color="FFFFFF"/>
            </w:tcBorders>
            <w:shd w:val="clear" w:color="auto" w:fill="D2DFED"/>
          </w:tcPr>
          <w:p w14:paraId="71C84C7B" w14:textId="77777777" w:rsidR="00D757DA" w:rsidRDefault="0033254E">
            <w:pPr>
              <w:pStyle w:val="TableParagraph"/>
              <w:spacing w:before="69"/>
              <w:ind w:left="108"/>
              <w:rPr>
                <w:sz w:val="20"/>
              </w:rPr>
            </w:pPr>
            <w:r>
              <w:rPr>
                <w:sz w:val="20"/>
              </w:rPr>
              <w:t>Design number is mandatory.</w:t>
            </w:r>
          </w:p>
        </w:tc>
        <w:tc>
          <w:tcPr>
            <w:tcW w:w="4624" w:type="dxa"/>
            <w:tcBorders>
              <w:top w:val="single" w:sz="8" w:space="0" w:color="FFFFFF"/>
              <w:left w:val="single" w:sz="8" w:space="0" w:color="FFFFFF"/>
              <w:bottom w:val="single" w:sz="12" w:space="0" w:color="FFFFFF"/>
            </w:tcBorders>
            <w:shd w:val="clear" w:color="auto" w:fill="D2DFED"/>
          </w:tcPr>
          <w:p w14:paraId="2C2B02DF" w14:textId="77777777" w:rsidR="00D757DA" w:rsidRDefault="0033254E">
            <w:pPr>
              <w:pStyle w:val="TableParagraph"/>
              <w:spacing w:before="69"/>
              <w:ind w:left="97"/>
              <w:rPr>
                <w:sz w:val="20"/>
              </w:rPr>
            </w:pPr>
            <w:r>
              <w:rPr>
                <w:sz w:val="20"/>
              </w:rPr>
              <w:t>Always.</w:t>
            </w:r>
          </w:p>
        </w:tc>
      </w:tr>
      <w:tr w:rsidR="00D757DA" w14:paraId="7DBBF6A5" w14:textId="77777777">
        <w:trPr>
          <w:trHeight w:val="1381"/>
        </w:trPr>
        <w:tc>
          <w:tcPr>
            <w:tcW w:w="539" w:type="dxa"/>
            <w:tcBorders>
              <w:top w:val="single" w:sz="12" w:space="0" w:color="FFFFFF"/>
              <w:bottom w:val="single" w:sz="12" w:space="0" w:color="FFFFFF"/>
              <w:right w:val="single" w:sz="24" w:space="0" w:color="FFFFFF"/>
            </w:tcBorders>
            <w:shd w:val="clear" w:color="auto" w:fill="4F81BC"/>
          </w:tcPr>
          <w:p w14:paraId="41986DCE" w14:textId="77777777" w:rsidR="00D757DA" w:rsidRDefault="0033254E">
            <w:pPr>
              <w:pStyle w:val="TableParagraph"/>
              <w:spacing w:before="5"/>
              <w:ind w:left="98"/>
              <w:rPr>
                <w:b/>
                <w:sz w:val="20"/>
              </w:rPr>
            </w:pPr>
            <w:r>
              <w:rPr>
                <w:b/>
                <w:sz w:val="20"/>
              </w:rPr>
              <w:t>3.</w:t>
            </w:r>
          </w:p>
        </w:tc>
        <w:tc>
          <w:tcPr>
            <w:tcW w:w="3837" w:type="dxa"/>
            <w:tcBorders>
              <w:top w:val="single" w:sz="12" w:space="0" w:color="FFFFFF"/>
              <w:left w:val="single" w:sz="24" w:space="0" w:color="FFFFFF"/>
              <w:bottom w:val="single" w:sz="12" w:space="0" w:color="FFFFFF"/>
              <w:right w:val="single" w:sz="8" w:space="0" w:color="FFFFFF"/>
            </w:tcBorders>
            <w:shd w:val="clear" w:color="auto" w:fill="A7BEDE"/>
          </w:tcPr>
          <w:p w14:paraId="0FB94457" w14:textId="77777777" w:rsidR="00D757DA" w:rsidRDefault="0033254E">
            <w:pPr>
              <w:pStyle w:val="TableParagraph"/>
              <w:spacing w:before="125"/>
              <w:ind w:left="78"/>
              <w:rPr>
                <w:sz w:val="20"/>
              </w:rPr>
            </w:pPr>
            <w:r>
              <w:rPr>
                <w:sz w:val="20"/>
              </w:rPr>
              <w:t>Owner name is mandatory.</w:t>
            </w:r>
          </w:p>
        </w:tc>
        <w:tc>
          <w:tcPr>
            <w:tcW w:w="4624" w:type="dxa"/>
            <w:tcBorders>
              <w:top w:val="single" w:sz="12" w:space="0" w:color="FFFFFF"/>
              <w:left w:val="single" w:sz="8" w:space="0" w:color="FFFFFF"/>
              <w:bottom w:val="single" w:sz="12" w:space="0" w:color="FFFFFF"/>
            </w:tcBorders>
            <w:shd w:val="clear" w:color="auto" w:fill="A7BEDE"/>
          </w:tcPr>
          <w:p w14:paraId="517F828A" w14:textId="77777777" w:rsidR="00D757DA" w:rsidRDefault="0033254E">
            <w:pPr>
              <w:pStyle w:val="TableParagraph"/>
              <w:spacing w:before="130"/>
              <w:ind w:left="97"/>
              <w:rPr>
                <w:sz w:val="20"/>
              </w:rPr>
            </w:pPr>
            <w:r>
              <w:rPr>
                <w:sz w:val="20"/>
              </w:rPr>
              <w:t>Always:</w:t>
            </w:r>
          </w:p>
          <w:p w14:paraId="23BFC62B" w14:textId="77777777" w:rsidR="00D757DA" w:rsidRDefault="0033254E">
            <w:pPr>
              <w:pStyle w:val="TableParagraph"/>
              <w:numPr>
                <w:ilvl w:val="0"/>
                <w:numId w:val="30"/>
              </w:numPr>
              <w:tabs>
                <w:tab w:val="left" w:pos="414"/>
                <w:tab w:val="left" w:pos="415"/>
                <w:tab w:val="left" w:pos="2810"/>
              </w:tabs>
              <w:spacing w:before="10"/>
              <w:rPr>
                <w:sz w:val="20"/>
              </w:rPr>
            </w:pPr>
            <w:r>
              <w:rPr>
                <w:sz w:val="20"/>
              </w:rPr>
              <w:t xml:space="preserve">if    not  </w:t>
            </w:r>
            <w:r>
              <w:rPr>
                <w:spacing w:val="1"/>
                <w:sz w:val="20"/>
              </w:rPr>
              <w:t xml:space="preserve"> </w:t>
            </w:r>
            <w:proofErr w:type="gramStart"/>
            <w:r>
              <w:rPr>
                <w:sz w:val="20"/>
              </w:rPr>
              <w:t xml:space="preserve">known,  </w:t>
            </w:r>
            <w:r>
              <w:rPr>
                <w:spacing w:val="29"/>
                <w:sz w:val="20"/>
              </w:rPr>
              <w:t xml:space="preserve"> </w:t>
            </w:r>
            <w:proofErr w:type="gramEnd"/>
            <w:r>
              <w:rPr>
                <w:sz w:val="20"/>
              </w:rPr>
              <w:t>should</w:t>
            </w:r>
            <w:r>
              <w:rPr>
                <w:sz w:val="20"/>
              </w:rPr>
              <w:tab/>
              <w:t>have the</w:t>
            </w:r>
            <w:r>
              <w:rPr>
                <w:spacing w:val="3"/>
                <w:sz w:val="20"/>
              </w:rPr>
              <w:t xml:space="preserve"> </w:t>
            </w:r>
            <w:r>
              <w:rPr>
                <w:sz w:val="20"/>
              </w:rPr>
              <w:t>value</w:t>
            </w:r>
          </w:p>
          <w:p w14:paraId="0F2237E4" w14:textId="77777777" w:rsidR="00D757DA" w:rsidRDefault="0033254E">
            <w:pPr>
              <w:pStyle w:val="TableParagraph"/>
              <w:spacing w:before="10"/>
              <w:ind w:left="414"/>
              <w:rPr>
                <w:sz w:val="20"/>
              </w:rPr>
            </w:pPr>
            <w:r>
              <w:rPr>
                <w:sz w:val="20"/>
              </w:rPr>
              <w:t>“Unknown</w:t>
            </w:r>
            <w:proofErr w:type="gramStart"/>
            <w:r>
              <w:rPr>
                <w:sz w:val="20"/>
              </w:rPr>
              <w:t>”;</w:t>
            </w:r>
            <w:proofErr w:type="gramEnd"/>
          </w:p>
          <w:p w14:paraId="2EC6D842" w14:textId="77777777" w:rsidR="00D757DA" w:rsidRDefault="0033254E">
            <w:pPr>
              <w:pStyle w:val="TableParagraph"/>
              <w:numPr>
                <w:ilvl w:val="0"/>
                <w:numId w:val="30"/>
              </w:numPr>
              <w:tabs>
                <w:tab w:val="left" w:pos="414"/>
                <w:tab w:val="left" w:pos="415"/>
              </w:tabs>
              <w:spacing w:before="10"/>
              <w:rPr>
                <w:sz w:val="20"/>
              </w:rPr>
            </w:pPr>
            <w:r>
              <w:rPr>
                <w:sz w:val="20"/>
              </w:rPr>
              <w:t>if</w:t>
            </w:r>
            <w:r>
              <w:rPr>
                <w:spacing w:val="27"/>
                <w:sz w:val="20"/>
              </w:rPr>
              <w:t xml:space="preserve"> </w:t>
            </w:r>
            <w:r>
              <w:rPr>
                <w:sz w:val="20"/>
              </w:rPr>
              <w:t>not</w:t>
            </w:r>
            <w:r>
              <w:rPr>
                <w:spacing w:val="29"/>
                <w:sz w:val="20"/>
              </w:rPr>
              <w:t xml:space="preserve"> </w:t>
            </w:r>
            <w:r>
              <w:rPr>
                <w:sz w:val="20"/>
              </w:rPr>
              <w:t>available,</w:t>
            </w:r>
            <w:r>
              <w:rPr>
                <w:spacing w:val="27"/>
                <w:sz w:val="20"/>
              </w:rPr>
              <w:t xml:space="preserve"> </w:t>
            </w:r>
            <w:r>
              <w:rPr>
                <w:sz w:val="20"/>
              </w:rPr>
              <w:t>should</w:t>
            </w:r>
            <w:r>
              <w:rPr>
                <w:spacing w:val="27"/>
                <w:sz w:val="20"/>
              </w:rPr>
              <w:t xml:space="preserve"> </w:t>
            </w:r>
            <w:r>
              <w:rPr>
                <w:sz w:val="20"/>
              </w:rPr>
              <w:t>have</w:t>
            </w:r>
            <w:r>
              <w:rPr>
                <w:spacing w:val="27"/>
                <w:sz w:val="20"/>
              </w:rPr>
              <w:t xml:space="preserve"> </w:t>
            </w:r>
            <w:r>
              <w:rPr>
                <w:sz w:val="20"/>
              </w:rPr>
              <w:t>the</w:t>
            </w:r>
            <w:r>
              <w:rPr>
                <w:spacing w:val="27"/>
                <w:sz w:val="20"/>
              </w:rPr>
              <w:t xml:space="preserve"> </w:t>
            </w:r>
            <w:r>
              <w:rPr>
                <w:sz w:val="20"/>
              </w:rPr>
              <w:t>value</w:t>
            </w:r>
            <w:r>
              <w:rPr>
                <w:spacing w:val="27"/>
                <w:sz w:val="20"/>
              </w:rPr>
              <w:t xml:space="preserve"> </w:t>
            </w:r>
            <w:r>
              <w:rPr>
                <w:sz w:val="20"/>
              </w:rPr>
              <w:t>“Not</w:t>
            </w:r>
          </w:p>
          <w:p w14:paraId="1D6318D2" w14:textId="77777777" w:rsidR="00D757DA" w:rsidRDefault="0033254E">
            <w:pPr>
              <w:pStyle w:val="TableParagraph"/>
              <w:spacing w:before="10"/>
              <w:ind w:left="414"/>
              <w:rPr>
                <w:sz w:val="20"/>
              </w:rPr>
            </w:pPr>
            <w:r>
              <w:rPr>
                <w:sz w:val="20"/>
              </w:rPr>
              <w:t>available.</w:t>
            </w:r>
          </w:p>
        </w:tc>
      </w:tr>
      <w:tr w:rsidR="00D757DA" w14:paraId="6622180D" w14:textId="77777777">
        <w:trPr>
          <w:trHeight w:val="1109"/>
        </w:trPr>
        <w:tc>
          <w:tcPr>
            <w:tcW w:w="539" w:type="dxa"/>
            <w:tcBorders>
              <w:top w:val="single" w:sz="12" w:space="0" w:color="FFFFFF"/>
              <w:bottom w:val="single" w:sz="8" w:space="0" w:color="FFFFFF"/>
              <w:right w:val="single" w:sz="24" w:space="0" w:color="FFFFFF"/>
            </w:tcBorders>
            <w:shd w:val="clear" w:color="auto" w:fill="4F81BC"/>
          </w:tcPr>
          <w:p w14:paraId="2EF20749" w14:textId="77777777" w:rsidR="00D757DA" w:rsidRDefault="0033254E">
            <w:pPr>
              <w:pStyle w:val="TableParagraph"/>
              <w:spacing w:before="5"/>
              <w:ind w:left="98"/>
              <w:rPr>
                <w:b/>
                <w:sz w:val="20"/>
              </w:rPr>
            </w:pPr>
            <w:r>
              <w:rPr>
                <w:b/>
                <w:sz w:val="20"/>
              </w:rPr>
              <w:t>4.</w:t>
            </w:r>
          </w:p>
        </w:tc>
        <w:tc>
          <w:tcPr>
            <w:tcW w:w="3837" w:type="dxa"/>
            <w:tcBorders>
              <w:top w:val="single" w:sz="12" w:space="0" w:color="FFFFFF"/>
              <w:left w:val="single" w:sz="24" w:space="0" w:color="FFFFFF"/>
              <w:bottom w:val="single" w:sz="8" w:space="0" w:color="FFFFFF"/>
              <w:right w:val="single" w:sz="8" w:space="0" w:color="FFFFFF"/>
            </w:tcBorders>
            <w:shd w:val="clear" w:color="auto" w:fill="D2DFED"/>
          </w:tcPr>
          <w:p w14:paraId="160E525D" w14:textId="77777777" w:rsidR="00D757DA" w:rsidRDefault="0033254E">
            <w:pPr>
              <w:pStyle w:val="TableParagraph"/>
              <w:spacing w:before="65"/>
              <w:ind w:left="78"/>
              <w:rPr>
                <w:sz w:val="20"/>
              </w:rPr>
            </w:pPr>
            <w:r>
              <w:rPr>
                <w:sz w:val="20"/>
              </w:rPr>
              <w:t>Filing date:</w:t>
            </w:r>
          </w:p>
          <w:p w14:paraId="3E7A8144" w14:textId="77777777" w:rsidR="00D757DA" w:rsidRDefault="0033254E">
            <w:pPr>
              <w:pStyle w:val="TableParagraph"/>
              <w:numPr>
                <w:ilvl w:val="0"/>
                <w:numId w:val="29"/>
              </w:numPr>
              <w:tabs>
                <w:tab w:val="left" w:pos="798"/>
                <w:tab w:val="left" w:pos="799"/>
              </w:tabs>
              <w:spacing w:before="70"/>
              <w:ind w:hanging="361"/>
              <w:rPr>
                <w:sz w:val="20"/>
              </w:rPr>
            </w:pPr>
            <w:r>
              <w:rPr>
                <w:sz w:val="20"/>
              </w:rPr>
              <w:t>is</w:t>
            </w:r>
            <w:r>
              <w:rPr>
                <w:spacing w:val="-1"/>
                <w:sz w:val="20"/>
              </w:rPr>
              <w:t xml:space="preserve"> </w:t>
            </w:r>
            <w:proofErr w:type="gramStart"/>
            <w:r>
              <w:rPr>
                <w:sz w:val="20"/>
              </w:rPr>
              <w:t>mandatory;</w:t>
            </w:r>
            <w:proofErr w:type="gramEnd"/>
          </w:p>
          <w:p w14:paraId="7CBDF27A" w14:textId="77777777" w:rsidR="00D757DA" w:rsidRDefault="0033254E">
            <w:pPr>
              <w:pStyle w:val="TableParagraph"/>
              <w:numPr>
                <w:ilvl w:val="0"/>
                <w:numId w:val="29"/>
              </w:numPr>
              <w:tabs>
                <w:tab w:val="left" w:pos="798"/>
                <w:tab w:val="left" w:pos="799"/>
              </w:tabs>
              <w:spacing w:before="10"/>
              <w:ind w:hanging="361"/>
              <w:rPr>
                <w:sz w:val="20"/>
              </w:rPr>
            </w:pPr>
            <w:r>
              <w:rPr>
                <w:sz w:val="20"/>
              </w:rPr>
              <w:t>must be in the valid date</w:t>
            </w:r>
            <w:r>
              <w:rPr>
                <w:spacing w:val="-9"/>
                <w:sz w:val="20"/>
              </w:rPr>
              <w:t xml:space="preserve"> </w:t>
            </w:r>
            <w:proofErr w:type="gramStart"/>
            <w:r>
              <w:rPr>
                <w:sz w:val="20"/>
              </w:rPr>
              <w:t>format;</w:t>
            </w:r>
            <w:proofErr w:type="gramEnd"/>
          </w:p>
          <w:p w14:paraId="1E0C3E4A" w14:textId="77777777" w:rsidR="00D757DA" w:rsidRDefault="0033254E">
            <w:pPr>
              <w:pStyle w:val="TableParagraph"/>
              <w:numPr>
                <w:ilvl w:val="0"/>
                <w:numId w:val="29"/>
              </w:numPr>
              <w:tabs>
                <w:tab w:val="left" w:pos="791"/>
                <w:tab w:val="left" w:pos="792"/>
              </w:tabs>
              <w:spacing w:before="10"/>
              <w:ind w:left="791" w:hanging="356"/>
              <w:rPr>
                <w:sz w:val="20"/>
              </w:rPr>
            </w:pPr>
            <w:r>
              <w:rPr>
                <w:sz w:val="20"/>
              </w:rPr>
              <w:t>must be in the past.</w:t>
            </w:r>
          </w:p>
        </w:tc>
        <w:tc>
          <w:tcPr>
            <w:tcW w:w="4624" w:type="dxa"/>
            <w:tcBorders>
              <w:top w:val="single" w:sz="12" w:space="0" w:color="FFFFFF"/>
              <w:left w:val="single" w:sz="8" w:space="0" w:color="FFFFFF"/>
              <w:bottom w:val="single" w:sz="8" w:space="0" w:color="FFFFFF"/>
            </w:tcBorders>
            <w:shd w:val="clear" w:color="auto" w:fill="D2DFED"/>
          </w:tcPr>
          <w:p w14:paraId="56BE5C0C" w14:textId="77777777" w:rsidR="00D757DA" w:rsidRDefault="00D757DA">
            <w:pPr>
              <w:pStyle w:val="TableParagraph"/>
            </w:pPr>
          </w:p>
          <w:p w14:paraId="5FDE16EB" w14:textId="77777777" w:rsidR="00D757DA" w:rsidRDefault="0033254E">
            <w:pPr>
              <w:pStyle w:val="TableParagraph"/>
              <w:spacing w:before="189"/>
              <w:ind w:left="97"/>
              <w:rPr>
                <w:sz w:val="20"/>
              </w:rPr>
            </w:pPr>
            <w:r>
              <w:rPr>
                <w:sz w:val="20"/>
              </w:rPr>
              <w:t>Always.</w:t>
            </w:r>
          </w:p>
        </w:tc>
      </w:tr>
      <w:tr w:rsidR="00D757DA" w14:paraId="59E688F5" w14:textId="77777777">
        <w:trPr>
          <w:trHeight w:val="488"/>
        </w:trPr>
        <w:tc>
          <w:tcPr>
            <w:tcW w:w="539" w:type="dxa"/>
            <w:tcBorders>
              <w:top w:val="single" w:sz="8" w:space="0" w:color="FFFFFF"/>
              <w:right w:val="single" w:sz="24" w:space="0" w:color="FFFFFF"/>
            </w:tcBorders>
            <w:shd w:val="clear" w:color="auto" w:fill="4F81BC"/>
          </w:tcPr>
          <w:p w14:paraId="45018D07" w14:textId="77777777" w:rsidR="00D757DA" w:rsidRDefault="0033254E">
            <w:pPr>
              <w:pStyle w:val="TableParagraph"/>
              <w:spacing w:before="9"/>
              <w:ind w:left="98"/>
              <w:rPr>
                <w:b/>
                <w:sz w:val="20"/>
              </w:rPr>
            </w:pPr>
            <w:r>
              <w:rPr>
                <w:b/>
                <w:sz w:val="20"/>
              </w:rPr>
              <w:t>5.</w:t>
            </w:r>
          </w:p>
        </w:tc>
        <w:tc>
          <w:tcPr>
            <w:tcW w:w="3837" w:type="dxa"/>
            <w:tcBorders>
              <w:top w:val="single" w:sz="8" w:space="0" w:color="FFFFFF"/>
              <w:left w:val="single" w:sz="24" w:space="0" w:color="FFFFFF"/>
              <w:right w:val="single" w:sz="8" w:space="0" w:color="FFFFFF"/>
            </w:tcBorders>
            <w:shd w:val="clear" w:color="auto" w:fill="A7BEDE"/>
          </w:tcPr>
          <w:p w14:paraId="678C2B5E" w14:textId="77777777" w:rsidR="00D757DA" w:rsidRDefault="0033254E">
            <w:pPr>
              <w:pStyle w:val="TableParagraph"/>
              <w:spacing w:before="69"/>
              <w:ind w:left="78"/>
              <w:rPr>
                <w:sz w:val="20"/>
              </w:rPr>
            </w:pPr>
            <w:r>
              <w:rPr>
                <w:sz w:val="20"/>
              </w:rPr>
              <w:t>Design (representation) is mandatory.</w:t>
            </w:r>
          </w:p>
        </w:tc>
        <w:tc>
          <w:tcPr>
            <w:tcW w:w="4624" w:type="dxa"/>
            <w:tcBorders>
              <w:top w:val="single" w:sz="8" w:space="0" w:color="FFFFFF"/>
              <w:left w:val="single" w:sz="8" w:space="0" w:color="FFFFFF"/>
            </w:tcBorders>
            <w:shd w:val="clear" w:color="auto" w:fill="A7BEDE"/>
          </w:tcPr>
          <w:p w14:paraId="0768AF96" w14:textId="77777777" w:rsidR="00D757DA" w:rsidRDefault="00D757DA">
            <w:pPr>
              <w:pStyle w:val="TableParagraph"/>
              <w:spacing w:before="1"/>
              <w:rPr>
                <w:sz w:val="19"/>
              </w:rPr>
            </w:pPr>
          </w:p>
          <w:p w14:paraId="5624B953" w14:textId="77777777" w:rsidR="00D757DA" w:rsidRDefault="0033254E">
            <w:pPr>
              <w:pStyle w:val="TableParagraph"/>
              <w:ind w:left="97"/>
              <w:rPr>
                <w:sz w:val="20"/>
              </w:rPr>
            </w:pPr>
            <w:r>
              <w:rPr>
                <w:sz w:val="20"/>
              </w:rPr>
              <w:t>When the Design status is:</w:t>
            </w:r>
          </w:p>
        </w:tc>
      </w:tr>
      <w:tr w:rsidR="00D757DA" w14:paraId="2553A4A5" w14:textId="77777777">
        <w:trPr>
          <w:trHeight w:val="45"/>
        </w:trPr>
        <w:tc>
          <w:tcPr>
            <w:tcW w:w="539" w:type="dxa"/>
            <w:vMerge w:val="restart"/>
            <w:tcBorders>
              <w:bottom w:val="single" w:sz="12" w:space="0" w:color="FFFFFF"/>
            </w:tcBorders>
            <w:shd w:val="clear" w:color="auto" w:fill="4F81BC"/>
          </w:tcPr>
          <w:p w14:paraId="7C20F6BE" w14:textId="77777777" w:rsidR="00D757DA" w:rsidRDefault="0033254E">
            <w:pPr>
              <w:pStyle w:val="TableParagraph"/>
              <w:spacing w:before="79"/>
              <w:ind w:left="98"/>
              <w:rPr>
                <w:b/>
                <w:sz w:val="20"/>
              </w:rPr>
            </w:pPr>
            <w:r>
              <w:rPr>
                <w:b/>
                <w:sz w:val="20"/>
              </w:rPr>
              <w:t>6.</w:t>
            </w:r>
          </w:p>
        </w:tc>
        <w:tc>
          <w:tcPr>
            <w:tcW w:w="3837" w:type="dxa"/>
            <w:tcBorders>
              <w:left w:val="single" w:sz="24" w:space="0" w:color="FFFFFF"/>
              <w:right w:val="single" w:sz="8" w:space="0" w:color="FFFFFF"/>
            </w:tcBorders>
            <w:shd w:val="clear" w:color="auto" w:fill="A7BEDE"/>
          </w:tcPr>
          <w:p w14:paraId="17A6CBC4" w14:textId="77777777" w:rsidR="00D757DA" w:rsidRDefault="00D757DA">
            <w:pPr>
              <w:pStyle w:val="TableParagraph"/>
              <w:rPr>
                <w:rFonts w:ascii="Times New Roman"/>
                <w:sz w:val="2"/>
              </w:rPr>
            </w:pPr>
          </w:p>
        </w:tc>
        <w:tc>
          <w:tcPr>
            <w:tcW w:w="4624" w:type="dxa"/>
            <w:vMerge w:val="restart"/>
            <w:tcBorders>
              <w:left w:val="single" w:sz="8" w:space="0" w:color="FFFFFF"/>
            </w:tcBorders>
            <w:shd w:val="clear" w:color="auto" w:fill="A7BEDE"/>
          </w:tcPr>
          <w:p w14:paraId="74E3D1AD" w14:textId="77777777" w:rsidR="00D757DA" w:rsidRDefault="0033254E">
            <w:pPr>
              <w:pStyle w:val="TableParagraph"/>
              <w:numPr>
                <w:ilvl w:val="0"/>
                <w:numId w:val="28"/>
              </w:numPr>
              <w:tabs>
                <w:tab w:val="left" w:pos="414"/>
                <w:tab w:val="left" w:pos="415"/>
              </w:tabs>
              <w:spacing w:before="31" w:line="249" w:lineRule="auto"/>
              <w:ind w:right="216"/>
              <w:rPr>
                <w:sz w:val="20"/>
              </w:rPr>
            </w:pPr>
            <w:r>
              <w:rPr>
                <w:sz w:val="20"/>
              </w:rPr>
              <w:t>FILED and End of deferment is not provided; or</w:t>
            </w:r>
          </w:p>
          <w:p w14:paraId="62EFD1E2" w14:textId="77777777" w:rsidR="00D757DA" w:rsidRDefault="0033254E">
            <w:pPr>
              <w:pStyle w:val="TableParagraph"/>
              <w:numPr>
                <w:ilvl w:val="0"/>
                <w:numId w:val="28"/>
              </w:numPr>
              <w:tabs>
                <w:tab w:val="left" w:pos="414"/>
                <w:tab w:val="left" w:pos="415"/>
              </w:tabs>
              <w:spacing w:before="2" w:line="219" w:lineRule="exact"/>
              <w:rPr>
                <w:sz w:val="20"/>
              </w:rPr>
            </w:pPr>
            <w:r>
              <w:rPr>
                <w:sz w:val="20"/>
              </w:rPr>
              <w:t>APPLICATION PUBLISHED and End</w:t>
            </w:r>
            <w:r>
              <w:rPr>
                <w:spacing w:val="46"/>
                <w:sz w:val="20"/>
              </w:rPr>
              <w:t xml:space="preserve"> </w:t>
            </w:r>
            <w:r>
              <w:rPr>
                <w:sz w:val="20"/>
              </w:rPr>
              <w:t>of</w:t>
            </w:r>
          </w:p>
        </w:tc>
      </w:tr>
      <w:tr w:rsidR="00D757DA" w14:paraId="551790FA" w14:textId="77777777">
        <w:trPr>
          <w:trHeight w:val="350"/>
        </w:trPr>
        <w:tc>
          <w:tcPr>
            <w:tcW w:w="539" w:type="dxa"/>
            <w:vMerge/>
            <w:tcBorders>
              <w:top w:val="nil"/>
              <w:bottom w:val="single" w:sz="12" w:space="0" w:color="FFFFFF"/>
            </w:tcBorders>
            <w:shd w:val="clear" w:color="auto" w:fill="4F81BC"/>
          </w:tcPr>
          <w:p w14:paraId="14E003BE" w14:textId="77777777" w:rsidR="00D757DA" w:rsidRDefault="00D757DA">
            <w:pPr>
              <w:rPr>
                <w:sz w:val="2"/>
                <w:szCs w:val="2"/>
              </w:rPr>
            </w:pPr>
          </w:p>
        </w:tc>
        <w:tc>
          <w:tcPr>
            <w:tcW w:w="3837" w:type="dxa"/>
            <w:tcBorders>
              <w:bottom w:val="single" w:sz="12" w:space="0" w:color="FFFFFF"/>
              <w:right w:val="single" w:sz="8" w:space="0" w:color="FFFFFF"/>
            </w:tcBorders>
            <w:shd w:val="clear" w:color="auto" w:fill="D2DFED"/>
          </w:tcPr>
          <w:p w14:paraId="70FC5388" w14:textId="77777777" w:rsidR="00D757DA" w:rsidRDefault="0033254E">
            <w:pPr>
              <w:pStyle w:val="TableParagraph"/>
              <w:spacing w:before="64"/>
              <w:ind w:left="108"/>
              <w:rPr>
                <w:sz w:val="20"/>
              </w:rPr>
            </w:pPr>
            <w:r>
              <w:rPr>
                <w:sz w:val="20"/>
              </w:rPr>
              <w:t>Indication of the product is mandatory.</w:t>
            </w:r>
          </w:p>
        </w:tc>
        <w:tc>
          <w:tcPr>
            <w:tcW w:w="4624" w:type="dxa"/>
            <w:vMerge/>
            <w:tcBorders>
              <w:top w:val="nil"/>
              <w:left w:val="single" w:sz="8" w:space="0" w:color="FFFFFF"/>
            </w:tcBorders>
            <w:shd w:val="clear" w:color="auto" w:fill="A7BEDE"/>
          </w:tcPr>
          <w:p w14:paraId="1B1D7B80" w14:textId="77777777" w:rsidR="00D757DA" w:rsidRDefault="00D757DA">
            <w:pPr>
              <w:rPr>
                <w:sz w:val="2"/>
                <w:szCs w:val="2"/>
              </w:rPr>
            </w:pPr>
          </w:p>
        </w:tc>
      </w:tr>
      <w:tr w:rsidR="00D757DA" w14:paraId="202640CD" w14:textId="77777777">
        <w:trPr>
          <w:trHeight w:val="293"/>
        </w:trPr>
        <w:tc>
          <w:tcPr>
            <w:tcW w:w="539" w:type="dxa"/>
            <w:tcBorders>
              <w:top w:val="single" w:sz="12" w:space="0" w:color="FFFFFF"/>
            </w:tcBorders>
          </w:tcPr>
          <w:p w14:paraId="0421987F" w14:textId="77777777" w:rsidR="00D757DA" w:rsidRDefault="0033254E">
            <w:pPr>
              <w:pStyle w:val="TableParagraph"/>
              <w:spacing w:before="5"/>
              <w:ind w:left="98"/>
              <w:rPr>
                <w:b/>
                <w:sz w:val="20"/>
              </w:rPr>
            </w:pPr>
            <w:r>
              <w:rPr>
                <w:b/>
                <w:sz w:val="20"/>
              </w:rPr>
              <w:t>7.</w:t>
            </w:r>
          </w:p>
        </w:tc>
        <w:tc>
          <w:tcPr>
            <w:tcW w:w="3837" w:type="dxa"/>
            <w:vMerge w:val="restart"/>
            <w:tcBorders>
              <w:top w:val="single" w:sz="12" w:space="0" w:color="FFFFFF"/>
              <w:right w:val="single" w:sz="8" w:space="0" w:color="FFFFFF"/>
            </w:tcBorders>
            <w:shd w:val="clear" w:color="auto" w:fill="A7BEDE"/>
          </w:tcPr>
          <w:p w14:paraId="17E3F32A" w14:textId="77777777" w:rsidR="00D757DA" w:rsidRDefault="0033254E">
            <w:pPr>
              <w:pStyle w:val="TableParagraph"/>
              <w:spacing w:before="65"/>
              <w:ind w:left="108"/>
              <w:rPr>
                <w:sz w:val="20"/>
              </w:rPr>
            </w:pPr>
            <w:r>
              <w:rPr>
                <w:sz w:val="20"/>
              </w:rPr>
              <w:t>Registration date must be empty.</w:t>
            </w:r>
          </w:p>
        </w:tc>
        <w:tc>
          <w:tcPr>
            <w:tcW w:w="4624" w:type="dxa"/>
            <w:vMerge/>
            <w:tcBorders>
              <w:top w:val="nil"/>
              <w:left w:val="single" w:sz="8" w:space="0" w:color="FFFFFF"/>
            </w:tcBorders>
            <w:shd w:val="clear" w:color="auto" w:fill="A7BEDE"/>
          </w:tcPr>
          <w:p w14:paraId="1EF4607C" w14:textId="77777777" w:rsidR="00D757DA" w:rsidRDefault="00D757DA">
            <w:pPr>
              <w:rPr>
                <w:sz w:val="2"/>
                <w:szCs w:val="2"/>
              </w:rPr>
            </w:pPr>
          </w:p>
        </w:tc>
      </w:tr>
      <w:tr w:rsidR="00D757DA" w14:paraId="011CC187" w14:textId="77777777">
        <w:trPr>
          <w:trHeight w:val="230"/>
        </w:trPr>
        <w:tc>
          <w:tcPr>
            <w:tcW w:w="539" w:type="dxa"/>
            <w:vMerge w:val="restart"/>
          </w:tcPr>
          <w:p w14:paraId="7690C472" w14:textId="77777777" w:rsidR="00D757DA" w:rsidRDefault="0033254E">
            <w:pPr>
              <w:pStyle w:val="TableParagraph"/>
              <w:spacing w:before="90"/>
              <w:ind w:left="98"/>
              <w:rPr>
                <w:b/>
                <w:sz w:val="20"/>
              </w:rPr>
            </w:pPr>
            <w:r>
              <w:rPr>
                <w:b/>
                <w:sz w:val="20"/>
              </w:rPr>
              <w:t>8.</w:t>
            </w:r>
          </w:p>
        </w:tc>
        <w:tc>
          <w:tcPr>
            <w:tcW w:w="3837" w:type="dxa"/>
            <w:vMerge/>
            <w:tcBorders>
              <w:top w:val="nil"/>
              <w:right w:val="single" w:sz="8" w:space="0" w:color="FFFFFF"/>
            </w:tcBorders>
            <w:shd w:val="clear" w:color="auto" w:fill="A7BEDE"/>
          </w:tcPr>
          <w:p w14:paraId="2ACD50A9" w14:textId="77777777" w:rsidR="00D757DA" w:rsidRDefault="00D757DA">
            <w:pPr>
              <w:rPr>
                <w:sz w:val="2"/>
                <w:szCs w:val="2"/>
              </w:rPr>
            </w:pPr>
          </w:p>
        </w:tc>
        <w:tc>
          <w:tcPr>
            <w:tcW w:w="4624" w:type="dxa"/>
            <w:vMerge w:val="restart"/>
            <w:tcBorders>
              <w:left w:val="single" w:sz="8" w:space="0" w:color="FFFFFF"/>
            </w:tcBorders>
            <w:shd w:val="clear" w:color="auto" w:fill="A7BEDE"/>
          </w:tcPr>
          <w:p w14:paraId="219C37FE" w14:textId="77777777" w:rsidR="00D757DA" w:rsidRDefault="0033254E">
            <w:pPr>
              <w:pStyle w:val="TableParagraph"/>
              <w:spacing w:before="1"/>
              <w:ind w:left="414"/>
              <w:rPr>
                <w:sz w:val="20"/>
              </w:rPr>
            </w:pPr>
            <w:r>
              <w:rPr>
                <w:sz w:val="20"/>
              </w:rPr>
              <w:t>deferment is not provided.</w:t>
            </w:r>
          </w:p>
        </w:tc>
      </w:tr>
      <w:tr w:rsidR="00D757DA" w14:paraId="48823677" w14:textId="77777777">
        <w:trPr>
          <w:trHeight w:val="369"/>
        </w:trPr>
        <w:tc>
          <w:tcPr>
            <w:tcW w:w="539" w:type="dxa"/>
            <w:vMerge/>
            <w:tcBorders>
              <w:top w:val="nil"/>
            </w:tcBorders>
          </w:tcPr>
          <w:p w14:paraId="4738F8A3" w14:textId="77777777" w:rsidR="00D757DA" w:rsidRDefault="00D757DA">
            <w:pPr>
              <w:rPr>
                <w:sz w:val="2"/>
                <w:szCs w:val="2"/>
              </w:rPr>
            </w:pPr>
          </w:p>
        </w:tc>
        <w:tc>
          <w:tcPr>
            <w:tcW w:w="3837" w:type="dxa"/>
            <w:tcBorders>
              <w:right w:val="single" w:sz="8" w:space="0" w:color="FFFFFF"/>
            </w:tcBorders>
            <w:shd w:val="clear" w:color="auto" w:fill="D2DFED"/>
          </w:tcPr>
          <w:p w14:paraId="6FA75F94" w14:textId="77777777" w:rsidR="00D757DA" w:rsidRDefault="0033254E">
            <w:pPr>
              <w:pStyle w:val="TableParagraph"/>
              <w:spacing w:before="79"/>
              <w:ind w:left="108"/>
              <w:rPr>
                <w:sz w:val="20"/>
              </w:rPr>
            </w:pPr>
            <w:r>
              <w:rPr>
                <w:sz w:val="20"/>
              </w:rPr>
              <w:t>Expiry date must be empty.</w:t>
            </w:r>
          </w:p>
        </w:tc>
        <w:tc>
          <w:tcPr>
            <w:tcW w:w="4624" w:type="dxa"/>
            <w:vMerge/>
            <w:tcBorders>
              <w:top w:val="nil"/>
              <w:left w:val="single" w:sz="8" w:space="0" w:color="FFFFFF"/>
            </w:tcBorders>
            <w:shd w:val="clear" w:color="auto" w:fill="A7BEDE"/>
          </w:tcPr>
          <w:p w14:paraId="030A9852" w14:textId="77777777" w:rsidR="00D757DA" w:rsidRDefault="00D757DA">
            <w:pPr>
              <w:rPr>
                <w:sz w:val="2"/>
                <w:szCs w:val="2"/>
              </w:rPr>
            </w:pPr>
          </w:p>
        </w:tc>
      </w:tr>
    </w:tbl>
    <w:p w14:paraId="4670414F" w14:textId="77777777" w:rsidR="00D757DA" w:rsidRDefault="0033254E">
      <w:pPr>
        <w:pStyle w:val="Zkladntext"/>
        <w:spacing w:before="10"/>
        <w:rPr>
          <w:sz w:val="18"/>
        </w:rPr>
      </w:pPr>
      <w:r>
        <w:pict w14:anchorId="7E0E52A1">
          <v:shape id="_x0000_s2051" style="position:absolute;margin-left:1in;margin-top:13.15pt;width:144.05pt;height:.1pt;z-index:-251636736;mso-wrap-distance-left:0;mso-wrap-distance-right:0;mso-position-horizontal-relative:page;mso-position-vertical-relative:text" coordorigin="1440,263" coordsize="2881,0" path="m1440,263r2881,e" filled="f" strokeweight=".59pt">
            <v:path arrowok="t"/>
            <w10:wrap type="topAndBottom" anchorx="page"/>
          </v:shape>
        </w:pict>
      </w:r>
    </w:p>
    <w:p w14:paraId="5B864884" w14:textId="77777777" w:rsidR="00D757DA" w:rsidRDefault="0033254E">
      <w:pPr>
        <w:spacing w:before="70"/>
        <w:ind w:left="120" w:right="1617"/>
        <w:rPr>
          <w:rFonts w:ascii="Times New Roman"/>
          <w:sz w:val="20"/>
        </w:rPr>
      </w:pPr>
      <w:bookmarkStart w:id="40" w:name="_bookmark1"/>
      <w:bookmarkEnd w:id="40"/>
      <w:r>
        <w:rPr>
          <w:rFonts w:ascii="Times New Roman"/>
          <w:position w:val="7"/>
          <w:sz w:val="13"/>
        </w:rPr>
        <w:t xml:space="preserve">2 </w:t>
      </w:r>
      <w:r>
        <w:rPr>
          <w:rFonts w:ascii="Times New Roman"/>
          <w:sz w:val="20"/>
        </w:rPr>
        <w:t xml:space="preserve">A date in the past refers to an earlier date than the current system date when the data quality checks are being </w:t>
      </w:r>
      <w:proofErr w:type="gramStart"/>
      <w:r>
        <w:rPr>
          <w:rFonts w:ascii="Times New Roman"/>
          <w:sz w:val="20"/>
        </w:rPr>
        <w:t>executed;</w:t>
      </w:r>
      <w:proofErr w:type="gramEnd"/>
    </w:p>
    <w:p w14:paraId="4998E178" w14:textId="77777777" w:rsidR="00D757DA" w:rsidRDefault="00D757DA">
      <w:pPr>
        <w:rPr>
          <w:rFonts w:ascii="Times New Roman"/>
          <w:sz w:val="20"/>
        </w:rPr>
        <w:sectPr w:rsidR="00D757DA">
          <w:pgSz w:w="11910" w:h="16840"/>
          <w:pgMar w:top="1440" w:right="0" w:bottom="1160" w:left="1320" w:header="0" w:footer="881" w:gutter="0"/>
          <w:cols w:space="708"/>
        </w:sectPr>
      </w:pPr>
    </w:p>
    <w:tbl>
      <w:tblPr>
        <w:tblStyle w:val="TableNormal"/>
        <w:tblW w:w="0" w:type="auto"/>
        <w:tblInd w:w="147"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539"/>
        <w:gridCol w:w="3837"/>
        <w:gridCol w:w="4624"/>
      </w:tblGrid>
      <w:tr w:rsidR="00D757DA" w14:paraId="0C53C4A5" w14:textId="77777777">
        <w:trPr>
          <w:trHeight w:val="401"/>
        </w:trPr>
        <w:tc>
          <w:tcPr>
            <w:tcW w:w="4376" w:type="dxa"/>
            <w:gridSpan w:val="2"/>
            <w:tcBorders>
              <w:top w:val="nil"/>
              <w:left w:val="nil"/>
              <w:right w:val="single" w:sz="8" w:space="0" w:color="FFFFFF"/>
            </w:tcBorders>
            <w:shd w:val="clear" w:color="auto" w:fill="4F81BC"/>
          </w:tcPr>
          <w:p w14:paraId="090E998E" w14:textId="77777777" w:rsidR="00D757DA" w:rsidRDefault="0033254E">
            <w:pPr>
              <w:pStyle w:val="TableParagraph"/>
              <w:tabs>
                <w:tab w:val="left" w:pos="2239"/>
              </w:tabs>
              <w:spacing w:before="9"/>
              <w:ind w:left="132"/>
              <w:rPr>
                <w:b/>
                <w:sz w:val="20"/>
              </w:rPr>
            </w:pPr>
            <w:r>
              <w:rPr>
                <w:b/>
                <w:position w:val="6"/>
                <w:sz w:val="20"/>
              </w:rPr>
              <w:lastRenderedPageBreak/>
              <w:t>No</w:t>
            </w:r>
            <w:r>
              <w:rPr>
                <w:b/>
                <w:position w:val="6"/>
                <w:sz w:val="20"/>
              </w:rPr>
              <w:tab/>
            </w:r>
            <w:r>
              <w:rPr>
                <w:b/>
                <w:sz w:val="20"/>
              </w:rPr>
              <w:t>Rule</w:t>
            </w:r>
          </w:p>
        </w:tc>
        <w:tc>
          <w:tcPr>
            <w:tcW w:w="4624" w:type="dxa"/>
            <w:tcBorders>
              <w:top w:val="nil"/>
              <w:left w:val="single" w:sz="8" w:space="0" w:color="FFFFFF"/>
              <w:right w:val="nil"/>
            </w:tcBorders>
            <w:shd w:val="clear" w:color="auto" w:fill="4F81BC"/>
          </w:tcPr>
          <w:p w14:paraId="102591B7" w14:textId="77777777" w:rsidR="00D757DA" w:rsidRDefault="0033254E">
            <w:pPr>
              <w:pStyle w:val="TableParagraph"/>
              <w:spacing w:before="91"/>
              <w:ind w:left="1818" w:right="1822"/>
              <w:jc w:val="center"/>
              <w:rPr>
                <w:b/>
                <w:sz w:val="20"/>
              </w:rPr>
            </w:pPr>
            <w:r>
              <w:rPr>
                <w:b/>
                <w:sz w:val="20"/>
              </w:rPr>
              <w:t>Condition</w:t>
            </w:r>
          </w:p>
        </w:tc>
      </w:tr>
      <w:tr w:rsidR="00D757DA" w14:paraId="3F987EB0" w14:textId="77777777">
        <w:trPr>
          <w:trHeight w:val="201"/>
        </w:trPr>
        <w:tc>
          <w:tcPr>
            <w:tcW w:w="539" w:type="dxa"/>
            <w:tcBorders>
              <w:left w:val="nil"/>
              <w:bottom w:val="nil"/>
              <w:right w:val="single" w:sz="24" w:space="0" w:color="A7BEDE"/>
            </w:tcBorders>
            <w:shd w:val="clear" w:color="auto" w:fill="4F81BC"/>
          </w:tcPr>
          <w:p w14:paraId="04AB9309" w14:textId="77777777" w:rsidR="00D757DA" w:rsidRDefault="0033254E">
            <w:pPr>
              <w:pStyle w:val="TableParagraph"/>
              <w:spacing w:line="181" w:lineRule="exact"/>
              <w:ind w:left="98"/>
              <w:rPr>
                <w:b/>
                <w:sz w:val="20"/>
              </w:rPr>
            </w:pPr>
            <w:r>
              <w:rPr>
                <w:b/>
                <w:sz w:val="20"/>
              </w:rPr>
              <w:t>9.</w:t>
            </w:r>
          </w:p>
        </w:tc>
        <w:tc>
          <w:tcPr>
            <w:tcW w:w="3837" w:type="dxa"/>
            <w:tcBorders>
              <w:left w:val="single" w:sz="24" w:space="0" w:color="4F81BC"/>
              <w:bottom w:val="nil"/>
              <w:right w:val="single" w:sz="8" w:space="0" w:color="FFFFFF"/>
            </w:tcBorders>
            <w:shd w:val="clear" w:color="auto" w:fill="A7BEDE"/>
          </w:tcPr>
          <w:p w14:paraId="45347060" w14:textId="77777777" w:rsidR="00D757DA" w:rsidRDefault="0033254E">
            <w:pPr>
              <w:pStyle w:val="TableParagraph"/>
              <w:spacing w:line="181" w:lineRule="exact"/>
              <w:ind w:left="78"/>
              <w:rPr>
                <w:sz w:val="20"/>
              </w:rPr>
            </w:pPr>
            <w:r>
              <w:rPr>
                <w:sz w:val="20"/>
              </w:rPr>
              <w:t>Design (representation) must be empty.</w:t>
            </w:r>
          </w:p>
        </w:tc>
        <w:tc>
          <w:tcPr>
            <w:tcW w:w="4624" w:type="dxa"/>
            <w:vMerge w:val="restart"/>
            <w:tcBorders>
              <w:left w:val="single" w:sz="8" w:space="0" w:color="FFFFFF"/>
              <w:bottom w:val="single" w:sz="8" w:space="0" w:color="FFFFFF"/>
              <w:right w:val="nil"/>
            </w:tcBorders>
            <w:shd w:val="clear" w:color="auto" w:fill="A7BEDE"/>
          </w:tcPr>
          <w:p w14:paraId="07C7DDE2" w14:textId="77777777" w:rsidR="00D757DA" w:rsidRDefault="0033254E">
            <w:pPr>
              <w:pStyle w:val="TableParagraph"/>
              <w:spacing w:line="210" w:lineRule="exact"/>
              <w:ind w:left="97"/>
              <w:rPr>
                <w:sz w:val="20"/>
              </w:rPr>
            </w:pPr>
            <w:r>
              <w:rPr>
                <w:sz w:val="20"/>
              </w:rPr>
              <w:t>When the Design status is:</w:t>
            </w:r>
          </w:p>
          <w:p w14:paraId="1997D3C3" w14:textId="77777777" w:rsidR="00D757DA" w:rsidRDefault="0033254E">
            <w:pPr>
              <w:pStyle w:val="TableParagraph"/>
              <w:numPr>
                <w:ilvl w:val="0"/>
                <w:numId w:val="27"/>
              </w:numPr>
              <w:tabs>
                <w:tab w:val="left" w:pos="414"/>
                <w:tab w:val="left" w:pos="415"/>
              </w:tabs>
              <w:spacing w:before="70" w:line="249" w:lineRule="auto"/>
              <w:ind w:right="217"/>
              <w:rPr>
                <w:sz w:val="20"/>
              </w:rPr>
            </w:pPr>
            <w:r>
              <w:rPr>
                <w:sz w:val="20"/>
              </w:rPr>
              <w:t>FILED and End of deferment is provided as the current date</w:t>
            </w:r>
            <w:hyperlink w:anchor="_bookmark2" w:history="1">
              <w:r>
                <w:rPr>
                  <w:position w:val="6"/>
                  <w:sz w:val="13"/>
                </w:rPr>
                <w:t>3</w:t>
              </w:r>
            </w:hyperlink>
            <w:r>
              <w:rPr>
                <w:position w:val="6"/>
                <w:sz w:val="13"/>
              </w:rPr>
              <w:t xml:space="preserve"> </w:t>
            </w:r>
            <w:r>
              <w:rPr>
                <w:sz w:val="20"/>
              </w:rPr>
              <w:t>or a date in the future;</w:t>
            </w:r>
            <w:r>
              <w:rPr>
                <w:spacing w:val="-35"/>
                <w:sz w:val="20"/>
              </w:rPr>
              <w:t xml:space="preserve"> </w:t>
            </w:r>
            <w:r>
              <w:rPr>
                <w:sz w:val="20"/>
              </w:rPr>
              <w:t>or</w:t>
            </w:r>
          </w:p>
          <w:p w14:paraId="70A39D34" w14:textId="77777777" w:rsidR="00D757DA" w:rsidRDefault="00D757DA">
            <w:pPr>
              <w:pStyle w:val="TableParagraph"/>
              <w:rPr>
                <w:rFonts w:ascii="Times New Roman"/>
                <w:sz w:val="21"/>
              </w:rPr>
            </w:pPr>
          </w:p>
          <w:p w14:paraId="4FD2CB07" w14:textId="77777777" w:rsidR="00D757DA" w:rsidRDefault="0033254E">
            <w:pPr>
              <w:pStyle w:val="TableParagraph"/>
              <w:numPr>
                <w:ilvl w:val="0"/>
                <w:numId w:val="27"/>
              </w:numPr>
              <w:tabs>
                <w:tab w:val="left" w:pos="414"/>
                <w:tab w:val="left" w:pos="415"/>
              </w:tabs>
              <w:rPr>
                <w:sz w:val="20"/>
              </w:rPr>
            </w:pPr>
            <w:r>
              <w:rPr>
                <w:sz w:val="20"/>
              </w:rPr>
              <w:t>APPLICATION PUBLISHED and End</w:t>
            </w:r>
            <w:r>
              <w:rPr>
                <w:spacing w:val="46"/>
                <w:sz w:val="20"/>
              </w:rPr>
              <w:t xml:space="preserve"> </w:t>
            </w:r>
            <w:r>
              <w:rPr>
                <w:sz w:val="20"/>
              </w:rPr>
              <w:t>of</w:t>
            </w:r>
          </w:p>
          <w:p w14:paraId="64C39E30" w14:textId="77777777" w:rsidR="00D757DA" w:rsidRDefault="0033254E">
            <w:pPr>
              <w:pStyle w:val="TableParagraph"/>
              <w:spacing w:line="240" w:lineRule="atLeast"/>
              <w:ind w:left="414" w:right="218"/>
              <w:rPr>
                <w:sz w:val="20"/>
              </w:rPr>
            </w:pPr>
            <w:r>
              <w:rPr>
                <w:sz w:val="20"/>
              </w:rPr>
              <w:t>deferment is provided as the current date or a date in the future.</w:t>
            </w:r>
          </w:p>
        </w:tc>
      </w:tr>
      <w:tr w:rsidR="00D757DA" w14:paraId="7832F1B6" w14:textId="77777777">
        <w:trPr>
          <w:trHeight w:val="359"/>
        </w:trPr>
        <w:tc>
          <w:tcPr>
            <w:tcW w:w="539" w:type="dxa"/>
            <w:tcBorders>
              <w:top w:val="nil"/>
              <w:left w:val="nil"/>
              <w:bottom w:val="single" w:sz="8" w:space="0" w:color="FFFFFF"/>
              <w:right w:val="nil"/>
            </w:tcBorders>
            <w:shd w:val="clear" w:color="auto" w:fill="4F81BC"/>
          </w:tcPr>
          <w:p w14:paraId="58410B50" w14:textId="77777777" w:rsidR="00D757DA" w:rsidRDefault="0033254E">
            <w:pPr>
              <w:pStyle w:val="TableParagraph"/>
              <w:spacing w:before="9"/>
              <w:ind w:left="98"/>
              <w:rPr>
                <w:b/>
                <w:sz w:val="20"/>
              </w:rPr>
            </w:pPr>
            <w:r>
              <w:rPr>
                <w:b/>
                <w:sz w:val="20"/>
              </w:rPr>
              <w:t>10.</w:t>
            </w:r>
          </w:p>
        </w:tc>
        <w:tc>
          <w:tcPr>
            <w:tcW w:w="3837" w:type="dxa"/>
            <w:tcBorders>
              <w:top w:val="nil"/>
              <w:left w:val="nil"/>
              <w:bottom w:val="single" w:sz="8" w:space="0" w:color="FFFFFF"/>
              <w:right w:val="single" w:sz="8" w:space="0" w:color="FFFFFF"/>
            </w:tcBorders>
            <w:shd w:val="clear" w:color="auto" w:fill="D2DFED"/>
          </w:tcPr>
          <w:p w14:paraId="525BF30C" w14:textId="77777777" w:rsidR="00D757DA" w:rsidRDefault="0033254E">
            <w:pPr>
              <w:pStyle w:val="TableParagraph"/>
              <w:spacing w:before="69"/>
              <w:ind w:left="108"/>
              <w:rPr>
                <w:sz w:val="20"/>
              </w:rPr>
            </w:pPr>
            <w:r>
              <w:rPr>
                <w:sz w:val="20"/>
              </w:rPr>
              <w:t>Indication of the product must be empty.</w:t>
            </w:r>
          </w:p>
        </w:tc>
        <w:tc>
          <w:tcPr>
            <w:tcW w:w="4624" w:type="dxa"/>
            <w:vMerge/>
            <w:tcBorders>
              <w:top w:val="nil"/>
              <w:left w:val="single" w:sz="8" w:space="0" w:color="FFFFFF"/>
              <w:bottom w:val="single" w:sz="8" w:space="0" w:color="FFFFFF"/>
              <w:right w:val="nil"/>
            </w:tcBorders>
            <w:shd w:val="clear" w:color="auto" w:fill="A7BEDE"/>
          </w:tcPr>
          <w:p w14:paraId="2C87FE49" w14:textId="77777777" w:rsidR="00D757DA" w:rsidRDefault="00D757DA">
            <w:pPr>
              <w:rPr>
                <w:sz w:val="2"/>
                <w:szCs w:val="2"/>
              </w:rPr>
            </w:pPr>
          </w:p>
        </w:tc>
      </w:tr>
      <w:tr w:rsidR="00D757DA" w14:paraId="771915A4" w14:textId="77777777">
        <w:trPr>
          <w:trHeight w:val="359"/>
        </w:trPr>
        <w:tc>
          <w:tcPr>
            <w:tcW w:w="539" w:type="dxa"/>
            <w:vMerge w:val="restart"/>
            <w:tcBorders>
              <w:top w:val="single" w:sz="8" w:space="0" w:color="FFFFFF"/>
              <w:left w:val="nil"/>
              <w:bottom w:val="single" w:sz="8" w:space="0" w:color="FFFFFF"/>
              <w:right w:val="nil"/>
            </w:tcBorders>
            <w:shd w:val="clear" w:color="auto" w:fill="4F81BC"/>
          </w:tcPr>
          <w:p w14:paraId="556FBFFD" w14:textId="77777777" w:rsidR="00D757DA" w:rsidRDefault="0033254E">
            <w:pPr>
              <w:pStyle w:val="TableParagraph"/>
              <w:spacing w:before="9"/>
              <w:ind w:left="98"/>
              <w:rPr>
                <w:b/>
                <w:sz w:val="20"/>
              </w:rPr>
            </w:pPr>
            <w:r>
              <w:rPr>
                <w:b/>
                <w:sz w:val="20"/>
              </w:rPr>
              <w:t>11.</w:t>
            </w:r>
          </w:p>
          <w:p w14:paraId="3B2523E7" w14:textId="77777777" w:rsidR="00D757DA" w:rsidRDefault="0033254E">
            <w:pPr>
              <w:pStyle w:val="TableParagraph"/>
              <w:spacing w:before="151"/>
              <w:ind w:left="98"/>
              <w:rPr>
                <w:b/>
                <w:sz w:val="20"/>
              </w:rPr>
            </w:pPr>
            <w:r>
              <w:rPr>
                <w:b/>
                <w:sz w:val="20"/>
              </w:rPr>
              <w:t>12.</w:t>
            </w:r>
          </w:p>
        </w:tc>
        <w:tc>
          <w:tcPr>
            <w:tcW w:w="3837" w:type="dxa"/>
            <w:tcBorders>
              <w:top w:val="single" w:sz="8" w:space="0" w:color="FFFFFF"/>
              <w:left w:val="nil"/>
              <w:bottom w:val="nil"/>
              <w:right w:val="single" w:sz="8" w:space="0" w:color="FFFFFF"/>
            </w:tcBorders>
            <w:shd w:val="clear" w:color="auto" w:fill="A7BEDE"/>
          </w:tcPr>
          <w:p w14:paraId="1ADF2A57" w14:textId="77777777" w:rsidR="00D757DA" w:rsidRDefault="0033254E">
            <w:pPr>
              <w:pStyle w:val="TableParagraph"/>
              <w:spacing w:before="69"/>
              <w:ind w:left="108"/>
              <w:rPr>
                <w:sz w:val="20"/>
              </w:rPr>
            </w:pPr>
            <w:r>
              <w:rPr>
                <w:sz w:val="20"/>
              </w:rPr>
              <w:t>Locarno class must be empty.</w:t>
            </w:r>
          </w:p>
        </w:tc>
        <w:tc>
          <w:tcPr>
            <w:tcW w:w="4624" w:type="dxa"/>
            <w:vMerge/>
            <w:tcBorders>
              <w:top w:val="nil"/>
              <w:left w:val="single" w:sz="8" w:space="0" w:color="FFFFFF"/>
              <w:bottom w:val="single" w:sz="8" w:space="0" w:color="FFFFFF"/>
              <w:right w:val="nil"/>
            </w:tcBorders>
            <w:shd w:val="clear" w:color="auto" w:fill="A7BEDE"/>
          </w:tcPr>
          <w:p w14:paraId="7E6801C6" w14:textId="77777777" w:rsidR="00D757DA" w:rsidRDefault="00D757DA">
            <w:pPr>
              <w:rPr>
                <w:sz w:val="2"/>
                <w:szCs w:val="2"/>
              </w:rPr>
            </w:pPr>
          </w:p>
        </w:tc>
      </w:tr>
      <w:tr w:rsidR="00D757DA" w14:paraId="1B7CFA60" w14:textId="77777777">
        <w:trPr>
          <w:trHeight w:val="361"/>
        </w:trPr>
        <w:tc>
          <w:tcPr>
            <w:tcW w:w="539" w:type="dxa"/>
            <w:vMerge/>
            <w:tcBorders>
              <w:top w:val="nil"/>
              <w:left w:val="nil"/>
              <w:bottom w:val="single" w:sz="8" w:space="0" w:color="FFFFFF"/>
              <w:right w:val="nil"/>
            </w:tcBorders>
            <w:shd w:val="clear" w:color="auto" w:fill="4F81BC"/>
          </w:tcPr>
          <w:p w14:paraId="18603994" w14:textId="77777777" w:rsidR="00D757DA" w:rsidRDefault="00D757DA">
            <w:pPr>
              <w:rPr>
                <w:sz w:val="2"/>
                <w:szCs w:val="2"/>
              </w:rPr>
            </w:pPr>
          </w:p>
        </w:tc>
        <w:tc>
          <w:tcPr>
            <w:tcW w:w="3837" w:type="dxa"/>
            <w:tcBorders>
              <w:top w:val="nil"/>
              <w:left w:val="nil"/>
              <w:bottom w:val="single" w:sz="8" w:space="0" w:color="FFFFFF"/>
              <w:right w:val="single" w:sz="8" w:space="0" w:color="FFFFFF"/>
            </w:tcBorders>
            <w:shd w:val="clear" w:color="auto" w:fill="D2DFED"/>
          </w:tcPr>
          <w:p w14:paraId="3E8DA620" w14:textId="77777777" w:rsidR="00D757DA" w:rsidRDefault="0033254E">
            <w:pPr>
              <w:pStyle w:val="TableParagraph"/>
              <w:spacing w:before="71"/>
              <w:ind w:left="108"/>
              <w:rPr>
                <w:sz w:val="20"/>
              </w:rPr>
            </w:pPr>
            <w:r>
              <w:rPr>
                <w:sz w:val="20"/>
              </w:rPr>
              <w:t>Registration date must be empty.</w:t>
            </w:r>
          </w:p>
        </w:tc>
        <w:tc>
          <w:tcPr>
            <w:tcW w:w="4624" w:type="dxa"/>
            <w:vMerge/>
            <w:tcBorders>
              <w:top w:val="nil"/>
              <w:left w:val="single" w:sz="8" w:space="0" w:color="FFFFFF"/>
              <w:bottom w:val="single" w:sz="8" w:space="0" w:color="FFFFFF"/>
              <w:right w:val="nil"/>
            </w:tcBorders>
            <w:shd w:val="clear" w:color="auto" w:fill="A7BEDE"/>
          </w:tcPr>
          <w:p w14:paraId="5B2AFEC7" w14:textId="77777777" w:rsidR="00D757DA" w:rsidRDefault="00D757DA">
            <w:pPr>
              <w:rPr>
                <w:sz w:val="2"/>
                <w:szCs w:val="2"/>
              </w:rPr>
            </w:pPr>
          </w:p>
        </w:tc>
      </w:tr>
      <w:tr w:rsidR="00D757DA" w14:paraId="351E350C" w14:textId="77777777">
        <w:trPr>
          <w:trHeight w:val="359"/>
        </w:trPr>
        <w:tc>
          <w:tcPr>
            <w:tcW w:w="539" w:type="dxa"/>
            <w:tcBorders>
              <w:top w:val="single" w:sz="8" w:space="0" w:color="FFFFFF"/>
              <w:left w:val="nil"/>
              <w:bottom w:val="single" w:sz="8" w:space="0" w:color="FFFFFF"/>
              <w:right w:val="nil"/>
            </w:tcBorders>
            <w:shd w:val="clear" w:color="auto" w:fill="4F81BC"/>
          </w:tcPr>
          <w:p w14:paraId="249E05CD" w14:textId="77777777" w:rsidR="00D757DA" w:rsidRDefault="0033254E">
            <w:pPr>
              <w:pStyle w:val="TableParagraph"/>
              <w:spacing w:before="9"/>
              <w:ind w:left="98"/>
              <w:rPr>
                <w:b/>
                <w:sz w:val="20"/>
              </w:rPr>
            </w:pPr>
            <w:r>
              <w:rPr>
                <w:b/>
                <w:sz w:val="20"/>
              </w:rPr>
              <w:t>13.</w:t>
            </w:r>
          </w:p>
        </w:tc>
        <w:tc>
          <w:tcPr>
            <w:tcW w:w="3837" w:type="dxa"/>
            <w:tcBorders>
              <w:top w:val="single" w:sz="8" w:space="0" w:color="FFFFFF"/>
              <w:left w:val="nil"/>
              <w:bottom w:val="single" w:sz="8" w:space="0" w:color="FFFFFF"/>
              <w:right w:val="single" w:sz="8" w:space="0" w:color="FFFFFF"/>
            </w:tcBorders>
            <w:shd w:val="clear" w:color="auto" w:fill="A7BEDE"/>
          </w:tcPr>
          <w:p w14:paraId="5D51438A" w14:textId="77777777" w:rsidR="00D757DA" w:rsidRDefault="0033254E">
            <w:pPr>
              <w:pStyle w:val="TableParagraph"/>
              <w:spacing w:before="69"/>
              <w:ind w:left="108"/>
              <w:rPr>
                <w:sz w:val="20"/>
              </w:rPr>
            </w:pPr>
            <w:r>
              <w:rPr>
                <w:sz w:val="20"/>
              </w:rPr>
              <w:t>Expiry date must be empty.</w:t>
            </w:r>
          </w:p>
        </w:tc>
        <w:tc>
          <w:tcPr>
            <w:tcW w:w="4624" w:type="dxa"/>
            <w:vMerge/>
            <w:tcBorders>
              <w:top w:val="nil"/>
              <w:left w:val="single" w:sz="8" w:space="0" w:color="FFFFFF"/>
              <w:bottom w:val="single" w:sz="8" w:space="0" w:color="FFFFFF"/>
              <w:right w:val="nil"/>
            </w:tcBorders>
            <w:shd w:val="clear" w:color="auto" w:fill="A7BEDE"/>
          </w:tcPr>
          <w:p w14:paraId="1198FC92" w14:textId="77777777" w:rsidR="00D757DA" w:rsidRDefault="00D757DA">
            <w:pPr>
              <w:rPr>
                <w:sz w:val="2"/>
                <w:szCs w:val="2"/>
              </w:rPr>
            </w:pPr>
          </w:p>
        </w:tc>
      </w:tr>
      <w:tr w:rsidR="00D757DA" w14:paraId="6BD51681" w14:textId="77777777">
        <w:trPr>
          <w:trHeight w:val="479"/>
        </w:trPr>
        <w:tc>
          <w:tcPr>
            <w:tcW w:w="539" w:type="dxa"/>
            <w:tcBorders>
              <w:top w:val="single" w:sz="8" w:space="0" w:color="FFFFFF"/>
              <w:left w:val="nil"/>
              <w:bottom w:val="nil"/>
            </w:tcBorders>
            <w:shd w:val="clear" w:color="auto" w:fill="4F81BC"/>
          </w:tcPr>
          <w:p w14:paraId="62E5D630" w14:textId="77777777" w:rsidR="00D757DA" w:rsidRDefault="0033254E">
            <w:pPr>
              <w:pStyle w:val="TableParagraph"/>
              <w:spacing w:before="9"/>
              <w:ind w:left="98"/>
              <w:rPr>
                <w:b/>
                <w:sz w:val="20"/>
              </w:rPr>
            </w:pPr>
            <w:r>
              <w:rPr>
                <w:b/>
                <w:sz w:val="20"/>
              </w:rPr>
              <w:t>14.</w:t>
            </w:r>
          </w:p>
        </w:tc>
        <w:tc>
          <w:tcPr>
            <w:tcW w:w="3837" w:type="dxa"/>
            <w:tcBorders>
              <w:top w:val="single" w:sz="8" w:space="0" w:color="FFFFFF"/>
              <w:bottom w:val="nil"/>
              <w:right w:val="single" w:sz="8" w:space="0" w:color="FFFFFF"/>
            </w:tcBorders>
            <w:shd w:val="clear" w:color="auto" w:fill="D2DFED"/>
          </w:tcPr>
          <w:p w14:paraId="2656DE8F" w14:textId="77777777" w:rsidR="00D757DA" w:rsidRDefault="00D757DA">
            <w:pPr>
              <w:pStyle w:val="TableParagraph"/>
              <w:spacing w:before="7"/>
              <w:rPr>
                <w:rFonts w:ascii="Times New Roman"/>
                <w:sz w:val="21"/>
              </w:rPr>
            </w:pPr>
          </w:p>
          <w:p w14:paraId="6DA4D5BC" w14:textId="77777777" w:rsidR="00D757DA" w:rsidRDefault="0033254E">
            <w:pPr>
              <w:pStyle w:val="TableParagraph"/>
              <w:spacing w:line="210" w:lineRule="exact"/>
              <w:ind w:left="78"/>
              <w:rPr>
                <w:sz w:val="20"/>
              </w:rPr>
            </w:pPr>
            <w:r>
              <w:rPr>
                <w:sz w:val="20"/>
              </w:rPr>
              <w:t>Design (representation) is mandatory.</w:t>
            </w:r>
          </w:p>
        </w:tc>
        <w:tc>
          <w:tcPr>
            <w:tcW w:w="4624" w:type="dxa"/>
            <w:vMerge w:val="restart"/>
            <w:tcBorders>
              <w:top w:val="single" w:sz="8" w:space="0" w:color="FFFFFF"/>
              <w:left w:val="single" w:sz="8" w:space="0" w:color="FFFFFF"/>
              <w:bottom w:val="single" w:sz="8" w:space="0" w:color="FFFFFF"/>
              <w:right w:val="nil"/>
            </w:tcBorders>
            <w:shd w:val="clear" w:color="auto" w:fill="D2DFED"/>
          </w:tcPr>
          <w:p w14:paraId="67A87991" w14:textId="77777777" w:rsidR="00D757DA" w:rsidRDefault="00D757DA">
            <w:pPr>
              <w:pStyle w:val="TableParagraph"/>
              <w:rPr>
                <w:rFonts w:ascii="Times New Roman"/>
              </w:rPr>
            </w:pPr>
          </w:p>
          <w:p w14:paraId="454C9BA6" w14:textId="77777777" w:rsidR="00D757DA" w:rsidRDefault="00D757DA">
            <w:pPr>
              <w:pStyle w:val="TableParagraph"/>
              <w:rPr>
                <w:rFonts w:ascii="Times New Roman"/>
              </w:rPr>
            </w:pPr>
          </w:p>
          <w:p w14:paraId="26FBFF54" w14:textId="77777777" w:rsidR="00D757DA" w:rsidRDefault="00D757DA">
            <w:pPr>
              <w:pStyle w:val="TableParagraph"/>
              <w:rPr>
                <w:rFonts w:ascii="Times New Roman"/>
              </w:rPr>
            </w:pPr>
          </w:p>
          <w:p w14:paraId="2C7F130E" w14:textId="77777777" w:rsidR="00D757DA" w:rsidRDefault="0033254E">
            <w:pPr>
              <w:pStyle w:val="TableParagraph"/>
              <w:spacing w:before="142"/>
              <w:ind w:left="97"/>
              <w:rPr>
                <w:sz w:val="20"/>
              </w:rPr>
            </w:pPr>
            <w:r>
              <w:rPr>
                <w:sz w:val="20"/>
              </w:rPr>
              <w:t>When the Design status is:</w:t>
            </w:r>
          </w:p>
          <w:p w14:paraId="220ADC40" w14:textId="77777777" w:rsidR="00D757DA" w:rsidRDefault="0033254E">
            <w:pPr>
              <w:pStyle w:val="TableParagraph"/>
              <w:numPr>
                <w:ilvl w:val="0"/>
                <w:numId w:val="26"/>
              </w:numPr>
              <w:tabs>
                <w:tab w:val="left" w:pos="414"/>
                <w:tab w:val="left" w:pos="415"/>
              </w:tabs>
              <w:spacing w:before="71"/>
              <w:rPr>
                <w:sz w:val="20"/>
              </w:rPr>
            </w:pPr>
            <w:r>
              <w:rPr>
                <w:sz w:val="20"/>
              </w:rPr>
              <w:t>REGISTERED;</w:t>
            </w:r>
            <w:r>
              <w:rPr>
                <w:spacing w:val="-2"/>
                <w:sz w:val="20"/>
              </w:rPr>
              <w:t xml:space="preserve"> </w:t>
            </w:r>
            <w:r>
              <w:rPr>
                <w:sz w:val="20"/>
              </w:rPr>
              <w:t>or</w:t>
            </w:r>
          </w:p>
          <w:p w14:paraId="15B046C3" w14:textId="77777777" w:rsidR="00D757DA" w:rsidRDefault="00D757DA">
            <w:pPr>
              <w:pStyle w:val="TableParagraph"/>
              <w:spacing w:before="8"/>
              <w:rPr>
                <w:rFonts w:ascii="Times New Roman"/>
                <w:sz w:val="21"/>
              </w:rPr>
            </w:pPr>
          </w:p>
          <w:p w14:paraId="26977391" w14:textId="77777777" w:rsidR="00D757DA" w:rsidRDefault="0033254E">
            <w:pPr>
              <w:pStyle w:val="TableParagraph"/>
              <w:numPr>
                <w:ilvl w:val="0"/>
                <w:numId w:val="26"/>
              </w:numPr>
              <w:tabs>
                <w:tab w:val="left" w:pos="414"/>
                <w:tab w:val="left" w:pos="415"/>
              </w:tabs>
              <w:spacing w:before="1"/>
              <w:rPr>
                <w:sz w:val="20"/>
              </w:rPr>
            </w:pPr>
            <w:r>
              <w:rPr>
                <w:sz w:val="20"/>
              </w:rPr>
              <w:t>REGISTERED AND FULLY PUBLISHED;</w:t>
            </w:r>
            <w:r>
              <w:rPr>
                <w:spacing w:val="-11"/>
                <w:sz w:val="20"/>
              </w:rPr>
              <w:t xml:space="preserve"> </w:t>
            </w:r>
            <w:r>
              <w:rPr>
                <w:sz w:val="20"/>
              </w:rPr>
              <w:t>or</w:t>
            </w:r>
          </w:p>
          <w:p w14:paraId="1B395B84" w14:textId="77777777" w:rsidR="00D757DA" w:rsidRDefault="00D757DA">
            <w:pPr>
              <w:pStyle w:val="TableParagraph"/>
              <w:spacing w:before="10"/>
              <w:rPr>
                <w:rFonts w:ascii="Times New Roman"/>
                <w:sz w:val="20"/>
              </w:rPr>
            </w:pPr>
          </w:p>
          <w:p w14:paraId="0278A8A1" w14:textId="77777777" w:rsidR="00D757DA" w:rsidRDefault="0033254E">
            <w:pPr>
              <w:pStyle w:val="TableParagraph"/>
              <w:numPr>
                <w:ilvl w:val="0"/>
                <w:numId w:val="26"/>
              </w:numPr>
              <w:tabs>
                <w:tab w:val="left" w:pos="414"/>
                <w:tab w:val="left" w:pos="415"/>
              </w:tabs>
              <w:rPr>
                <w:sz w:val="20"/>
              </w:rPr>
            </w:pPr>
            <w:r>
              <w:rPr>
                <w:sz w:val="20"/>
              </w:rPr>
              <w:t>INVALIDITY PROCEDURE PENDING</w:t>
            </w:r>
            <w:r>
              <w:rPr>
                <w:spacing w:val="-3"/>
                <w:sz w:val="20"/>
              </w:rPr>
              <w:t xml:space="preserve"> </w:t>
            </w:r>
            <w:r>
              <w:rPr>
                <w:sz w:val="20"/>
              </w:rPr>
              <w:t>and</w:t>
            </w:r>
          </w:p>
          <w:p w14:paraId="69E9DB83" w14:textId="77777777" w:rsidR="00D757DA" w:rsidRDefault="0033254E">
            <w:pPr>
              <w:pStyle w:val="TableParagraph"/>
              <w:spacing w:before="10"/>
              <w:ind w:left="414"/>
              <w:rPr>
                <w:sz w:val="20"/>
              </w:rPr>
            </w:pPr>
            <w:r>
              <w:rPr>
                <w:sz w:val="20"/>
              </w:rPr>
              <w:t>End of deferment is not provided; or</w:t>
            </w:r>
          </w:p>
          <w:p w14:paraId="4B97252E" w14:textId="77777777" w:rsidR="00D757DA" w:rsidRDefault="00D757DA">
            <w:pPr>
              <w:pStyle w:val="TableParagraph"/>
              <w:spacing w:before="10"/>
              <w:rPr>
                <w:rFonts w:ascii="Times New Roman"/>
                <w:sz w:val="20"/>
              </w:rPr>
            </w:pPr>
          </w:p>
          <w:p w14:paraId="007A3878" w14:textId="77777777" w:rsidR="00D757DA" w:rsidRDefault="0033254E">
            <w:pPr>
              <w:pStyle w:val="TableParagraph"/>
              <w:numPr>
                <w:ilvl w:val="0"/>
                <w:numId w:val="26"/>
              </w:numPr>
              <w:tabs>
                <w:tab w:val="left" w:pos="414"/>
                <w:tab w:val="left" w:pos="415"/>
              </w:tabs>
              <w:rPr>
                <w:sz w:val="20"/>
              </w:rPr>
            </w:pPr>
            <w:r>
              <w:rPr>
                <w:sz w:val="20"/>
              </w:rPr>
              <w:t>EXPIRING.</w:t>
            </w:r>
          </w:p>
        </w:tc>
      </w:tr>
      <w:tr w:rsidR="00D757DA" w14:paraId="26205392" w14:textId="77777777">
        <w:trPr>
          <w:trHeight w:val="361"/>
        </w:trPr>
        <w:tc>
          <w:tcPr>
            <w:tcW w:w="539" w:type="dxa"/>
            <w:tcBorders>
              <w:top w:val="nil"/>
              <w:left w:val="nil"/>
              <w:bottom w:val="single" w:sz="8" w:space="0" w:color="FFFFFF"/>
              <w:right w:val="nil"/>
            </w:tcBorders>
            <w:shd w:val="clear" w:color="auto" w:fill="4F81BC"/>
          </w:tcPr>
          <w:p w14:paraId="68CD3492" w14:textId="77777777" w:rsidR="00D757DA" w:rsidRDefault="0033254E">
            <w:pPr>
              <w:pStyle w:val="TableParagraph"/>
              <w:spacing w:before="11"/>
              <w:ind w:left="98"/>
              <w:rPr>
                <w:b/>
                <w:sz w:val="20"/>
              </w:rPr>
            </w:pPr>
            <w:r>
              <w:rPr>
                <w:b/>
                <w:sz w:val="20"/>
              </w:rPr>
              <w:t>15.</w:t>
            </w:r>
          </w:p>
        </w:tc>
        <w:tc>
          <w:tcPr>
            <w:tcW w:w="3837" w:type="dxa"/>
            <w:tcBorders>
              <w:top w:val="nil"/>
              <w:left w:val="nil"/>
              <w:bottom w:val="single" w:sz="8" w:space="0" w:color="FFFFFF"/>
              <w:right w:val="single" w:sz="8" w:space="0" w:color="FFFFFF"/>
            </w:tcBorders>
            <w:shd w:val="clear" w:color="auto" w:fill="A7BEDE"/>
          </w:tcPr>
          <w:p w14:paraId="2366A506" w14:textId="77777777" w:rsidR="00D757DA" w:rsidRDefault="0033254E">
            <w:pPr>
              <w:pStyle w:val="TableParagraph"/>
              <w:spacing w:before="71"/>
              <w:ind w:left="108"/>
              <w:rPr>
                <w:sz w:val="20"/>
              </w:rPr>
            </w:pPr>
            <w:r>
              <w:rPr>
                <w:sz w:val="20"/>
              </w:rPr>
              <w:t>Indication of the product is mandatory.</w:t>
            </w:r>
          </w:p>
        </w:tc>
        <w:tc>
          <w:tcPr>
            <w:tcW w:w="4624" w:type="dxa"/>
            <w:vMerge/>
            <w:tcBorders>
              <w:top w:val="nil"/>
              <w:left w:val="single" w:sz="8" w:space="0" w:color="FFFFFF"/>
              <w:bottom w:val="single" w:sz="8" w:space="0" w:color="FFFFFF"/>
              <w:right w:val="nil"/>
            </w:tcBorders>
            <w:shd w:val="clear" w:color="auto" w:fill="D2DFED"/>
          </w:tcPr>
          <w:p w14:paraId="33D5A4CE" w14:textId="77777777" w:rsidR="00D757DA" w:rsidRDefault="00D757DA">
            <w:pPr>
              <w:rPr>
                <w:sz w:val="2"/>
                <w:szCs w:val="2"/>
              </w:rPr>
            </w:pPr>
          </w:p>
        </w:tc>
      </w:tr>
      <w:tr w:rsidR="00D757DA" w14:paraId="4579E8E2" w14:textId="77777777">
        <w:trPr>
          <w:trHeight w:val="359"/>
        </w:trPr>
        <w:tc>
          <w:tcPr>
            <w:tcW w:w="539" w:type="dxa"/>
            <w:tcBorders>
              <w:top w:val="single" w:sz="8" w:space="0" w:color="FFFFFF"/>
              <w:left w:val="nil"/>
              <w:bottom w:val="nil"/>
              <w:right w:val="nil"/>
            </w:tcBorders>
            <w:shd w:val="clear" w:color="auto" w:fill="4F81BC"/>
          </w:tcPr>
          <w:p w14:paraId="4132CE9F" w14:textId="77777777" w:rsidR="00D757DA" w:rsidRDefault="0033254E">
            <w:pPr>
              <w:pStyle w:val="TableParagraph"/>
              <w:spacing w:before="9"/>
              <w:ind w:left="98"/>
              <w:rPr>
                <w:b/>
                <w:sz w:val="20"/>
              </w:rPr>
            </w:pPr>
            <w:r>
              <w:rPr>
                <w:b/>
                <w:sz w:val="20"/>
              </w:rPr>
              <w:t>16.</w:t>
            </w:r>
          </w:p>
        </w:tc>
        <w:tc>
          <w:tcPr>
            <w:tcW w:w="3837" w:type="dxa"/>
            <w:tcBorders>
              <w:top w:val="single" w:sz="8" w:space="0" w:color="FFFFFF"/>
              <w:left w:val="nil"/>
              <w:bottom w:val="nil"/>
              <w:right w:val="single" w:sz="8" w:space="0" w:color="FFFFFF"/>
            </w:tcBorders>
            <w:shd w:val="clear" w:color="auto" w:fill="D2DFED"/>
          </w:tcPr>
          <w:p w14:paraId="552D87A5" w14:textId="77777777" w:rsidR="00D757DA" w:rsidRDefault="0033254E">
            <w:pPr>
              <w:pStyle w:val="TableParagraph"/>
              <w:spacing w:before="69"/>
              <w:ind w:left="108"/>
              <w:rPr>
                <w:sz w:val="20"/>
              </w:rPr>
            </w:pPr>
            <w:r>
              <w:rPr>
                <w:sz w:val="20"/>
              </w:rPr>
              <w:t>Locarno class is mandatory</w:t>
            </w:r>
            <w:hyperlink w:anchor="_bookmark3" w:history="1">
              <w:r>
                <w:rPr>
                  <w:position w:val="6"/>
                  <w:sz w:val="13"/>
                </w:rPr>
                <w:t>4</w:t>
              </w:r>
              <w:r>
                <w:rPr>
                  <w:sz w:val="20"/>
                </w:rPr>
                <w:t>.</w:t>
              </w:r>
            </w:hyperlink>
          </w:p>
        </w:tc>
        <w:tc>
          <w:tcPr>
            <w:tcW w:w="4624" w:type="dxa"/>
            <w:vMerge/>
            <w:tcBorders>
              <w:top w:val="nil"/>
              <w:left w:val="single" w:sz="8" w:space="0" w:color="FFFFFF"/>
              <w:bottom w:val="single" w:sz="8" w:space="0" w:color="FFFFFF"/>
              <w:right w:val="nil"/>
            </w:tcBorders>
            <w:shd w:val="clear" w:color="auto" w:fill="D2DFED"/>
          </w:tcPr>
          <w:p w14:paraId="4EB9B5A2" w14:textId="77777777" w:rsidR="00D757DA" w:rsidRDefault="00D757DA">
            <w:pPr>
              <w:rPr>
                <w:sz w:val="2"/>
                <w:szCs w:val="2"/>
              </w:rPr>
            </w:pPr>
          </w:p>
        </w:tc>
      </w:tr>
      <w:tr w:rsidR="00D757DA" w14:paraId="0796FFEB" w14:textId="77777777">
        <w:trPr>
          <w:trHeight w:val="1179"/>
        </w:trPr>
        <w:tc>
          <w:tcPr>
            <w:tcW w:w="539" w:type="dxa"/>
            <w:tcBorders>
              <w:top w:val="nil"/>
              <w:left w:val="nil"/>
              <w:bottom w:val="single" w:sz="12" w:space="0" w:color="FFFFFF"/>
            </w:tcBorders>
            <w:shd w:val="clear" w:color="auto" w:fill="4F81BC"/>
          </w:tcPr>
          <w:p w14:paraId="70E8088E" w14:textId="77777777" w:rsidR="00D757DA" w:rsidRDefault="0033254E">
            <w:pPr>
              <w:pStyle w:val="TableParagraph"/>
              <w:spacing w:before="9"/>
              <w:ind w:left="98"/>
              <w:rPr>
                <w:b/>
                <w:sz w:val="20"/>
              </w:rPr>
            </w:pPr>
            <w:r>
              <w:rPr>
                <w:b/>
                <w:sz w:val="20"/>
              </w:rPr>
              <w:t>17.</w:t>
            </w:r>
          </w:p>
        </w:tc>
        <w:tc>
          <w:tcPr>
            <w:tcW w:w="3837" w:type="dxa"/>
            <w:tcBorders>
              <w:top w:val="nil"/>
              <w:bottom w:val="single" w:sz="12" w:space="0" w:color="FFFFFF"/>
              <w:right w:val="single" w:sz="8" w:space="0" w:color="FFFFFF"/>
            </w:tcBorders>
            <w:shd w:val="clear" w:color="auto" w:fill="A7BEDE"/>
          </w:tcPr>
          <w:p w14:paraId="109D235A" w14:textId="77777777" w:rsidR="00D757DA" w:rsidRDefault="0033254E">
            <w:pPr>
              <w:pStyle w:val="TableParagraph"/>
              <w:spacing w:before="69"/>
              <w:ind w:left="78"/>
              <w:rPr>
                <w:sz w:val="20"/>
              </w:rPr>
            </w:pPr>
            <w:r>
              <w:rPr>
                <w:sz w:val="20"/>
              </w:rPr>
              <w:t>Registration date:</w:t>
            </w:r>
          </w:p>
          <w:p w14:paraId="7761FF98" w14:textId="77777777" w:rsidR="00D757DA" w:rsidRDefault="0033254E">
            <w:pPr>
              <w:pStyle w:val="TableParagraph"/>
              <w:numPr>
                <w:ilvl w:val="0"/>
                <w:numId w:val="25"/>
              </w:numPr>
              <w:tabs>
                <w:tab w:val="left" w:pos="267"/>
              </w:tabs>
              <w:spacing w:before="70"/>
              <w:ind w:hanging="189"/>
              <w:rPr>
                <w:sz w:val="20"/>
              </w:rPr>
            </w:pPr>
            <w:r>
              <w:rPr>
                <w:sz w:val="20"/>
              </w:rPr>
              <w:t>is</w:t>
            </w:r>
            <w:r>
              <w:rPr>
                <w:spacing w:val="-1"/>
                <w:sz w:val="20"/>
              </w:rPr>
              <w:t xml:space="preserve"> </w:t>
            </w:r>
            <w:proofErr w:type="gramStart"/>
            <w:r>
              <w:rPr>
                <w:sz w:val="20"/>
              </w:rPr>
              <w:t>mandatory;</w:t>
            </w:r>
            <w:proofErr w:type="gramEnd"/>
          </w:p>
          <w:p w14:paraId="05976A80" w14:textId="77777777" w:rsidR="00D757DA" w:rsidRDefault="0033254E">
            <w:pPr>
              <w:pStyle w:val="TableParagraph"/>
              <w:numPr>
                <w:ilvl w:val="0"/>
                <w:numId w:val="25"/>
              </w:numPr>
              <w:tabs>
                <w:tab w:val="left" w:pos="267"/>
              </w:tabs>
              <w:spacing w:before="10"/>
              <w:ind w:hanging="189"/>
              <w:rPr>
                <w:sz w:val="20"/>
              </w:rPr>
            </w:pPr>
            <w:r>
              <w:rPr>
                <w:sz w:val="20"/>
              </w:rPr>
              <w:t>must be in the valid date</w:t>
            </w:r>
            <w:r>
              <w:rPr>
                <w:spacing w:val="-3"/>
                <w:sz w:val="20"/>
              </w:rPr>
              <w:t xml:space="preserve"> </w:t>
            </w:r>
            <w:proofErr w:type="gramStart"/>
            <w:r>
              <w:rPr>
                <w:sz w:val="20"/>
              </w:rPr>
              <w:t>format;</w:t>
            </w:r>
            <w:proofErr w:type="gramEnd"/>
          </w:p>
          <w:p w14:paraId="1CDD62C8" w14:textId="77777777" w:rsidR="00D757DA" w:rsidRDefault="0033254E">
            <w:pPr>
              <w:pStyle w:val="TableParagraph"/>
              <w:numPr>
                <w:ilvl w:val="0"/>
                <w:numId w:val="25"/>
              </w:numPr>
              <w:tabs>
                <w:tab w:val="left" w:pos="267"/>
              </w:tabs>
              <w:spacing w:before="10"/>
              <w:ind w:hanging="189"/>
              <w:rPr>
                <w:sz w:val="20"/>
              </w:rPr>
            </w:pPr>
            <w:r>
              <w:rPr>
                <w:sz w:val="20"/>
              </w:rPr>
              <w:t>must be later than the Filing</w:t>
            </w:r>
            <w:r>
              <w:rPr>
                <w:spacing w:val="-12"/>
                <w:sz w:val="20"/>
              </w:rPr>
              <w:t xml:space="preserve"> </w:t>
            </w:r>
            <w:r>
              <w:rPr>
                <w:sz w:val="20"/>
              </w:rPr>
              <w:t>date.</w:t>
            </w:r>
          </w:p>
        </w:tc>
        <w:tc>
          <w:tcPr>
            <w:tcW w:w="4624" w:type="dxa"/>
            <w:vMerge/>
            <w:tcBorders>
              <w:top w:val="nil"/>
              <w:left w:val="single" w:sz="8" w:space="0" w:color="FFFFFF"/>
              <w:bottom w:val="single" w:sz="8" w:space="0" w:color="FFFFFF"/>
              <w:right w:val="nil"/>
            </w:tcBorders>
            <w:shd w:val="clear" w:color="auto" w:fill="D2DFED"/>
          </w:tcPr>
          <w:p w14:paraId="7423418F" w14:textId="77777777" w:rsidR="00D757DA" w:rsidRDefault="00D757DA">
            <w:pPr>
              <w:rPr>
                <w:sz w:val="2"/>
                <w:szCs w:val="2"/>
              </w:rPr>
            </w:pPr>
          </w:p>
        </w:tc>
      </w:tr>
      <w:tr w:rsidR="00D757DA" w14:paraId="69E25A81" w14:textId="77777777">
        <w:trPr>
          <w:trHeight w:val="1454"/>
        </w:trPr>
        <w:tc>
          <w:tcPr>
            <w:tcW w:w="539" w:type="dxa"/>
            <w:tcBorders>
              <w:top w:val="single" w:sz="12" w:space="0" w:color="FFFFFF"/>
              <w:left w:val="nil"/>
              <w:bottom w:val="single" w:sz="8" w:space="0" w:color="FFFFFF"/>
            </w:tcBorders>
            <w:shd w:val="clear" w:color="auto" w:fill="4F81BC"/>
          </w:tcPr>
          <w:p w14:paraId="46E47C50" w14:textId="77777777" w:rsidR="00D757DA" w:rsidRDefault="0033254E">
            <w:pPr>
              <w:pStyle w:val="TableParagraph"/>
              <w:spacing w:before="5"/>
              <w:ind w:left="98"/>
              <w:rPr>
                <w:b/>
                <w:sz w:val="20"/>
              </w:rPr>
            </w:pPr>
            <w:r>
              <w:rPr>
                <w:b/>
                <w:sz w:val="20"/>
              </w:rPr>
              <w:t>18.</w:t>
            </w:r>
          </w:p>
        </w:tc>
        <w:tc>
          <w:tcPr>
            <w:tcW w:w="3837" w:type="dxa"/>
            <w:tcBorders>
              <w:top w:val="single" w:sz="12" w:space="0" w:color="FFFFFF"/>
              <w:bottom w:val="single" w:sz="8" w:space="0" w:color="FFFFFF"/>
              <w:right w:val="single" w:sz="8" w:space="0" w:color="FFFFFF"/>
            </w:tcBorders>
            <w:shd w:val="clear" w:color="auto" w:fill="D2DFED"/>
          </w:tcPr>
          <w:p w14:paraId="4681EDC4" w14:textId="77777777" w:rsidR="00D757DA" w:rsidRDefault="0033254E">
            <w:pPr>
              <w:pStyle w:val="TableParagraph"/>
              <w:spacing w:before="65"/>
              <w:ind w:left="78"/>
              <w:rPr>
                <w:sz w:val="20"/>
              </w:rPr>
            </w:pPr>
            <w:r>
              <w:rPr>
                <w:sz w:val="20"/>
              </w:rPr>
              <w:t>Expiry date:</w:t>
            </w:r>
          </w:p>
          <w:p w14:paraId="018B56D7" w14:textId="77777777" w:rsidR="00D757DA" w:rsidRDefault="0033254E">
            <w:pPr>
              <w:pStyle w:val="TableParagraph"/>
              <w:numPr>
                <w:ilvl w:val="0"/>
                <w:numId w:val="24"/>
              </w:numPr>
              <w:tabs>
                <w:tab w:val="left" w:pos="267"/>
              </w:tabs>
              <w:spacing w:before="70"/>
              <w:ind w:hanging="189"/>
              <w:rPr>
                <w:sz w:val="20"/>
              </w:rPr>
            </w:pPr>
            <w:r>
              <w:rPr>
                <w:sz w:val="20"/>
              </w:rPr>
              <w:t>is</w:t>
            </w:r>
            <w:r>
              <w:rPr>
                <w:spacing w:val="-1"/>
                <w:sz w:val="20"/>
              </w:rPr>
              <w:t xml:space="preserve"> </w:t>
            </w:r>
            <w:proofErr w:type="gramStart"/>
            <w:r>
              <w:rPr>
                <w:sz w:val="20"/>
              </w:rPr>
              <w:t>mandatory;</w:t>
            </w:r>
            <w:proofErr w:type="gramEnd"/>
          </w:p>
          <w:p w14:paraId="598F3964" w14:textId="77777777" w:rsidR="00D757DA" w:rsidRDefault="0033254E">
            <w:pPr>
              <w:pStyle w:val="TableParagraph"/>
              <w:numPr>
                <w:ilvl w:val="0"/>
                <w:numId w:val="24"/>
              </w:numPr>
              <w:tabs>
                <w:tab w:val="left" w:pos="267"/>
              </w:tabs>
              <w:spacing w:before="10"/>
              <w:ind w:hanging="189"/>
              <w:rPr>
                <w:sz w:val="20"/>
              </w:rPr>
            </w:pPr>
            <w:r>
              <w:rPr>
                <w:sz w:val="20"/>
              </w:rPr>
              <w:t>must be in the valid date</w:t>
            </w:r>
            <w:r>
              <w:rPr>
                <w:spacing w:val="-3"/>
                <w:sz w:val="20"/>
              </w:rPr>
              <w:t xml:space="preserve"> </w:t>
            </w:r>
            <w:proofErr w:type="gramStart"/>
            <w:r>
              <w:rPr>
                <w:sz w:val="20"/>
              </w:rPr>
              <w:t>format;</w:t>
            </w:r>
            <w:proofErr w:type="gramEnd"/>
          </w:p>
          <w:p w14:paraId="66998F83" w14:textId="77777777" w:rsidR="00D757DA" w:rsidRDefault="0033254E">
            <w:pPr>
              <w:pStyle w:val="TableParagraph"/>
              <w:numPr>
                <w:ilvl w:val="0"/>
                <w:numId w:val="24"/>
              </w:numPr>
              <w:tabs>
                <w:tab w:val="left" w:pos="267"/>
              </w:tabs>
              <w:spacing w:before="10" w:line="249" w:lineRule="auto"/>
              <w:ind w:right="209"/>
              <w:rPr>
                <w:sz w:val="20"/>
              </w:rPr>
            </w:pPr>
            <w:r>
              <w:rPr>
                <w:sz w:val="20"/>
              </w:rPr>
              <w:t>must be later than the Registration date.</w:t>
            </w:r>
          </w:p>
        </w:tc>
        <w:tc>
          <w:tcPr>
            <w:tcW w:w="4624" w:type="dxa"/>
            <w:vMerge/>
            <w:tcBorders>
              <w:top w:val="nil"/>
              <w:left w:val="single" w:sz="8" w:space="0" w:color="FFFFFF"/>
              <w:bottom w:val="single" w:sz="8" w:space="0" w:color="FFFFFF"/>
              <w:right w:val="nil"/>
            </w:tcBorders>
            <w:shd w:val="clear" w:color="auto" w:fill="D2DFED"/>
          </w:tcPr>
          <w:p w14:paraId="2C238642" w14:textId="77777777" w:rsidR="00D757DA" w:rsidRDefault="00D757DA">
            <w:pPr>
              <w:rPr>
                <w:sz w:val="2"/>
                <w:szCs w:val="2"/>
              </w:rPr>
            </w:pPr>
          </w:p>
        </w:tc>
      </w:tr>
      <w:tr w:rsidR="00D757DA" w14:paraId="50C9F396" w14:textId="77777777">
        <w:trPr>
          <w:trHeight w:val="239"/>
        </w:trPr>
        <w:tc>
          <w:tcPr>
            <w:tcW w:w="539" w:type="dxa"/>
            <w:vMerge w:val="restart"/>
            <w:tcBorders>
              <w:top w:val="single" w:sz="8" w:space="0" w:color="FFFFFF"/>
              <w:left w:val="nil"/>
              <w:bottom w:val="single" w:sz="8" w:space="0" w:color="FFFFFF"/>
              <w:right w:val="nil"/>
            </w:tcBorders>
            <w:shd w:val="clear" w:color="auto" w:fill="4F81BC"/>
          </w:tcPr>
          <w:p w14:paraId="2BB70079" w14:textId="77777777" w:rsidR="00D757DA" w:rsidRDefault="0033254E">
            <w:pPr>
              <w:pStyle w:val="TableParagraph"/>
              <w:spacing w:before="9"/>
              <w:ind w:left="98"/>
              <w:rPr>
                <w:b/>
                <w:sz w:val="20"/>
              </w:rPr>
            </w:pPr>
            <w:r>
              <w:rPr>
                <w:b/>
                <w:sz w:val="20"/>
              </w:rPr>
              <w:t>19.</w:t>
            </w:r>
          </w:p>
          <w:p w14:paraId="2699F43B" w14:textId="77777777" w:rsidR="00D757DA" w:rsidRDefault="0033254E">
            <w:pPr>
              <w:pStyle w:val="TableParagraph"/>
              <w:spacing w:before="22"/>
              <w:ind w:left="98"/>
              <w:rPr>
                <w:b/>
              </w:rPr>
            </w:pPr>
            <w:r>
              <w:rPr>
                <w:b/>
              </w:rPr>
              <w:t>20.</w:t>
            </w:r>
          </w:p>
        </w:tc>
        <w:tc>
          <w:tcPr>
            <w:tcW w:w="3837" w:type="dxa"/>
            <w:tcBorders>
              <w:top w:val="single" w:sz="8" w:space="0" w:color="FFFFFF"/>
              <w:left w:val="nil"/>
              <w:bottom w:val="nil"/>
              <w:right w:val="single" w:sz="8" w:space="0" w:color="FFFFFF"/>
            </w:tcBorders>
            <w:shd w:val="clear" w:color="auto" w:fill="A7BEDE"/>
          </w:tcPr>
          <w:p w14:paraId="7B3B3FD7" w14:textId="77777777" w:rsidR="00D757DA" w:rsidRDefault="0033254E">
            <w:pPr>
              <w:pStyle w:val="TableParagraph"/>
              <w:spacing w:before="9" w:line="210" w:lineRule="exact"/>
              <w:ind w:left="108"/>
              <w:rPr>
                <w:sz w:val="20"/>
              </w:rPr>
            </w:pPr>
            <w:r>
              <w:rPr>
                <w:sz w:val="20"/>
              </w:rPr>
              <w:t>Design (representation) must be empty.</w:t>
            </w:r>
          </w:p>
        </w:tc>
        <w:tc>
          <w:tcPr>
            <w:tcW w:w="4624" w:type="dxa"/>
            <w:vMerge w:val="restart"/>
            <w:tcBorders>
              <w:top w:val="single" w:sz="8" w:space="0" w:color="FFFFFF"/>
              <w:left w:val="single" w:sz="8" w:space="0" w:color="FFFFFF"/>
              <w:bottom w:val="nil"/>
              <w:right w:val="nil"/>
            </w:tcBorders>
            <w:shd w:val="clear" w:color="auto" w:fill="A7BEDE"/>
          </w:tcPr>
          <w:p w14:paraId="2B0D1517" w14:textId="77777777" w:rsidR="00D757DA" w:rsidRDefault="00D757DA">
            <w:pPr>
              <w:pStyle w:val="TableParagraph"/>
              <w:rPr>
                <w:rFonts w:ascii="Times New Roman"/>
              </w:rPr>
            </w:pPr>
          </w:p>
          <w:p w14:paraId="2FEEE21B" w14:textId="77777777" w:rsidR="00D757DA" w:rsidRDefault="00D757DA">
            <w:pPr>
              <w:pStyle w:val="TableParagraph"/>
              <w:rPr>
                <w:rFonts w:ascii="Times New Roman"/>
              </w:rPr>
            </w:pPr>
          </w:p>
          <w:p w14:paraId="7A64FBF9" w14:textId="77777777" w:rsidR="00D757DA" w:rsidRDefault="00D757DA">
            <w:pPr>
              <w:pStyle w:val="TableParagraph"/>
              <w:spacing w:before="5"/>
              <w:rPr>
                <w:rFonts w:ascii="Times New Roman"/>
                <w:sz w:val="26"/>
              </w:rPr>
            </w:pPr>
          </w:p>
          <w:p w14:paraId="0F237B51" w14:textId="77777777" w:rsidR="00D757DA" w:rsidRDefault="0033254E">
            <w:pPr>
              <w:pStyle w:val="TableParagraph"/>
              <w:spacing w:before="1"/>
              <w:ind w:left="97"/>
              <w:rPr>
                <w:sz w:val="20"/>
              </w:rPr>
            </w:pPr>
            <w:r>
              <w:rPr>
                <w:sz w:val="20"/>
              </w:rPr>
              <w:t>When the design status is:</w:t>
            </w:r>
          </w:p>
          <w:p w14:paraId="5F3E8FA4" w14:textId="77777777" w:rsidR="00D757DA" w:rsidRDefault="00D757DA">
            <w:pPr>
              <w:pStyle w:val="TableParagraph"/>
              <w:spacing w:before="8"/>
              <w:rPr>
                <w:rFonts w:ascii="Times New Roman"/>
                <w:sz w:val="21"/>
              </w:rPr>
            </w:pPr>
          </w:p>
          <w:p w14:paraId="7E196FC6" w14:textId="77777777" w:rsidR="00D757DA" w:rsidRDefault="0033254E">
            <w:pPr>
              <w:pStyle w:val="TableParagraph"/>
              <w:numPr>
                <w:ilvl w:val="0"/>
                <w:numId w:val="23"/>
              </w:numPr>
              <w:tabs>
                <w:tab w:val="left" w:pos="414"/>
                <w:tab w:val="left" w:pos="415"/>
                <w:tab w:val="left" w:pos="2070"/>
                <w:tab w:val="left" w:pos="2852"/>
                <w:tab w:val="left" w:pos="4119"/>
              </w:tabs>
              <w:spacing w:line="249" w:lineRule="auto"/>
              <w:ind w:right="215"/>
              <w:rPr>
                <w:sz w:val="20"/>
              </w:rPr>
            </w:pPr>
            <w:r>
              <w:rPr>
                <w:sz w:val="20"/>
              </w:rPr>
              <w:t>REGISTERED</w:t>
            </w:r>
            <w:r>
              <w:rPr>
                <w:sz w:val="20"/>
              </w:rPr>
              <w:tab/>
              <w:t>AND</w:t>
            </w:r>
            <w:r>
              <w:rPr>
                <w:sz w:val="20"/>
              </w:rPr>
              <w:tab/>
              <w:t>SUBJECT</w:t>
            </w:r>
            <w:r>
              <w:rPr>
                <w:sz w:val="20"/>
              </w:rPr>
              <w:tab/>
            </w:r>
            <w:r>
              <w:rPr>
                <w:spacing w:val="-9"/>
                <w:sz w:val="20"/>
              </w:rPr>
              <w:t xml:space="preserve">TO </w:t>
            </w:r>
            <w:r>
              <w:rPr>
                <w:sz w:val="20"/>
              </w:rPr>
              <w:t>DEFERMENT;</w:t>
            </w:r>
            <w:r>
              <w:rPr>
                <w:spacing w:val="-2"/>
                <w:sz w:val="20"/>
              </w:rPr>
              <w:t xml:space="preserve"> </w:t>
            </w:r>
            <w:r>
              <w:rPr>
                <w:sz w:val="20"/>
              </w:rPr>
              <w:t>or</w:t>
            </w:r>
          </w:p>
          <w:p w14:paraId="30E20008" w14:textId="77777777" w:rsidR="00D757DA" w:rsidRDefault="00D757DA">
            <w:pPr>
              <w:pStyle w:val="TableParagraph"/>
              <w:rPr>
                <w:rFonts w:ascii="Times New Roman"/>
                <w:sz w:val="21"/>
              </w:rPr>
            </w:pPr>
          </w:p>
          <w:p w14:paraId="69280B8B" w14:textId="77777777" w:rsidR="00D757DA" w:rsidRDefault="0033254E">
            <w:pPr>
              <w:pStyle w:val="TableParagraph"/>
              <w:numPr>
                <w:ilvl w:val="0"/>
                <w:numId w:val="23"/>
              </w:numPr>
              <w:tabs>
                <w:tab w:val="left" w:pos="414"/>
                <w:tab w:val="left" w:pos="415"/>
              </w:tabs>
              <w:rPr>
                <w:sz w:val="20"/>
              </w:rPr>
            </w:pPr>
            <w:r>
              <w:rPr>
                <w:sz w:val="20"/>
              </w:rPr>
              <w:t>INVALIDITY PROCEDURE PENDING</w:t>
            </w:r>
            <w:r>
              <w:rPr>
                <w:spacing w:val="27"/>
                <w:sz w:val="20"/>
              </w:rPr>
              <w:t xml:space="preserve"> </w:t>
            </w:r>
            <w:r>
              <w:rPr>
                <w:sz w:val="20"/>
              </w:rPr>
              <w:t>and</w:t>
            </w:r>
          </w:p>
          <w:p w14:paraId="404FCF21" w14:textId="77777777" w:rsidR="00D757DA" w:rsidRDefault="0033254E">
            <w:pPr>
              <w:pStyle w:val="TableParagraph"/>
              <w:spacing w:before="10" w:line="249" w:lineRule="auto"/>
              <w:ind w:left="414"/>
              <w:rPr>
                <w:sz w:val="20"/>
              </w:rPr>
            </w:pPr>
            <w:r>
              <w:rPr>
                <w:sz w:val="20"/>
              </w:rPr>
              <w:t>End of deferment is provided as the current date or a date in the future.</w:t>
            </w:r>
          </w:p>
        </w:tc>
      </w:tr>
      <w:tr w:rsidR="00D757DA" w14:paraId="1D09544D" w14:textId="77777777">
        <w:trPr>
          <w:trHeight w:val="361"/>
        </w:trPr>
        <w:tc>
          <w:tcPr>
            <w:tcW w:w="539" w:type="dxa"/>
            <w:vMerge/>
            <w:tcBorders>
              <w:top w:val="nil"/>
              <w:left w:val="nil"/>
              <w:bottom w:val="single" w:sz="8" w:space="0" w:color="FFFFFF"/>
              <w:right w:val="nil"/>
            </w:tcBorders>
            <w:shd w:val="clear" w:color="auto" w:fill="4F81BC"/>
          </w:tcPr>
          <w:p w14:paraId="6E92B015" w14:textId="77777777" w:rsidR="00D757DA" w:rsidRDefault="00D757DA">
            <w:pPr>
              <w:rPr>
                <w:sz w:val="2"/>
                <w:szCs w:val="2"/>
              </w:rPr>
            </w:pPr>
          </w:p>
        </w:tc>
        <w:tc>
          <w:tcPr>
            <w:tcW w:w="3837" w:type="dxa"/>
            <w:tcBorders>
              <w:top w:val="nil"/>
              <w:left w:val="nil"/>
              <w:bottom w:val="single" w:sz="8" w:space="0" w:color="FFFFFF"/>
              <w:right w:val="single" w:sz="8" w:space="0" w:color="FFFFFF"/>
            </w:tcBorders>
            <w:shd w:val="clear" w:color="auto" w:fill="D2DFED"/>
          </w:tcPr>
          <w:p w14:paraId="0C7A19BB" w14:textId="77777777" w:rsidR="00D757DA" w:rsidRDefault="0033254E">
            <w:pPr>
              <w:pStyle w:val="TableParagraph"/>
              <w:spacing w:before="71"/>
              <w:ind w:left="108"/>
              <w:rPr>
                <w:sz w:val="20"/>
              </w:rPr>
            </w:pPr>
            <w:r>
              <w:rPr>
                <w:sz w:val="20"/>
              </w:rPr>
              <w:t>Indication of the product must be empty.</w:t>
            </w:r>
          </w:p>
        </w:tc>
        <w:tc>
          <w:tcPr>
            <w:tcW w:w="4624" w:type="dxa"/>
            <w:vMerge/>
            <w:tcBorders>
              <w:top w:val="nil"/>
              <w:left w:val="single" w:sz="8" w:space="0" w:color="FFFFFF"/>
              <w:bottom w:val="nil"/>
              <w:right w:val="nil"/>
            </w:tcBorders>
            <w:shd w:val="clear" w:color="auto" w:fill="A7BEDE"/>
          </w:tcPr>
          <w:p w14:paraId="4339D767" w14:textId="77777777" w:rsidR="00D757DA" w:rsidRDefault="00D757DA">
            <w:pPr>
              <w:rPr>
                <w:sz w:val="2"/>
                <w:szCs w:val="2"/>
              </w:rPr>
            </w:pPr>
          </w:p>
        </w:tc>
      </w:tr>
      <w:tr w:rsidR="00D757DA" w14:paraId="71C284FB" w14:textId="77777777">
        <w:trPr>
          <w:trHeight w:val="381"/>
        </w:trPr>
        <w:tc>
          <w:tcPr>
            <w:tcW w:w="539" w:type="dxa"/>
            <w:tcBorders>
              <w:top w:val="single" w:sz="8" w:space="0" w:color="FFFFFF"/>
              <w:left w:val="nil"/>
              <w:bottom w:val="nil"/>
              <w:right w:val="nil"/>
            </w:tcBorders>
            <w:shd w:val="clear" w:color="auto" w:fill="4F81BC"/>
          </w:tcPr>
          <w:p w14:paraId="09F3C533" w14:textId="77777777" w:rsidR="00D757DA" w:rsidRDefault="0033254E">
            <w:pPr>
              <w:pStyle w:val="TableParagraph"/>
              <w:ind w:left="98"/>
              <w:rPr>
                <w:b/>
              </w:rPr>
            </w:pPr>
            <w:r>
              <w:rPr>
                <w:b/>
              </w:rPr>
              <w:t>21.</w:t>
            </w:r>
          </w:p>
        </w:tc>
        <w:tc>
          <w:tcPr>
            <w:tcW w:w="3837" w:type="dxa"/>
            <w:tcBorders>
              <w:top w:val="single" w:sz="8" w:space="0" w:color="FFFFFF"/>
              <w:left w:val="nil"/>
              <w:bottom w:val="nil"/>
              <w:right w:val="single" w:sz="8" w:space="0" w:color="FFFFFF"/>
            </w:tcBorders>
            <w:shd w:val="clear" w:color="auto" w:fill="A7BEDE"/>
          </w:tcPr>
          <w:p w14:paraId="67E0E3FB" w14:textId="77777777" w:rsidR="00D757DA" w:rsidRDefault="0033254E">
            <w:pPr>
              <w:pStyle w:val="TableParagraph"/>
              <w:spacing w:before="60"/>
              <w:ind w:left="108"/>
            </w:pPr>
            <w:r>
              <w:t>Locarno class must be empty.</w:t>
            </w:r>
          </w:p>
        </w:tc>
        <w:tc>
          <w:tcPr>
            <w:tcW w:w="4624" w:type="dxa"/>
            <w:vMerge/>
            <w:tcBorders>
              <w:top w:val="nil"/>
              <w:left w:val="single" w:sz="8" w:space="0" w:color="FFFFFF"/>
              <w:bottom w:val="nil"/>
              <w:right w:val="nil"/>
            </w:tcBorders>
            <w:shd w:val="clear" w:color="auto" w:fill="A7BEDE"/>
          </w:tcPr>
          <w:p w14:paraId="399705B3" w14:textId="77777777" w:rsidR="00D757DA" w:rsidRDefault="00D757DA">
            <w:pPr>
              <w:rPr>
                <w:sz w:val="2"/>
                <w:szCs w:val="2"/>
              </w:rPr>
            </w:pPr>
          </w:p>
        </w:tc>
      </w:tr>
      <w:tr w:rsidR="00D757DA" w14:paraId="53F37138" w14:textId="77777777">
        <w:trPr>
          <w:trHeight w:val="1081"/>
        </w:trPr>
        <w:tc>
          <w:tcPr>
            <w:tcW w:w="539" w:type="dxa"/>
            <w:tcBorders>
              <w:top w:val="nil"/>
              <w:left w:val="nil"/>
              <w:bottom w:val="single" w:sz="8" w:space="0" w:color="FFFFFF"/>
            </w:tcBorders>
            <w:shd w:val="clear" w:color="auto" w:fill="4F81BC"/>
          </w:tcPr>
          <w:p w14:paraId="4E749309" w14:textId="77777777" w:rsidR="00D757DA" w:rsidRDefault="0033254E">
            <w:pPr>
              <w:pStyle w:val="TableParagraph"/>
              <w:spacing w:before="12"/>
              <w:ind w:left="98"/>
              <w:rPr>
                <w:b/>
              </w:rPr>
            </w:pPr>
            <w:r>
              <w:rPr>
                <w:b/>
              </w:rPr>
              <w:t>22.</w:t>
            </w:r>
          </w:p>
        </w:tc>
        <w:tc>
          <w:tcPr>
            <w:tcW w:w="3837" w:type="dxa"/>
            <w:tcBorders>
              <w:top w:val="nil"/>
              <w:bottom w:val="single" w:sz="8" w:space="0" w:color="FFFFFF"/>
              <w:right w:val="single" w:sz="8" w:space="0" w:color="FFFFFF"/>
            </w:tcBorders>
            <w:shd w:val="clear" w:color="auto" w:fill="D2DFED"/>
          </w:tcPr>
          <w:p w14:paraId="693991DD" w14:textId="77777777" w:rsidR="00D757DA" w:rsidRDefault="0033254E">
            <w:pPr>
              <w:pStyle w:val="TableParagraph"/>
              <w:spacing w:before="81"/>
              <w:ind w:left="78"/>
              <w:rPr>
                <w:sz w:val="20"/>
              </w:rPr>
            </w:pPr>
            <w:r>
              <w:rPr>
                <w:sz w:val="20"/>
              </w:rPr>
              <w:t>Registration date:</w:t>
            </w:r>
          </w:p>
          <w:p w14:paraId="609DC411" w14:textId="77777777" w:rsidR="00D757DA" w:rsidRDefault="0033254E">
            <w:pPr>
              <w:pStyle w:val="TableParagraph"/>
              <w:numPr>
                <w:ilvl w:val="0"/>
                <w:numId w:val="22"/>
              </w:numPr>
              <w:tabs>
                <w:tab w:val="left" w:pos="267"/>
              </w:tabs>
              <w:spacing w:before="10"/>
              <w:ind w:hanging="189"/>
              <w:rPr>
                <w:sz w:val="20"/>
              </w:rPr>
            </w:pPr>
            <w:r>
              <w:rPr>
                <w:sz w:val="20"/>
              </w:rPr>
              <w:t>is</w:t>
            </w:r>
            <w:r>
              <w:rPr>
                <w:spacing w:val="-1"/>
                <w:sz w:val="20"/>
              </w:rPr>
              <w:t xml:space="preserve"> </w:t>
            </w:r>
            <w:proofErr w:type="gramStart"/>
            <w:r>
              <w:rPr>
                <w:sz w:val="20"/>
              </w:rPr>
              <w:t>mandatory;</w:t>
            </w:r>
            <w:proofErr w:type="gramEnd"/>
          </w:p>
          <w:p w14:paraId="1F77B8E3" w14:textId="77777777" w:rsidR="00D757DA" w:rsidRDefault="0033254E">
            <w:pPr>
              <w:pStyle w:val="TableParagraph"/>
              <w:numPr>
                <w:ilvl w:val="0"/>
                <w:numId w:val="22"/>
              </w:numPr>
              <w:tabs>
                <w:tab w:val="left" w:pos="267"/>
              </w:tabs>
              <w:spacing w:before="10"/>
              <w:ind w:hanging="189"/>
              <w:rPr>
                <w:sz w:val="20"/>
              </w:rPr>
            </w:pPr>
            <w:r>
              <w:rPr>
                <w:sz w:val="20"/>
              </w:rPr>
              <w:t>must be in the valid date</w:t>
            </w:r>
            <w:r>
              <w:rPr>
                <w:spacing w:val="-3"/>
                <w:sz w:val="20"/>
              </w:rPr>
              <w:t xml:space="preserve"> </w:t>
            </w:r>
            <w:proofErr w:type="gramStart"/>
            <w:r>
              <w:rPr>
                <w:sz w:val="20"/>
              </w:rPr>
              <w:t>format;</w:t>
            </w:r>
            <w:proofErr w:type="gramEnd"/>
          </w:p>
          <w:p w14:paraId="4EFCA7D8" w14:textId="77777777" w:rsidR="00D757DA" w:rsidRDefault="0033254E">
            <w:pPr>
              <w:pStyle w:val="TableParagraph"/>
              <w:numPr>
                <w:ilvl w:val="0"/>
                <w:numId w:val="22"/>
              </w:numPr>
              <w:tabs>
                <w:tab w:val="left" w:pos="267"/>
              </w:tabs>
              <w:spacing w:before="10"/>
              <w:ind w:hanging="189"/>
              <w:rPr>
                <w:sz w:val="20"/>
              </w:rPr>
            </w:pPr>
            <w:r>
              <w:rPr>
                <w:sz w:val="20"/>
              </w:rPr>
              <w:t>must be later than the Filing</w:t>
            </w:r>
            <w:r>
              <w:rPr>
                <w:spacing w:val="-12"/>
                <w:sz w:val="20"/>
              </w:rPr>
              <w:t xml:space="preserve"> </w:t>
            </w:r>
            <w:r>
              <w:rPr>
                <w:sz w:val="20"/>
              </w:rPr>
              <w:t>date.</w:t>
            </w:r>
          </w:p>
        </w:tc>
        <w:tc>
          <w:tcPr>
            <w:tcW w:w="4624" w:type="dxa"/>
            <w:vMerge/>
            <w:tcBorders>
              <w:top w:val="nil"/>
              <w:left w:val="single" w:sz="8" w:space="0" w:color="FFFFFF"/>
              <w:bottom w:val="nil"/>
              <w:right w:val="nil"/>
            </w:tcBorders>
            <w:shd w:val="clear" w:color="auto" w:fill="A7BEDE"/>
          </w:tcPr>
          <w:p w14:paraId="4DBFD8F8" w14:textId="77777777" w:rsidR="00D757DA" w:rsidRDefault="00D757DA">
            <w:pPr>
              <w:rPr>
                <w:sz w:val="2"/>
                <w:szCs w:val="2"/>
              </w:rPr>
            </w:pPr>
          </w:p>
        </w:tc>
      </w:tr>
      <w:tr w:rsidR="00D757DA" w14:paraId="30E68102" w14:textId="77777777">
        <w:trPr>
          <w:trHeight w:val="1396"/>
        </w:trPr>
        <w:tc>
          <w:tcPr>
            <w:tcW w:w="539" w:type="dxa"/>
            <w:tcBorders>
              <w:top w:val="single" w:sz="8" w:space="0" w:color="FFFFFF"/>
              <w:left w:val="nil"/>
              <w:bottom w:val="nil"/>
            </w:tcBorders>
            <w:shd w:val="clear" w:color="auto" w:fill="4F81BC"/>
          </w:tcPr>
          <w:p w14:paraId="3D4B43FD" w14:textId="77777777" w:rsidR="00D757DA" w:rsidRDefault="0033254E">
            <w:pPr>
              <w:pStyle w:val="TableParagraph"/>
              <w:spacing w:line="253" w:lineRule="exact"/>
              <w:ind w:left="98"/>
              <w:rPr>
                <w:b/>
              </w:rPr>
            </w:pPr>
            <w:r>
              <w:rPr>
                <w:b/>
              </w:rPr>
              <w:t>23.</w:t>
            </w:r>
          </w:p>
        </w:tc>
        <w:tc>
          <w:tcPr>
            <w:tcW w:w="3837" w:type="dxa"/>
            <w:tcBorders>
              <w:top w:val="single" w:sz="8" w:space="0" w:color="FFFFFF"/>
              <w:bottom w:val="nil"/>
              <w:right w:val="single" w:sz="8" w:space="0" w:color="FFFFFF"/>
            </w:tcBorders>
            <w:shd w:val="clear" w:color="auto" w:fill="A7BEDE"/>
          </w:tcPr>
          <w:p w14:paraId="0B7C282A" w14:textId="77777777" w:rsidR="00D757DA" w:rsidRDefault="0033254E">
            <w:pPr>
              <w:pStyle w:val="TableParagraph"/>
              <w:spacing w:before="69"/>
              <w:ind w:left="78"/>
              <w:rPr>
                <w:sz w:val="20"/>
              </w:rPr>
            </w:pPr>
            <w:r>
              <w:rPr>
                <w:sz w:val="20"/>
              </w:rPr>
              <w:t>Expiry date:</w:t>
            </w:r>
          </w:p>
          <w:p w14:paraId="351D9246" w14:textId="77777777" w:rsidR="00D757DA" w:rsidRDefault="0033254E">
            <w:pPr>
              <w:pStyle w:val="TableParagraph"/>
              <w:numPr>
                <w:ilvl w:val="0"/>
                <w:numId w:val="21"/>
              </w:numPr>
              <w:tabs>
                <w:tab w:val="left" w:pos="267"/>
              </w:tabs>
              <w:spacing w:before="70"/>
              <w:ind w:hanging="189"/>
              <w:rPr>
                <w:sz w:val="20"/>
              </w:rPr>
            </w:pPr>
            <w:r>
              <w:rPr>
                <w:sz w:val="20"/>
              </w:rPr>
              <w:t>is</w:t>
            </w:r>
            <w:r>
              <w:rPr>
                <w:spacing w:val="-1"/>
                <w:sz w:val="20"/>
              </w:rPr>
              <w:t xml:space="preserve"> </w:t>
            </w:r>
            <w:proofErr w:type="gramStart"/>
            <w:r>
              <w:rPr>
                <w:sz w:val="20"/>
              </w:rPr>
              <w:t>mandatory;</w:t>
            </w:r>
            <w:proofErr w:type="gramEnd"/>
          </w:p>
          <w:p w14:paraId="4A81580D" w14:textId="77777777" w:rsidR="00D757DA" w:rsidRDefault="0033254E">
            <w:pPr>
              <w:pStyle w:val="TableParagraph"/>
              <w:numPr>
                <w:ilvl w:val="0"/>
                <w:numId w:val="21"/>
              </w:numPr>
              <w:tabs>
                <w:tab w:val="left" w:pos="267"/>
              </w:tabs>
              <w:spacing w:before="10"/>
              <w:ind w:hanging="189"/>
              <w:rPr>
                <w:sz w:val="20"/>
              </w:rPr>
            </w:pPr>
            <w:r>
              <w:rPr>
                <w:sz w:val="20"/>
              </w:rPr>
              <w:t>must be in the valid date</w:t>
            </w:r>
            <w:r>
              <w:rPr>
                <w:spacing w:val="-3"/>
                <w:sz w:val="20"/>
              </w:rPr>
              <w:t xml:space="preserve"> </w:t>
            </w:r>
            <w:proofErr w:type="gramStart"/>
            <w:r>
              <w:rPr>
                <w:sz w:val="20"/>
              </w:rPr>
              <w:t>format;</w:t>
            </w:r>
            <w:proofErr w:type="gramEnd"/>
          </w:p>
          <w:p w14:paraId="5F1BD5A5" w14:textId="77777777" w:rsidR="00D757DA" w:rsidRDefault="0033254E">
            <w:pPr>
              <w:pStyle w:val="TableParagraph"/>
              <w:numPr>
                <w:ilvl w:val="0"/>
                <w:numId w:val="21"/>
              </w:numPr>
              <w:tabs>
                <w:tab w:val="left" w:pos="267"/>
              </w:tabs>
              <w:spacing w:before="10" w:line="249" w:lineRule="auto"/>
              <w:ind w:right="211"/>
              <w:rPr>
                <w:sz w:val="20"/>
              </w:rPr>
            </w:pPr>
            <w:r>
              <w:rPr>
                <w:sz w:val="20"/>
              </w:rPr>
              <w:t>must be later than the Registration date.</w:t>
            </w:r>
          </w:p>
        </w:tc>
        <w:tc>
          <w:tcPr>
            <w:tcW w:w="4624" w:type="dxa"/>
            <w:vMerge/>
            <w:tcBorders>
              <w:top w:val="nil"/>
              <w:left w:val="single" w:sz="8" w:space="0" w:color="FFFFFF"/>
              <w:bottom w:val="nil"/>
              <w:right w:val="nil"/>
            </w:tcBorders>
            <w:shd w:val="clear" w:color="auto" w:fill="A7BEDE"/>
          </w:tcPr>
          <w:p w14:paraId="49DFFC7F" w14:textId="77777777" w:rsidR="00D757DA" w:rsidRDefault="00D757DA">
            <w:pPr>
              <w:rPr>
                <w:sz w:val="2"/>
                <w:szCs w:val="2"/>
              </w:rPr>
            </w:pPr>
          </w:p>
        </w:tc>
      </w:tr>
    </w:tbl>
    <w:p w14:paraId="15F000A5" w14:textId="77777777" w:rsidR="00D757DA" w:rsidRDefault="00D757DA">
      <w:pPr>
        <w:pStyle w:val="Zkladntext"/>
        <w:rPr>
          <w:rFonts w:ascii="Times New Roman"/>
          <w:sz w:val="20"/>
        </w:rPr>
      </w:pPr>
    </w:p>
    <w:p w14:paraId="33558864" w14:textId="77777777" w:rsidR="00D757DA" w:rsidRDefault="00D757DA">
      <w:pPr>
        <w:pStyle w:val="Zkladntext"/>
        <w:spacing w:before="6"/>
        <w:rPr>
          <w:rFonts w:ascii="Times New Roman"/>
          <w:sz w:val="16"/>
        </w:rPr>
      </w:pPr>
    </w:p>
    <w:p w14:paraId="735E44FC" w14:textId="77777777" w:rsidR="00D757DA" w:rsidRDefault="0033254E">
      <w:pPr>
        <w:pStyle w:val="Odstavecseseznamem"/>
        <w:numPr>
          <w:ilvl w:val="1"/>
          <w:numId w:val="37"/>
        </w:numPr>
        <w:tabs>
          <w:tab w:val="left" w:pos="829"/>
        </w:tabs>
        <w:spacing w:before="94"/>
        <w:ind w:right="1437" w:firstLine="0"/>
        <w:jc w:val="both"/>
      </w:pPr>
      <w:r>
        <w:t>All calculations will be done with 3 decimals and time stamp will be measured in milliseconds.</w:t>
      </w:r>
      <w:r>
        <w:rPr>
          <w:spacing w:val="-4"/>
        </w:rPr>
        <w:t xml:space="preserve"> </w:t>
      </w:r>
      <w:r>
        <w:t>The</w:t>
      </w:r>
      <w:r>
        <w:rPr>
          <w:spacing w:val="-8"/>
        </w:rPr>
        <w:t xml:space="preserve"> </w:t>
      </w:r>
      <w:r>
        <w:t>mathematic</w:t>
      </w:r>
      <w:r>
        <w:rPr>
          <w:spacing w:val="-8"/>
        </w:rPr>
        <w:t xml:space="preserve"> </w:t>
      </w:r>
      <w:r>
        <w:t>method</w:t>
      </w:r>
      <w:r>
        <w:rPr>
          <w:spacing w:val="-7"/>
        </w:rPr>
        <w:t xml:space="preserve"> </w:t>
      </w:r>
      <w:r>
        <w:t>that</w:t>
      </w:r>
      <w:r>
        <w:rPr>
          <w:spacing w:val="-5"/>
        </w:rPr>
        <w:t xml:space="preserve"> </w:t>
      </w:r>
      <w:r>
        <w:t>will</w:t>
      </w:r>
      <w:r>
        <w:rPr>
          <w:spacing w:val="-7"/>
        </w:rPr>
        <w:t xml:space="preserve"> </w:t>
      </w:r>
      <w:r>
        <w:t>be</w:t>
      </w:r>
      <w:r>
        <w:rPr>
          <w:spacing w:val="-9"/>
        </w:rPr>
        <w:t xml:space="preserve"> </w:t>
      </w:r>
      <w:r>
        <w:t>used</w:t>
      </w:r>
      <w:r>
        <w:rPr>
          <w:spacing w:val="-7"/>
        </w:rPr>
        <w:t xml:space="preserve"> </w:t>
      </w:r>
      <w:r>
        <w:t>is</w:t>
      </w:r>
      <w:r>
        <w:rPr>
          <w:spacing w:val="-8"/>
        </w:rPr>
        <w:t xml:space="preserve"> </w:t>
      </w:r>
      <w:r>
        <w:t>the</w:t>
      </w:r>
      <w:r>
        <w:rPr>
          <w:spacing w:val="-6"/>
        </w:rPr>
        <w:t xml:space="preserve"> </w:t>
      </w:r>
      <w:r>
        <w:t>Symmetric</w:t>
      </w:r>
      <w:r>
        <w:rPr>
          <w:spacing w:val="-6"/>
        </w:rPr>
        <w:t xml:space="preserve"> </w:t>
      </w:r>
      <w:r>
        <w:t>Arithmetic</w:t>
      </w:r>
      <w:r>
        <w:rPr>
          <w:spacing w:val="-6"/>
        </w:rPr>
        <w:t xml:space="preserve"> </w:t>
      </w:r>
      <w:r>
        <w:t>Rounding or Round-Half-Up (Symmetric</w:t>
      </w:r>
      <w:r>
        <w:rPr>
          <w:spacing w:val="-2"/>
        </w:rPr>
        <w:t xml:space="preserve"> </w:t>
      </w:r>
      <w:r>
        <w:t>Implementation).</w:t>
      </w:r>
    </w:p>
    <w:p w14:paraId="02895D87" w14:textId="77777777" w:rsidR="00D757DA" w:rsidRDefault="00D757DA">
      <w:pPr>
        <w:pStyle w:val="Zkladntext"/>
        <w:spacing w:before="9"/>
        <w:rPr>
          <w:sz w:val="20"/>
        </w:rPr>
      </w:pPr>
    </w:p>
    <w:p w14:paraId="6AD5BFC2" w14:textId="77777777" w:rsidR="00D757DA" w:rsidRDefault="0033254E">
      <w:pPr>
        <w:pStyle w:val="Odstavecseseznamem"/>
        <w:numPr>
          <w:ilvl w:val="1"/>
          <w:numId w:val="37"/>
        </w:numPr>
        <w:tabs>
          <w:tab w:val="left" w:pos="829"/>
        </w:tabs>
        <w:ind w:right="1434" w:firstLine="0"/>
        <w:jc w:val="both"/>
      </w:pPr>
      <w:r>
        <w:t>The</w:t>
      </w:r>
      <w:r>
        <w:rPr>
          <w:spacing w:val="-15"/>
        </w:rPr>
        <w:t xml:space="preserve"> </w:t>
      </w:r>
      <w:r>
        <w:t>performance</w:t>
      </w:r>
      <w:r>
        <w:rPr>
          <w:spacing w:val="-16"/>
        </w:rPr>
        <w:t xml:space="preserve"> </w:t>
      </w:r>
      <w:r>
        <w:t>of</w:t>
      </w:r>
      <w:r>
        <w:rPr>
          <w:spacing w:val="-16"/>
        </w:rPr>
        <w:t xml:space="preserve"> </w:t>
      </w:r>
      <w:r>
        <w:t>the</w:t>
      </w:r>
      <w:r>
        <w:rPr>
          <w:spacing w:val="-19"/>
        </w:rPr>
        <w:t xml:space="preserve"> </w:t>
      </w:r>
      <w:r>
        <w:t>IPO</w:t>
      </w:r>
      <w:r>
        <w:rPr>
          <w:spacing w:val="-15"/>
        </w:rPr>
        <w:t xml:space="preserve"> </w:t>
      </w:r>
      <w:r>
        <w:t>shall</w:t>
      </w:r>
      <w:r>
        <w:rPr>
          <w:spacing w:val="-15"/>
        </w:rPr>
        <w:t xml:space="preserve"> </w:t>
      </w:r>
      <w:r>
        <w:t>be</w:t>
      </w:r>
      <w:r>
        <w:rPr>
          <w:spacing w:val="-19"/>
        </w:rPr>
        <w:t xml:space="preserve"> </w:t>
      </w:r>
      <w:r>
        <w:t>monitored</w:t>
      </w:r>
      <w:r>
        <w:rPr>
          <w:spacing w:val="-17"/>
        </w:rPr>
        <w:t xml:space="preserve"> </w:t>
      </w:r>
      <w:r>
        <w:t>with</w:t>
      </w:r>
      <w:r>
        <w:rPr>
          <w:spacing w:val="-16"/>
        </w:rPr>
        <w:t xml:space="preserve"> </w:t>
      </w:r>
      <w:r>
        <w:t>the</w:t>
      </w:r>
      <w:r>
        <w:rPr>
          <w:spacing w:val="-16"/>
        </w:rPr>
        <w:t xml:space="preserve"> </w:t>
      </w:r>
      <w:r>
        <w:t>assistance</w:t>
      </w:r>
      <w:r>
        <w:rPr>
          <w:spacing w:val="-17"/>
        </w:rPr>
        <w:t xml:space="preserve"> </w:t>
      </w:r>
      <w:r>
        <w:t>of</w:t>
      </w:r>
      <w:r>
        <w:rPr>
          <w:spacing w:val="-15"/>
        </w:rPr>
        <w:t xml:space="preserve"> </w:t>
      </w:r>
      <w:r>
        <w:t>an</w:t>
      </w:r>
      <w:r>
        <w:rPr>
          <w:spacing w:val="-17"/>
        </w:rPr>
        <w:t xml:space="preserve"> </w:t>
      </w:r>
      <w:r>
        <w:t>administration tool.</w:t>
      </w:r>
      <w:r>
        <w:rPr>
          <w:spacing w:val="-10"/>
        </w:rPr>
        <w:t xml:space="preserve"> </w:t>
      </w:r>
      <w:r>
        <w:t>This</w:t>
      </w:r>
      <w:r>
        <w:rPr>
          <w:spacing w:val="-11"/>
        </w:rPr>
        <w:t xml:space="preserve"> </w:t>
      </w:r>
      <w:r>
        <w:t>evaluation</w:t>
      </w:r>
      <w:r>
        <w:rPr>
          <w:spacing w:val="-11"/>
        </w:rPr>
        <w:t xml:space="preserve"> </w:t>
      </w:r>
      <w:r>
        <w:t>shall</w:t>
      </w:r>
      <w:r>
        <w:rPr>
          <w:spacing w:val="-9"/>
        </w:rPr>
        <w:t xml:space="preserve"> </w:t>
      </w:r>
      <w:r>
        <w:t>be</w:t>
      </w:r>
      <w:r>
        <w:rPr>
          <w:spacing w:val="-12"/>
        </w:rPr>
        <w:t xml:space="preserve"> </w:t>
      </w:r>
      <w:r>
        <w:t>based</w:t>
      </w:r>
      <w:r>
        <w:rPr>
          <w:spacing w:val="-11"/>
        </w:rPr>
        <w:t xml:space="preserve"> </w:t>
      </w:r>
      <w:r>
        <w:t>on</w:t>
      </w:r>
      <w:r>
        <w:rPr>
          <w:spacing w:val="-14"/>
        </w:rPr>
        <w:t xml:space="preserve"> </w:t>
      </w:r>
      <w:r>
        <w:t>the</w:t>
      </w:r>
      <w:r>
        <w:rPr>
          <w:spacing w:val="-11"/>
        </w:rPr>
        <w:t xml:space="preserve"> </w:t>
      </w:r>
      <w:r>
        <w:t>list</w:t>
      </w:r>
      <w:r>
        <w:rPr>
          <w:spacing w:val="-10"/>
        </w:rPr>
        <w:t xml:space="preserve"> </w:t>
      </w:r>
      <w:r>
        <w:t>of</w:t>
      </w:r>
      <w:r>
        <w:rPr>
          <w:spacing w:val="-9"/>
        </w:rPr>
        <w:t xml:space="preserve"> </w:t>
      </w:r>
      <w:r>
        <w:t>agreed</w:t>
      </w:r>
      <w:r>
        <w:rPr>
          <w:spacing w:val="-12"/>
        </w:rPr>
        <w:t xml:space="preserve"> </w:t>
      </w:r>
      <w:r>
        <w:t>service</w:t>
      </w:r>
      <w:r>
        <w:rPr>
          <w:spacing w:val="-11"/>
        </w:rPr>
        <w:t xml:space="preserve"> </w:t>
      </w:r>
      <w:r>
        <w:t>value</w:t>
      </w:r>
      <w:r>
        <w:rPr>
          <w:spacing w:val="-12"/>
        </w:rPr>
        <w:t xml:space="preserve"> </w:t>
      </w:r>
      <w:r>
        <w:t>levels.</w:t>
      </w:r>
      <w:r>
        <w:rPr>
          <w:spacing w:val="-9"/>
        </w:rPr>
        <w:t xml:space="preserve"> </w:t>
      </w:r>
      <w:r>
        <w:t>The</w:t>
      </w:r>
      <w:r>
        <w:rPr>
          <w:spacing w:val="-11"/>
        </w:rPr>
        <w:t xml:space="preserve"> </w:t>
      </w:r>
      <w:r>
        <w:t>EUIPO</w:t>
      </w:r>
      <w:r>
        <w:rPr>
          <w:spacing w:val="-11"/>
        </w:rPr>
        <w:t xml:space="preserve"> </w:t>
      </w:r>
      <w:r>
        <w:t>shall provide</w:t>
      </w:r>
      <w:r>
        <w:rPr>
          <w:spacing w:val="-5"/>
        </w:rPr>
        <w:t xml:space="preserve"> </w:t>
      </w:r>
      <w:r>
        <w:t>the</w:t>
      </w:r>
      <w:r>
        <w:rPr>
          <w:spacing w:val="-7"/>
        </w:rPr>
        <w:t xml:space="preserve"> </w:t>
      </w:r>
      <w:r>
        <w:t>IPO</w:t>
      </w:r>
      <w:r>
        <w:rPr>
          <w:spacing w:val="-3"/>
        </w:rPr>
        <w:t xml:space="preserve"> </w:t>
      </w:r>
      <w:r>
        <w:t>with</w:t>
      </w:r>
      <w:r>
        <w:rPr>
          <w:spacing w:val="-4"/>
        </w:rPr>
        <w:t xml:space="preserve"> </w:t>
      </w:r>
      <w:r>
        <w:t>access</w:t>
      </w:r>
      <w:r>
        <w:rPr>
          <w:spacing w:val="-4"/>
        </w:rPr>
        <w:t xml:space="preserve"> </w:t>
      </w:r>
      <w:r>
        <w:t>to</w:t>
      </w:r>
      <w:r>
        <w:rPr>
          <w:spacing w:val="-6"/>
        </w:rPr>
        <w:t xml:space="preserve"> </w:t>
      </w:r>
      <w:r>
        <w:t>the</w:t>
      </w:r>
      <w:r>
        <w:rPr>
          <w:spacing w:val="-7"/>
        </w:rPr>
        <w:t xml:space="preserve"> </w:t>
      </w:r>
      <w:r>
        <w:t>tool.</w:t>
      </w:r>
      <w:r>
        <w:rPr>
          <w:spacing w:val="-5"/>
        </w:rPr>
        <w:t xml:space="preserve"> </w:t>
      </w:r>
      <w:r>
        <w:t>The</w:t>
      </w:r>
      <w:r>
        <w:rPr>
          <w:spacing w:val="-4"/>
        </w:rPr>
        <w:t xml:space="preserve"> </w:t>
      </w:r>
      <w:r>
        <w:t>IPO</w:t>
      </w:r>
      <w:r>
        <w:rPr>
          <w:spacing w:val="-5"/>
        </w:rPr>
        <w:t xml:space="preserve"> </w:t>
      </w:r>
      <w:r>
        <w:t>shall,</w:t>
      </w:r>
      <w:r>
        <w:rPr>
          <w:spacing w:val="-3"/>
        </w:rPr>
        <w:t xml:space="preserve"> </w:t>
      </w:r>
      <w:r>
        <w:t>at</w:t>
      </w:r>
      <w:r>
        <w:rPr>
          <w:spacing w:val="-3"/>
        </w:rPr>
        <w:t xml:space="preserve"> </w:t>
      </w:r>
      <w:r>
        <w:t>least</w:t>
      </w:r>
      <w:r>
        <w:rPr>
          <w:spacing w:val="-3"/>
        </w:rPr>
        <w:t xml:space="preserve"> </w:t>
      </w:r>
      <w:r>
        <w:t>on</w:t>
      </w:r>
      <w:r>
        <w:rPr>
          <w:spacing w:val="-4"/>
        </w:rPr>
        <w:t xml:space="preserve"> </w:t>
      </w:r>
      <w:r>
        <w:t>a</w:t>
      </w:r>
      <w:r>
        <w:rPr>
          <w:spacing w:val="-6"/>
        </w:rPr>
        <w:t xml:space="preserve"> </w:t>
      </w:r>
      <w:r>
        <w:t>quarterly</w:t>
      </w:r>
      <w:r>
        <w:rPr>
          <w:spacing w:val="-4"/>
        </w:rPr>
        <w:t xml:space="preserve"> </w:t>
      </w:r>
      <w:r>
        <w:t>basis,</w:t>
      </w:r>
      <w:r>
        <w:rPr>
          <w:spacing w:val="-5"/>
        </w:rPr>
        <w:t xml:space="preserve"> </w:t>
      </w:r>
      <w:r>
        <w:t>review</w:t>
      </w:r>
      <w:r>
        <w:rPr>
          <w:spacing w:val="-5"/>
        </w:rPr>
        <w:t xml:space="preserve"> </w:t>
      </w:r>
      <w:r>
        <w:t>its own statistics and communicate immediately any disagreement to the EUIPO. In case the administration</w:t>
      </w:r>
      <w:r>
        <w:rPr>
          <w:spacing w:val="-10"/>
        </w:rPr>
        <w:t xml:space="preserve"> </w:t>
      </w:r>
      <w:r>
        <w:t>tool</w:t>
      </w:r>
      <w:r>
        <w:rPr>
          <w:spacing w:val="-9"/>
        </w:rPr>
        <w:t xml:space="preserve"> </w:t>
      </w:r>
      <w:r>
        <w:t>is</w:t>
      </w:r>
      <w:r>
        <w:rPr>
          <w:spacing w:val="-10"/>
        </w:rPr>
        <w:t xml:space="preserve"> </w:t>
      </w:r>
      <w:r>
        <w:t>temporarily</w:t>
      </w:r>
      <w:r>
        <w:rPr>
          <w:spacing w:val="-9"/>
        </w:rPr>
        <w:t xml:space="preserve"> </w:t>
      </w:r>
      <w:r>
        <w:t>unavailable,</w:t>
      </w:r>
      <w:r>
        <w:rPr>
          <w:spacing w:val="-7"/>
        </w:rPr>
        <w:t xml:space="preserve"> </w:t>
      </w:r>
      <w:r>
        <w:t>EUIPO</w:t>
      </w:r>
      <w:r>
        <w:rPr>
          <w:spacing w:val="-7"/>
        </w:rPr>
        <w:t xml:space="preserve"> </w:t>
      </w:r>
      <w:r>
        <w:t>will</w:t>
      </w:r>
      <w:r>
        <w:rPr>
          <w:spacing w:val="-10"/>
        </w:rPr>
        <w:t xml:space="preserve"> </w:t>
      </w:r>
      <w:r>
        <w:t>be</w:t>
      </w:r>
      <w:r>
        <w:rPr>
          <w:spacing w:val="-9"/>
        </w:rPr>
        <w:t xml:space="preserve"> </w:t>
      </w:r>
      <w:r>
        <w:t>providing</w:t>
      </w:r>
      <w:r>
        <w:rPr>
          <w:spacing w:val="-9"/>
        </w:rPr>
        <w:t xml:space="preserve"> </w:t>
      </w:r>
      <w:r>
        <w:t>the</w:t>
      </w:r>
      <w:r>
        <w:rPr>
          <w:spacing w:val="-11"/>
        </w:rPr>
        <w:t xml:space="preserve"> </w:t>
      </w:r>
      <w:r>
        <w:t>statistic</w:t>
      </w:r>
      <w:r>
        <w:rPr>
          <w:spacing w:val="-9"/>
        </w:rPr>
        <w:t xml:space="preserve"> </w:t>
      </w:r>
      <w:r>
        <w:t>information to the IPO through other means (e.g.</w:t>
      </w:r>
      <w:r>
        <w:rPr>
          <w:spacing w:val="-10"/>
        </w:rPr>
        <w:t xml:space="preserve"> </w:t>
      </w:r>
      <w:r>
        <w:t>email).</w:t>
      </w:r>
    </w:p>
    <w:p w14:paraId="252A6CC4" w14:textId="77777777" w:rsidR="00D757DA" w:rsidRDefault="00D757DA">
      <w:pPr>
        <w:pStyle w:val="Zkladntext"/>
        <w:rPr>
          <w:sz w:val="20"/>
        </w:rPr>
      </w:pPr>
    </w:p>
    <w:p w14:paraId="679B6C59" w14:textId="77777777" w:rsidR="00D757DA" w:rsidRDefault="0033254E">
      <w:pPr>
        <w:pStyle w:val="Zkladntext"/>
        <w:spacing w:before="8"/>
        <w:rPr>
          <w:sz w:val="14"/>
        </w:rPr>
      </w:pPr>
      <w:r>
        <w:pict w14:anchorId="0684F57C">
          <v:shape id="_x0000_s2050" style="position:absolute;margin-left:1in;margin-top:10.75pt;width:144.05pt;height:.1pt;z-index:-251633664;mso-wrap-distance-left:0;mso-wrap-distance-right:0;mso-position-horizontal-relative:page" coordorigin="1440,215" coordsize="2881,0" path="m1440,215r2881,e" filled="f" strokeweight=".59pt">
            <v:path arrowok="t"/>
            <w10:wrap type="topAndBottom" anchorx="page"/>
          </v:shape>
        </w:pict>
      </w:r>
    </w:p>
    <w:p w14:paraId="509887AB" w14:textId="77777777" w:rsidR="00D757DA" w:rsidRDefault="0033254E">
      <w:pPr>
        <w:spacing w:before="70" w:line="233" w:lineRule="exact"/>
        <w:ind w:left="120"/>
        <w:rPr>
          <w:rFonts w:ascii="Times New Roman"/>
          <w:sz w:val="20"/>
        </w:rPr>
      </w:pPr>
      <w:bookmarkStart w:id="41" w:name="_bookmark2"/>
      <w:bookmarkEnd w:id="41"/>
      <w:r>
        <w:rPr>
          <w:rFonts w:ascii="Times New Roman"/>
          <w:position w:val="7"/>
          <w:sz w:val="13"/>
        </w:rPr>
        <w:t xml:space="preserve">3 </w:t>
      </w:r>
      <w:r>
        <w:rPr>
          <w:rFonts w:ascii="Times New Roman"/>
          <w:sz w:val="20"/>
        </w:rPr>
        <w:t>The current date refers to the current system date when the data quality checks are being executed</w:t>
      </w:r>
    </w:p>
    <w:p w14:paraId="06999633" w14:textId="77777777" w:rsidR="00D757DA" w:rsidRDefault="0033254E">
      <w:pPr>
        <w:ind w:left="120" w:right="1761"/>
        <w:rPr>
          <w:rFonts w:ascii="Times New Roman"/>
          <w:sz w:val="20"/>
        </w:rPr>
      </w:pPr>
      <w:bookmarkStart w:id="42" w:name="_bookmark3"/>
      <w:bookmarkEnd w:id="42"/>
      <w:r>
        <w:rPr>
          <w:rFonts w:ascii="Times New Roman"/>
          <w:position w:val="7"/>
          <w:sz w:val="13"/>
        </w:rPr>
        <w:t xml:space="preserve">4 </w:t>
      </w:r>
      <w:r>
        <w:rPr>
          <w:rFonts w:ascii="Times New Roman"/>
          <w:sz w:val="20"/>
        </w:rPr>
        <w:t>When the Design Filing date is equal or later than the date of enforcement of the Locarno Agreement in the respective country</w:t>
      </w:r>
    </w:p>
    <w:p w14:paraId="4D23C54B" w14:textId="77777777" w:rsidR="00D757DA" w:rsidRDefault="00D757DA">
      <w:pPr>
        <w:rPr>
          <w:rFonts w:ascii="Times New Roman"/>
          <w:sz w:val="20"/>
        </w:rPr>
        <w:sectPr w:rsidR="00D757DA">
          <w:pgSz w:w="11910" w:h="16840"/>
          <w:pgMar w:top="1440" w:right="0" w:bottom="1160" w:left="1320" w:header="0" w:footer="881" w:gutter="0"/>
          <w:cols w:space="708"/>
        </w:sectPr>
      </w:pPr>
    </w:p>
    <w:p w14:paraId="7054B2DF" w14:textId="77777777" w:rsidR="00D757DA" w:rsidRDefault="0033254E">
      <w:pPr>
        <w:pStyle w:val="Odstavecseseznamem"/>
        <w:numPr>
          <w:ilvl w:val="1"/>
          <w:numId w:val="37"/>
        </w:numPr>
        <w:tabs>
          <w:tab w:val="left" w:pos="829"/>
        </w:tabs>
        <w:spacing w:before="81"/>
        <w:ind w:right="1436" w:firstLine="0"/>
        <w:jc w:val="both"/>
      </w:pPr>
      <w:r>
        <w:lastRenderedPageBreak/>
        <w:t>The EUIPO shall send an evaluation report to the IPO, based on the administration tool, no later than 30 calendar days following the expiration date of each service period. The IPO shall provide its conformity statement within 21 calendar days from the date of receiving the EUIPO’s evaluation. The EUIPO shall have 15 calendar days to approve or reject this conformity,</w:t>
      </w:r>
      <w:r>
        <w:rPr>
          <w:spacing w:val="-9"/>
        </w:rPr>
        <w:t xml:space="preserve"> </w:t>
      </w:r>
      <w:r>
        <w:t>or</w:t>
      </w:r>
      <w:r>
        <w:rPr>
          <w:spacing w:val="-12"/>
        </w:rPr>
        <w:t xml:space="preserve"> </w:t>
      </w:r>
      <w:r>
        <w:t>to</w:t>
      </w:r>
      <w:r>
        <w:rPr>
          <w:spacing w:val="-13"/>
        </w:rPr>
        <w:t xml:space="preserve"> </w:t>
      </w:r>
      <w:r>
        <w:t>require</w:t>
      </w:r>
      <w:r>
        <w:rPr>
          <w:spacing w:val="-13"/>
        </w:rPr>
        <w:t xml:space="preserve"> </w:t>
      </w:r>
      <w:r>
        <w:t>any</w:t>
      </w:r>
      <w:r>
        <w:rPr>
          <w:spacing w:val="-9"/>
        </w:rPr>
        <w:t xml:space="preserve"> </w:t>
      </w:r>
      <w:r>
        <w:t>supporting</w:t>
      </w:r>
      <w:r>
        <w:rPr>
          <w:spacing w:val="-14"/>
        </w:rPr>
        <w:t xml:space="preserve"> </w:t>
      </w:r>
      <w:r>
        <w:t>documentation</w:t>
      </w:r>
      <w:r>
        <w:rPr>
          <w:spacing w:val="-11"/>
        </w:rPr>
        <w:t xml:space="preserve"> </w:t>
      </w:r>
      <w:r>
        <w:t>or</w:t>
      </w:r>
      <w:r>
        <w:rPr>
          <w:spacing w:val="-12"/>
        </w:rPr>
        <w:t xml:space="preserve"> </w:t>
      </w:r>
      <w:r>
        <w:t>additional</w:t>
      </w:r>
      <w:r>
        <w:rPr>
          <w:spacing w:val="-11"/>
        </w:rPr>
        <w:t xml:space="preserve"> </w:t>
      </w:r>
      <w:r>
        <w:t>information.</w:t>
      </w:r>
      <w:r>
        <w:rPr>
          <w:spacing w:val="-12"/>
        </w:rPr>
        <w:t xml:space="preserve"> </w:t>
      </w:r>
      <w:r>
        <w:t>If</w:t>
      </w:r>
      <w:r>
        <w:rPr>
          <w:spacing w:val="-9"/>
        </w:rPr>
        <w:t xml:space="preserve"> </w:t>
      </w:r>
      <w:r>
        <w:t>necessary, the IPO shall have 15 calendar days, as from the date of the EUIPO’s request, to submit the requested additional information or a new conformity</w:t>
      </w:r>
      <w:r>
        <w:rPr>
          <w:spacing w:val="-13"/>
        </w:rPr>
        <w:t xml:space="preserve"> </w:t>
      </w:r>
      <w:r>
        <w:t>statement.</w:t>
      </w:r>
    </w:p>
    <w:p w14:paraId="7C5F130A" w14:textId="77777777" w:rsidR="00D757DA" w:rsidRDefault="00D757DA">
      <w:pPr>
        <w:pStyle w:val="Zkladntext"/>
        <w:spacing w:before="11"/>
        <w:rPr>
          <w:sz w:val="20"/>
        </w:rPr>
      </w:pPr>
    </w:p>
    <w:p w14:paraId="666A548D" w14:textId="77777777" w:rsidR="00D757DA" w:rsidRDefault="0033254E">
      <w:pPr>
        <w:pStyle w:val="Odstavecseseznamem"/>
        <w:numPr>
          <w:ilvl w:val="1"/>
          <w:numId w:val="37"/>
        </w:numPr>
        <w:tabs>
          <w:tab w:val="left" w:pos="829"/>
        </w:tabs>
        <w:ind w:right="1436" w:firstLine="0"/>
        <w:jc w:val="both"/>
      </w:pPr>
      <w:r>
        <w:t>The</w:t>
      </w:r>
      <w:r>
        <w:rPr>
          <w:spacing w:val="-7"/>
        </w:rPr>
        <w:t xml:space="preserve"> </w:t>
      </w:r>
      <w:r>
        <w:t>EUIPO</w:t>
      </w:r>
      <w:r>
        <w:rPr>
          <w:spacing w:val="-11"/>
        </w:rPr>
        <w:t xml:space="preserve"> </w:t>
      </w:r>
      <w:r>
        <w:t>may</w:t>
      </w:r>
      <w:r>
        <w:rPr>
          <w:spacing w:val="-6"/>
        </w:rPr>
        <w:t xml:space="preserve"> </w:t>
      </w:r>
      <w:r>
        <w:t>propose</w:t>
      </w:r>
      <w:r>
        <w:rPr>
          <w:spacing w:val="-10"/>
        </w:rPr>
        <w:t xml:space="preserve"> </w:t>
      </w:r>
      <w:r>
        <w:t>an</w:t>
      </w:r>
      <w:r>
        <w:rPr>
          <w:spacing w:val="-8"/>
        </w:rPr>
        <w:t xml:space="preserve"> </w:t>
      </w:r>
      <w:r>
        <w:t>adjustment</w:t>
      </w:r>
      <w:r>
        <w:rPr>
          <w:spacing w:val="-7"/>
        </w:rPr>
        <w:t xml:space="preserve"> </w:t>
      </w:r>
      <w:r>
        <w:t>to</w:t>
      </w:r>
      <w:r>
        <w:rPr>
          <w:spacing w:val="-10"/>
        </w:rPr>
        <w:t xml:space="preserve"> </w:t>
      </w:r>
      <w:r>
        <w:t>the</w:t>
      </w:r>
      <w:r>
        <w:rPr>
          <w:spacing w:val="-10"/>
        </w:rPr>
        <w:t xml:space="preserve"> </w:t>
      </w:r>
      <w:r>
        <w:t>service</w:t>
      </w:r>
      <w:r>
        <w:rPr>
          <w:spacing w:val="-6"/>
        </w:rPr>
        <w:t xml:space="preserve"> </w:t>
      </w:r>
      <w:r>
        <w:t>level</w:t>
      </w:r>
      <w:r>
        <w:rPr>
          <w:spacing w:val="-8"/>
        </w:rPr>
        <w:t xml:space="preserve"> </w:t>
      </w:r>
      <w:r>
        <w:t>and/or</w:t>
      </w:r>
      <w:r>
        <w:rPr>
          <w:spacing w:val="-9"/>
        </w:rPr>
        <w:t xml:space="preserve"> </w:t>
      </w:r>
      <w:r>
        <w:t>financial</w:t>
      </w:r>
      <w:r>
        <w:rPr>
          <w:spacing w:val="-7"/>
        </w:rPr>
        <w:t xml:space="preserve"> </w:t>
      </w:r>
      <w:r>
        <w:t>allowance scheme on an annual basis in accordance with the overall performance of all participating IPOs. It may also adjust the maximum annual amount foreseen in Article 3 of the Special Conditions in accordance with the overall performance observed during each service period. In</w:t>
      </w:r>
      <w:r>
        <w:rPr>
          <w:spacing w:val="-17"/>
        </w:rPr>
        <w:t xml:space="preserve"> </w:t>
      </w:r>
      <w:r>
        <w:t>doing</w:t>
      </w:r>
      <w:r>
        <w:rPr>
          <w:spacing w:val="-15"/>
        </w:rPr>
        <w:t xml:space="preserve"> </w:t>
      </w:r>
      <w:r>
        <w:t>so,</w:t>
      </w:r>
      <w:r>
        <w:rPr>
          <w:spacing w:val="-15"/>
        </w:rPr>
        <w:t xml:space="preserve"> </w:t>
      </w:r>
      <w:r>
        <w:t>the</w:t>
      </w:r>
      <w:r>
        <w:rPr>
          <w:spacing w:val="-17"/>
        </w:rPr>
        <w:t xml:space="preserve"> </w:t>
      </w:r>
      <w:r>
        <w:t>EUIPO</w:t>
      </w:r>
      <w:r>
        <w:rPr>
          <w:spacing w:val="-15"/>
        </w:rPr>
        <w:t xml:space="preserve"> </w:t>
      </w:r>
      <w:r>
        <w:t>shall</w:t>
      </w:r>
      <w:r>
        <w:rPr>
          <w:spacing w:val="-15"/>
        </w:rPr>
        <w:t xml:space="preserve"> </w:t>
      </w:r>
      <w:r>
        <w:t>apply</w:t>
      </w:r>
      <w:r>
        <w:rPr>
          <w:spacing w:val="-16"/>
        </w:rPr>
        <w:t xml:space="preserve"> </w:t>
      </w:r>
      <w:r>
        <w:t>the</w:t>
      </w:r>
      <w:r>
        <w:rPr>
          <w:spacing w:val="-17"/>
        </w:rPr>
        <w:t xml:space="preserve"> </w:t>
      </w:r>
      <w:r>
        <w:t>principle</w:t>
      </w:r>
      <w:r>
        <w:rPr>
          <w:spacing w:val="-14"/>
        </w:rPr>
        <w:t xml:space="preserve"> </w:t>
      </w:r>
      <w:r>
        <w:t>of</w:t>
      </w:r>
      <w:r>
        <w:rPr>
          <w:spacing w:val="-18"/>
        </w:rPr>
        <w:t xml:space="preserve"> </w:t>
      </w:r>
      <w:r>
        <w:t>co-financing</w:t>
      </w:r>
      <w:r>
        <w:rPr>
          <w:spacing w:val="-16"/>
        </w:rPr>
        <w:t xml:space="preserve"> </w:t>
      </w:r>
      <w:r>
        <w:t>as</w:t>
      </w:r>
      <w:r>
        <w:rPr>
          <w:spacing w:val="-17"/>
        </w:rPr>
        <w:t xml:space="preserve"> </w:t>
      </w:r>
      <w:r>
        <w:t>decided</w:t>
      </w:r>
      <w:r>
        <w:rPr>
          <w:spacing w:val="-16"/>
        </w:rPr>
        <w:t xml:space="preserve"> </w:t>
      </w:r>
      <w:r>
        <w:t>by</w:t>
      </w:r>
      <w:r>
        <w:rPr>
          <w:spacing w:val="-17"/>
        </w:rPr>
        <w:t xml:space="preserve"> </w:t>
      </w:r>
      <w:r>
        <w:t>the</w:t>
      </w:r>
      <w:r>
        <w:rPr>
          <w:spacing w:val="-16"/>
        </w:rPr>
        <w:t xml:space="preserve"> </w:t>
      </w:r>
      <w:r>
        <w:t>Management Board.</w:t>
      </w:r>
    </w:p>
    <w:p w14:paraId="183A910C" w14:textId="77777777" w:rsidR="00D757DA" w:rsidRDefault="00D757DA">
      <w:pPr>
        <w:pStyle w:val="Zkladntext"/>
        <w:spacing w:before="9"/>
        <w:rPr>
          <w:sz w:val="20"/>
        </w:rPr>
      </w:pPr>
    </w:p>
    <w:p w14:paraId="19DB3B73" w14:textId="77777777" w:rsidR="00D757DA" w:rsidRDefault="0033254E">
      <w:pPr>
        <w:pStyle w:val="Odstavecseseznamem"/>
        <w:numPr>
          <w:ilvl w:val="1"/>
          <w:numId w:val="37"/>
        </w:numPr>
        <w:tabs>
          <w:tab w:val="left" w:pos="829"/>
        </w:tabs>
        <w:spacing w:before="1"/>
        <w:ind w:right="1432" w:firstLine="0"/>
        <w:jc w:val="both"/>
      </w:pPr>
      <w:r>
        <w:t>If this Agreement is terminated by the EUIPO before the expiry of the fourth year after the</w:t>
      </w:r>
      <w:r>
        <w:rPr>
          <w:spacing w:val="-14"/>
        </w:rPr>
        <w:t xml:space="preserve"> </w:t>
      </w:r>
      <w:r>
        <w:t>integration</w:t>
      </w:r>
      <w:r>
        <w:rPr>
          <w:spacing w:val="-14"/>
        </w:rPr>
        <w:t xml:space="preserve"> </w:t>
      </w:r>
      <w:r>
        <w:t>of</w:t>
      </w:r>
      <w:r>
        <w:rPr>
          <w:spacing w:val="-15"/>
        </w:rPr>
        <w:t xml:space="preserve"> </w:t>
      </w:r>
      <w:r>
        <w:t>the</w:t>
      </w:r>
      <w:r>
        <w:rPr>
          <w:spacing w:val="-18"/>
        </w:rPr>
        <w:t xml:space="preserve"> </w:t>
      </w:r>
      <w:r>
        <w:t>IPO</w:t>
      </w:r>
      <w:r>
        <w:rPr>
          <w:spacing w:val="-17"/>
        </w:rPr>
        <w:t xml:space="preserve"> </w:t>
      </w:r>
      <w:r>
        <w:t>into</w:t>
      </w:r>
      <w:r>
        <w:rPr>
          <w:spacing w:val="-15"/>
        </w:rPr>
        <w:t xml:space="preserve"> </w:t>
      </w:r>
      <w:r>
        <w:t>the</w:t>
      </w:r>
      <w:r>
        <w:rPr>
          <w:spacing w:val="-15"/>
        </w:rPr>
        <w:t xml:space="preserve"> </w:t>
      </w:r>
      <w:r>
        <w:t>applications,</w:t>
      </w:r>
      <w:r>
        <w:rPr>
          <w:spacing w:val="-15"/>
        </w:rPr>
        <w:t xml:space="preserve"> </w:t>
      </w:r>
      <w:r>
        <w:t>the</w:t>
      </w:r>
      <w:r>
        <w:rPr>
          <w:spacing w:val="-19"/>
        </w:rPr>
        <w:t xml:space="preserve"> </w:t>
      </w:r>
      <w:r>
        <w:t>IPO</w:t>
      </w:r>
      <w:r>
        <w:rPr>
          <w:spacing w:val="-14"/>
        </w:rPr>
        <w:t xml:space="preserve"> </w:t>
      </w:r>
      <w:r>
        <w:t>may</w:t>
      </w:r>
      <w:r>
        <w:rPr>
          <w:spacing w:val="-16"/>
        </w:rPr>
        <w:t xml:space="preserve"> </w:t>
      </w:r>
      <w:r>
        <w:t>not</w:t>
      </w:r>
      <w:r>
        <w:rPr>
          <w:spacing w:val="-15"/>
        </w:rPr>
        <w:t xml:space="preserve"> </w:t>
      </w:r>
      <w:r>
        <w:t>refund</w:t>
      </w:r>
      <w:r>
        <w:rPr>
          <w:spacing w:val="-15"/>
        </w:rPr>
        <w:t xml:space="preserve"> </w:t>
      </w:r>
      <w:r>
        <w:t>the</w:t>
      </w:r>
      <w:r>
        <w:rPr>
          <w:spacing w:val="-16"/>
        </w:rPr>
        <w:t xml:space="preserve"> </w:t>
      </w:r>
      <w:r>
        <w:t>set-up</w:t>
      </w:r>
      <w:r>
        <w:rPr>
          <w:spacing w:val="-16"/>
        </w:rPr>
        <w:t xml:space="preserve"> </w:t>
      </w:r>
      <w:r>
        <w:t>costs,</w:t>
      </w:r>
      <w:r>
        <w:rPr>
          <w:spacing w:val="-12"/>
        </w:rPr>
        <w:t xml:space="preserve"> </w:t>
      </w:r>
      <w:r>
        <w:t>except if the termination is due to non-compliance with the current</w:t>
      </w:r>
      <w:r>
        <w:rPr>
          <w:spacing w:val="-11"/>
        </w:rPr>
        <w:t xml:space="preserve"> </w:t>
      </w:r>
      <w:r>
        <w:t>Agreement.</w:t>
      </w:r>
    </w:p>
    <w:p w14:paraId="0A846633" w14:textId="77777777" w:rsidR="00D757DA" w:rsidRDefault="00D757DA">
      <w:pPr>
        <w:pStyle w:val="Zkladntext"/>
        <w:spacing w:before="5"/>
        <w:rPr>
          <w:sz w:val="31"/>
        </w:rPr>
      </w:pPr>
    </w:p>
    <w:p w14:paraId="14516794" w14:textId="77777777" w:rsidR="00D757DA" w:rsidRDefault="0033254E">
      <w:pPr>
        <w:pStyle w:val="Nadpis3"/>
      </w:pPr>
      <w:bookmarkStart w:id="43" w:name="ARTICLE_32_-_MAINTENANCE_OF_COMMON_TOOLS"/>
      <w:bookmarkEnd w:id="43"/>
      <w:r>
        <w:t>ARTICLE 32 - MAINTENANCE OF COMMON TOOLS</w:t>
      </w:r>
    </w:p>
    <w:p w14:paraId="11FF6353" w14:textId="77777777" w:rsidR="00D757DA" w:rsidRDefault="00D757DA">
      <w:pPr>
        <w:pStyle w:val="Zkladntext"/>
        <w:spacing w:before="9"/>
        <w:rPr>
          <w:b/>
          <w:sz w:val="20"/>
        </w:rPr>
      </w:pPr>
    </w:p>
    <w:p w14:paraId="0D92105E" w14:textId="77777777" w:rsidR="00D757DA" w:rsidRDefault="0033254E">
      <w:pPr>
        <w:pStyle w:val="Odstavecseseznamem"/>
        <w:numPr>
          <w:ilvl w:val="1"/>
          <w:numId w:val="20"/>
        </w:numPr>
        <w:tabs>
          <w:tab w:val="left" w:pos="829"/>
        </w:tabs>
        <w:ind w:right="1437" w:firstLine="0"/>
        <w:jc w:val="both"/>
      </w:pPr>
      <w:r>
        <w:t>The EUIPO shall be responsible for the central hosting and maintenance of the common tools and IT solutions once they are successfully put into production (hereafter, “the go-live”).</w:t>
      </w:r>
    </w:p>
    <w:p w14:paraId="378A95E1" w14:textId="77777777" w:rsidR="00D757DA" w:rsidRDefault="00D757DA">
      <w:pPr>
        <w:pStyle w:val="Zkladntext"/>
        <w:spacing w:before="9"/>
        <w:rPr>
          <w:sz w:val="20"/>
        </w:rPr>
      </w:pPr>
    </w:p>
    <w:p w14:paraId="5AA4A743" w14:textId="77777777" w:rsidR="00D757DA" w:rsidRDefault="0033254E">
      <w:pPr>
        <w:pStyle w:val="Odstavecseseznamem"/>
        <w:numPr>
          <w:ilvl w:val="1"/>
          <w:numId w:val="20"/>
        </w:numPr>
        <w:tabs>
          <w:tab w:val="left" w:pos="841"/>
        </w:tabs>
        <w:spacing w:before="1"/>
        <w:ind w:right="1433" w:firstLine="0"/>
        <w:jc w:val="both"/>
      </w:pPr>
      <w:r>
        <w:t>The</w:t>
      </w:r>
      <w:r>
        <w:rPr>
          <w:spacing w:val="-12"/>
        </w:rPr>
        <w:t xml:space="preserve"> </w:t>
      </w:r>
      <w:r>
        <w:t>EUIPO</w:t>
      </w:r>
      <w:r>
        <w:rPr>
          <w:spacing w:val="-12"/>
        </w:rPr>
        <w:t xml:space="preserve"> </w:t>
      </w:r>
      <w:r>
        <w:t>shall</w:t>
      </w:r>
      <w:r>
        <w:rPr>
          <w:spacing w:val="-14"/>
        </w:rPr>
        <w:t xml:space="preserve"> </w:t>
      </w:r>
      <w:r>
        <w:t>manage</w:t>
      </w:r>
      <w:r>
        <w:rPr>
          <w:spacing w:val="-11"/>
        </w:rPr>
        <w:t xml:space="preserve"> </w:t>
      </w:r>
      <w:r>
        <w:t>the</w:t>
      </w:r>
      <w:r>
        <w:rPr>
          <w:spacing w:val="-14"/>
        </w:rPr>
        <w:t xml:space="preserve"> </w:t>
      </w:r>
      <w:r>
        <w:t>corrective</w:t>
      </w:r>
      <w:r>
        <w:rPr>
          <w:spacing w:val="-12"/>
        </w:rPr>
        <w:t xml:space="preserve"> </w:t>
      </w:r>
      <w:r>
        <w:t>and</w:t>
      </w:r>
      <w:r>
        <w:rPr>
          <w:spacing w:val="-14"/>
        </w:rPr>
        <w:t xml:space="preserve"> </w:t>
      </w:r>
      <w:r>
        <w:t>adaptive</w:t>
      </w:r>
      <w:r>
        <w:rPr>
          <w:spacing w:val="-13"/>
        </w:rPr>
        <w:t xml:space="preserve"> </w:t>
      </w:r>
      <w:r>
        <w:t>maintenance</w:t>
      </w:r>
      <w:r>
        <w:rPr>
          <w:spacing w:val="-14"/>
        </w:rPr>
        <w:t xml:space="preserve"> </w:t>
      </w:r>
      <w:r>
        <w:t>tasks</w:t>
      </w:r>
      <w:r>
        <w:rPr>
          <w:spacing w:val="-13"/>
        </w:rPr>
        <w:t xml:space="preserve"> </w:t>
      </w:r>
      <w:r>
        <w:t>of</w:t>
      </w:r>
      <w:r>
        <w:rPr>
          <w:spacing w:val="-12"/>
        </w:rPr>
        <w:t xml:space="preserve"> </w:t>
      </w:r>
      <w:r>
        <w:t>the</w:t>
      </w:r>
      <w:r>
        <w:rPr>
          <w:spacing w:val="-14"/>
        </w:rPr>
        <w:t xml:space="preserve"> </w:t>
      </w:r>
      <w:r>
        <w:t>central site elements of those tools, as well as the provision of licenses, hardware, equipment and hosting</w:t>
      </w:r>
      <w:r>
        <w:rPr>
          <w:spacing w:val="-10"/>
        </w:rPr>
        <w:t xml:space="preserve"> </w:t>
      </w:r>
      <w:r>
        <w:t>services</w:t>
      </w:r>
      <w:r>
        <w:rPr>
          <w:spacing w:val="-10"/>
        </w:rPr>
        <w:t xml:space="preserve"> </w:t>
      </w:r>
      <w:r>
        <w:t>when</w:t>
      </w:r>
      <w:r>
        <w:rPr>
          <w:spacing w:val="-12"/>
        </w:rPr>
        <w:t xml:space="preserve"> </w:t>
      </w:r>
      <w:r>
        <w:t>necessary</w:t>
      </w:r>
      <w:r>
        <w:rPr>
          <w:spacing w:val="-11"/>
        </w:rPr>
        <w:t xml:space="preserve"> </w:t>
      </w:r>
      <w:r>
        <w:t>for</w:t>
      </w:r>
      <w:r>
        <w:rPr>
          <w:spacing w:val="-11"/>
        </w:rPr>
        <w:t xml:space="preserve"> </w:t>
      </w:r>
      <w:r>
        <w:t>those</w:t>
      </w:r>
      <w:r>
        <w:rPr>
          <w:spacing w:val="-12"/>
        </w:rPr>
        <w:t xml:space="preserve"> </w:t>
      </w:r>
      <w:r>
        <w:t>tools.</w:t>
      </w:r>
      <w:r>
        <w:rPr>
          <w:spacing w:val="-11"/>
        </w:rPr>
        <w:t xml:space="preserve"> </w:t>
      </w:r>
      <w:r>
        <w:t>In</w:t>
      </w:r>
      <w:r>
        <w:rPr>
          <w:spacing w:val="-9"/>
        </w:rPr>
        <w:t xml:space="preserve"> </w:t>
      </w:r>
      <w:r>
        <w:t>particular,</w:t>
      </w:r>
      <w:r>
        <w:rPr>
          <w:spacing w:val="-10"/>
        </w:rPr>
        <w:t xml:space="preserve"> </w:t>
      </w:r>
      <w:r>
        <w:t>the</w:t>
      </w:r>
      <w:r>
        <w:rPr>
          <w:spacing w:val="-13"/>
        </w:rPr>
        <w:t xml:space="preserve"> </w:t>
      </w:r>
      <w:r>
        <w:t>EUIPO</w:t>
      </w:r>
      <w:r>
        <w:rPr>
          <w:spacing w:val="-8"/>
        </w:rPr>
        <w:t xml:space="preserve"> </w:t>
      </w:r>
      <w:r>
        <w:t>shall</w:t>
      </w:r>
      <w:r>
        <w:rPr>
          <w:spacing w:val="-7"/>
        </w:rPr>
        <w:t xml:space="preserve"> </w:t>
      </w:r>
      <w:r>
        <w:t>be</w:t>
      </w:r>
      <w:r>
        <w:rPr>
          <w:spacing w:val="-10"/>
        </w:rPr>
        <w:t xml:space="preserve"> </w:t>
      </w:r>
      <w:r>
        <w:t>responsible for the following</w:t>
      </w:r>
      <w:r>
        <w:rPr>
          <w:spacing w:val="-4"/>
        </w:rPr>
        <w:t xml:space="preserve"> </w:t>
      </w:r>
      <w:r>
        <w:t>tasks:</w:t>
      </w:r>
    </w:p>
    <w:p w14:paraId="79B19CF6" w14:textId="77777777" w:rsidR="00D757DA" w:rsidRDefault="00D757DA">
      <w:pPr>
        <w:pStyle w:val="Zkladntext"/>
        <w:spacing w:before="11"/>
        <w:rPr>
          <w:sz w:val="20"/>
        </w:rPr>
      </w:pPr>
    </w:p>
    <w:p w14:paraId="2DDF9197" w14:textId="77777777" w:rsidR="00D757DA" w:rsidRDefault="0033254E">
      <w:pPr>
        <w:pStyle w:val="Odstavecseseznamem"/>
        <w:numPr>
          <w:ilvl w:val="2"/>
          <w:numId w:val="20"/>
        </w:numPr>
        <w:tabs>
          <w:tab w:val="left" w:pos="1254"/>
        </w:tabs>
        <w:ind w:right="1436"/>
        <w:jc w:val="both"/>
      </w:pPr>
      <w:r>
        <w:t>maintaining a regular flow of information and feedback from IPOs and users on the</w:t>
      </w:r>
      <w:r>
        <w:rPr>
          <w:spacing w:val="-3"/>
        </w:rPr>
        <w:t xml:space="preserve"> </w:t>
      </w:r>
      <w:proofErr w:type="gramStart"/>
      <w:r>
        <w:t>tools;</w:t>
      </w:r>
      <w:proofErr w:type="gramEnd"/>
    </w:p>
    <w:p w14:paraId="74E10A05" w14:textId="77777777" w:rsidR="00D757DA" w:rsidRDefault="00D757DA">
      <w:pPr>
        <w:pStyle w:val="Zkladntext"/>
        <w:spacing w:before="10"/>
        <w:rPr>
          <w:sz w:val="20"/>
        </w:rPr>
      </w:pPr>
    </w:p>
    <w:p w14:paraId="784A5C8C" w14:textId="77777777" w:rsidR="00D757DA" w:rsidRDefault="0033254E">
      <w:pPr>
        <w:pStyle w:val="Odstavecseseznamem"/>
        <w:numPr>
          <w:ilvl w:val="2"/>
          <w:numId w:val="20"/>
        </w:numPr>
        <w:tabs>
          <w:tab w:val="left" w:pos="1253"/>
          <w:tab w:val="left" w:pos="1254"/>
        </w:tabs>
        <w:ind w:hanging="426"/>
      </w:pPr>
      <w:r>
        <w:t>managing general statistics on the use and performance of the</w:t>
      </w:r>
      <w:r>
        <w:rPr>
          <w:spacing w:val="-15"/>
        </w:rPr>
        <w:t xml:space="preserve"> </w:t>
      </w:r>
      <w:proofErr w:type="gramStart"/>
      <w:r>
        <w:t>tools;</w:t>
      </w:r>
      <w:proofErr w:type="gramEnd"/>
    </w:p>
    <w:p w14:paraId="57CD5514" w14:textId="77777777" w:rsidR="00D757DA" w:rsidRDefault="00D757DA">
      <w:pPr>
        <w:pStyle w:val="Zkladntext"/>
        <w:spacing w:before="9"/>
        <w:rPr>
          <w:sz w:val="20"/>
        </w:rPr>
      </w:pPr>
    </w:p>
    <w:p w14:paraId="7B45C198" w14:textId="77777777" w:rsidR="00D757DA" w:rsidRDefault="0033254E">
      <w:pPr>
        <w:pStyle w:val="Odstavecseseznamem"/>
        <w:numPr>
          <w:ilvl w:val="2"/>
          <w:numId w:val="20"/>
        </w:numPr>
        <w:tabs>
          <w:tab w:val="left" w:pos="1254"/>
        </w:tabs>
        <w:ind w:right="1438"/>
        <w:jc w:val="both"/>
      </w:pPr>
      <w:r>
        <w:t>if necessary, liaising between IPOs and the EUIPO’s external service providers (e.g.</w:t>
      </w:r>
      <w:r>
        <w:rPr>
          <w:spacing w:val="-17"/>
        </w:rPr>
        <w:t xml:space="preserve"> </w:t>
      </w:r>
      <w:r>
        <w:t>software</w:t>
      </w:r>
      <w:r>
        <w:rPr>
          <w:spacing w:val="-17"/>
        </w:rPr>
        <w:t xml:space="preserve"> </w:t>
      </w:r>
      <w:r>
        <w:t>development,</w:t>
      </w:r>
      <w:r>
        <w:rPr>
          <w:spacing w:val="-18"/>
        </w:rPr>
        <w:t xml:space="preserve"> </w:t>
      </w:r>
      <w:r>
        <w:t>hosting</w:t>
      </w:r>
      <w:r>
        <w:rPr>
          <w:spacing w:val="-20"/>
        </w:rPr>
        <w:t xml:space="preserve"> </w:t>
      </w:r>
      <w:r>
        <w:t>services),</w:t>
      </w:r>
      <w:r>
        <w:rPr>
          <w:spacing w:val="-18"/>
        </w:rPr>
        <w:t xml:space="preserve"> </w:t>
      </w:r>
      <w:r>
        <w:t>in</w:t>
      </w:r>
      <w:r>
        <w:rPr>
          <w:spacing w:val="-18"/>
        </w:rPr>
        <w:t xml:space="preserve"> </w:t>
      </w:r>
      <w:r>
        <w:t>particular</w:t>
      </w:r>
      <w:r>
        <w:rPr>
          <w:spacing w:val="-16"/>
        </w:rPr>
        <w:t xml:space="preserve"> </w:t>
      </w:r>
      <w:r>
        <w:t>in</w:t>
      </w:r>
      <w:r>
        <w:rPr>
          <w:spacing w:val="-19"/>
        </w:rPr>
        <w:t xml:space="preserve"> </w:t>
      </w:r>
      <w:r>
        <w:t>relation</w:t>
      </w:r>
      <w:r>
        <w:rPr>
          <w:spacing w:val="-20"/>
        </w:rPr>
        <w:t xml:space="preserve"> </w:t>
      </w:r>
      <w:r>
        <w:t>to</w:t>
      </w:r>
      <w:r>
        <w:rPr>
          <w:spacing w:val="-17"/>
        </w:rPr>
        <w:t xml:space="preserve"> </w:t>
      </w:r>
      <w:r>
        <w:t>integration and set-up adjustments with common tools, performed by</w:t>
      </w:r>
      <w:r>
        <w:rPr>
          <w:spacing w:val="-15"/>
        </w:rPr>
        <w:t xml:space="preserve"> </w:t>
      </w:r>
      <w:proofErr w:type="gramStart"/>
      <w:r>
        <w:t>IPOs;</w:t>
      </w:r>
      <w:proofErr w:type="gramEnd"/>
    </w:p>
    <w:p w14:paraId="3E20E28C" w14:textId="77777777" w:rsidR="00D757DA" w:rsidRDefault="00D757DA">
      <w:pPr>
        <w:pStyle w:val="Zkladntext"/>
        <w:spacing w:before="10"/>
        <w:rPr>
          <w:sz w:val="20"/>
        </w:rPr>
      </w:pPr>
    </w:p>
    <w:p w14:paraId="0E9FF84B" w14:textId="77777777" w:rsidR="00D757DA" w:rsidRDefault="0033254E">
      <w:pPr>
        <w:pStyle w:val="Odstavecseseznamem"/>
        <w:numPr>
          <w:ilvl w:val="2"/>
          <w:numId w:val="20"/>
        </w:numPr>
        <w:tabs>
          <w:tab w:val="left" w:pos="1254"/>
        </w:tabs>
        <w:ind w:right="1437"/>
        <w:jc w:val="both"/>
      </w:pPr>
      <w:r>
        <w:t xml:space="preserve">planning, managing, delivering and communicating releases for corrective and adaptive maintenance, including approving relevant release documentation and </w:t>
      </w:r>
      <w:proofErr w:type="gramStart"/>
      <w:r>
        <w:t>artefacts;</w:t>
      </w:r>
      <w:proofErr w:type="gramEnd"/>
    </w:p>
    <w:p w14:paraId="2A050A26" w14:textId="77777777" w:rsidR="00D757DA" w:rsidRDefault="00D757DA">
      <w:pPr>
        <w:pStyle w:val="Zkladntext"/>
        <w:spacing w:before="10"/>
        <w:rPr>
          <w:sz w:val="20"/>
        </w:rPr>
      </w:pPr>
    </w:p>
    <w:p w14:paraId="1E63106D" w14:textId="77777777" w:rsidR="00D757DA" w:rsidRDefault="0033254E">
      <w:pPr>
        <w:pStyle w:val="Odstavecseseznamem"/>
        <w:numPr>
          <w:ilvl w:val="2"/>
          <w:numId w:val="20"/>
        </w:numPr>
        <w:tabs>
          <w:tab w:val="left" w:pos="1253"/>
          <w:tab w:val="left" w:pos="1254"/>
        </w:tabs>
        <w:ind w:hanging="426"/>
      </w:pPr>
      <w:proofErr w:type="spellStart"/>
      <w:r>
        <w:t>organising</w:t>
      </w:r>
      <w:proofErr w:type="spellEnd"/>
      <w:r>
        <w:t xml:space="preserve"> acceptance</w:t>
      </w:r>
      <w:r>
        <w:rPr>
          <w:spacing w:val="-3"/>
        </w:rPr>
        <w:t xml:space="preserve"> </w:t>
      </w:r>
      <w:proofErr w:type="gramStart"/>
      <w:r>
        <w:t>tests;</w:t>
      </w:r>
      <w:proofErr w:type="gramEnd"/>
    </w:p>
    <w:p w14:paraId="5979D70D" w14:textId="77777777" w:rsidR="00D757DA" w:rsidRDefault="00D757DA">
      <w:pPr>
        <w:pStyle w:val="Zkladntext"/>
        <w:rPr>
          <w:sz w:val="21"/>
        </w:rPr>
      </w:pPr>
    </w:p>
    <w:p w14:paraId="323BE311" w14:textId="77777777" w:rsidR="00D757DA" w:rsidRDefault="0033254E">
      <w:pPr>
        <w:pStyle w:val="Odstavecseseznamem"/>
        <w:numPr>
          <w:ilvl w:val="2"/>
          <w:numId w:val="20"/>
        </w:numPr>
        <w:tabs>
          <w:tab w:val="left" w:pos="1253"/>
          <w:tab w:val="left" w:pos="1254"/>
        </w:tabs>
        <w:ind w:hanging="426"/>
      </w:pPr>
      <w:r>
        <w:t>coordinating training for IPOs in relation to tools and</w:t>
      </w:r>
      <w:r>
        <w:rPr>
          <w:spacing w:val="-11"/>
        </w:rPr>
        <w:t xml:space="preserve"> </w:t>
      </w:r>
      <w:proofErr w:type="gramStart"/>
      <w:r>
        <w:t>releases;</w:t>
      </w:r>
      <w:proofErr w:type="gramEnd"/>
    </w:p>
    <w:p w14:paraId="3E82D8BF" w14:textId="77777777" w:rsidR="00D757DA" w:rsidRDefault="00D757DA">
      <w:pPr>
        <w:pStyle w:val="Zkladntext"/>
        <w:spacing w:before="9"/>
        <w:rPr>
          <w:sz w:val="20"/>
        </w:rPr>
      </w:pPr>
    </w:p>
    <w:p w14:paraId="3CC1DB7F" w14:textId="77777777" w:rsidR="00D757DA" w:rsidRDefault="0033254E">
      <w:pPr>
        <w:pStyle w:val="Odstavecseseznamem"/>
        <w:numPr>
          <w:ilvl w:val="2"/>
          <w:numId w:val="20"/>
        </w:numPr>
        <w:tabs>
          <w:tab w:val="left" w:pos="1253"/>
          <w:tab w:val="left" w:pos="1254"/>
        </w:tabs>
        <w:ind w:hanging="426"/>
      </w:pPr>
      <w:r>
        <w:t>promoting tools among users in collaboration with</w:t>
      </w:r>
      <w:r>
        <w:rPr>
          <w:spacing w:val="-10"/>
        </w:rPr>
        <w:t xml:space="preserve"> </w:t>
      </w:r>
      <w:r>
        <w:t>IPOs.</w:t>
      </w:r>
    </w:p>
    <w:p w14:paraId="740E753E" w14:textId="77777777" w:rsidR="00D757DA" w:rsidRDefault="00D757DA">
      <w:pPr>
        <w:pStyle w:val="Zkladntext"/>
        <w:rPr>
          <w:sz w:val="24"/>
        </w:rPr>
      </w:pPr>
    </w:p>
    <w:p w14:paraId="69B4D11E" w14:textId="77777777" w:rsidR="00D757DA" w:rsidRDefault="00D757DA">
      <w:pPr>
        <w:pStyle w:val="Zkladntext"/>
        <w:spacing w:before="10"/>
        <w:rPr>
          <w:sz w:val="18"/>
        </w:rPr>
      </w:pPr>
    </w:p>
    <w:p w14:paraId="58C76701" w14:textId="77777777" w:rsidR="00D757DA" w:rsidRDefault="0033254E">
      <w:pPr>
        <w:pStyle w:val="Odstavecseseznamem"/>
        <w:numPr>
          <w:ilvl w:val="1"/>
          <w:numId w:val="20"/>
        </w:numPr>
        <w:tabs>
          <w:tab w:val="left" w:pos="829"/>
        </w:tabs>
        <w:spacing w:line="252" w:lineRule="exact"/>
        <w:ind w:left="828" w:hanging="709"/>
        <w:jc w:val="both"/>
      </w:pPr>
      <w:r>
        <w:t>The EUIPO shall manage these activities as part of its IT, stakeholders’</w:t>
      </w:r>
      <w:r>
        <w:rPr>
          <w:spacing w:val="18"/>
        </w:rPr>
        <w:t xml:space="preserve"> </w:t>
      </w:r>
      <w:r>
        <w:t>management</w:t>
      </w:r>
    </w:p>
    <w:p w14:paraId="74C77BE9" w14:textId="77777777" w:rsidR="00D757DA" w:rsidRDefault="0033254E">
      <w:pPr>
        <w:pStyle w:val="Zkladntext"/>
        <w:spacing w:line="252" w:lineRule="exact"/>
        <w:ind w:left="120"/>
      </w:pPr>
      <w:r>
        <w:t>and capacity-building activities.</w:t>
      </w:r>
    </w:p>
    <w:p w14:paraId="23E97EBA" w14:textId="77777777" w:rsidR="00D757DA" w:rsidRDefault="00D757DA">
      <w:pPr>
        <w:spacing w:line="252" w:lineRule="exact"/>
        <w:sectPr w:rsidR="00D757DA">
          <w:pgSz w:w="11910" w:h="16840"/>
          <w:pgMar w:top="1340" w:right="0" w:bottom="1160" w:left="1320" w:header="0" w:footer="881" w:gutter="0"/>
          <w:cols w:space="708"/>
        </w:sectPr>
      </w:pPr>
    </w:p>
    <w:p w14:paraId="4FAF5A65" w14:textId="77777777" w:rsidR="00D757DA" w:rsidRDefault="0033254E">
      <w:pPr>
        <w:pStyle w:val="Odstavecseseznamem"/>
        <w:numPr>
          <w:ilvl w:val="1"/>
          <w:numId w:val="20"/>
        </w:numPr>
        <w:tabs>
          <w:tab w:val="left" w:pos="829"/>
        </w:tabs>
        <w:spacing w:before="81"/>
        <w:ind w:right="1433" w:firstLine="0"/>
        <w:jc w:val="both"/>
      </w:pPr>
      <w:r>
        <w:lastRenderedPageBreak/>
        <w:t>The IPO shall manage the development and installation of adjustments to integration layers</w:t>
      </w:r>
      <w:r>
        <w:rPr>
          <w:spacing w:val="-4"/>
        </w:rPr>
        <w:t xml:space="preserve"> </w:t>
      </w:r>
      <w:r>
        <w:t>and</w:t>
      </w:r>
      <w:r>
        <w:rPr>
          <w:spacing w:val="-3"/>
        </w:rPr>
        <w:t xml:space="preserve"> </w:t>
      </w:r>
      <w:r>
        <w:t>set-up</w:t>
      </w:r>
      <w:r>
        <w:rPr>
          <w:spacing w:val="-6"/>
        </w:rPr>
        <w:t xml:space="preserve"> </w:t>
      </w:r>
      <w:r>
        <w:t>services</w:t>
      </w:r>
      <w:r>
        <w:rPr>
          <w:spacing w:val="-3"/>
        </w:rPr>
        <w:t xml:space="preserve"> </w:t>
      </w:r>
      <w:r>
        <w:t>connected</w:t>
      </w:r>
      <w:r>
        <w:rPr>
          <w:spacing w:val="-7"/>
        </w:rPr>
        <w:t xml:space="preserve"> </w:t>
      </w:r>
      <w:r>
        <w:t>with</w:t>
      </w:r>
      <w:r>
        <w:rPr>
          <w:spacing w:val="-3"/>
        </w:rPr>
        <w:t xml:space="preserve"> </w:t>
      </w:r>
      <w:r>
        <w:t>the</w:t>
      </w:r>
      <w:r>
        <w:rPr>
          <w:spacing w:val="-6"/>
        </w:rPr>
        <w:t xml:space="preserve"> </w:t>
      </w:r>
      <w:r>
        <w:t>common</w:t>
      </w:r>
      <w:r>
        <w:rPr>
          <w:spacing w:val="-6"/>
        </w:rPr>
        <w:t xml:space="preserve"> </w:t>
      </w:r>
      <w:r>
        <w:t>tools,</w:t>
      </w:r>
      <w:r>
        <w:rPr>
          <w:spacing w:val="-4"/>
        </w:rPr>
        <w:t xml:space="preserve"> </w:t>
      </w:r>
      <w:r>
        <w:t>when</w:t>
      </w:r>
      <w:r>
        <w:rPr>
          <w:spacing w:val="-4"/>
        </w:rPr>
        <w:t xml:space="preserve"> </w:t>
      </w:r>
      <w:r>
        <w:t>necessary.</w:t>
      </w:r>
      <w:r>
        <w:rPr>
          <w:spacing w:val="-3"/>
        </w:rPr>
        <w:t xml:space="preserve"> </w:t>
      </w:r>
      <w:r>
        <w:t>The</w:t>
      </w:r>
      <w:r>
        <w:rPr>
          <w:spacing w:val="-3"/>
        </w:rPr>
        <w:t xml:space="preserve"> </w:t>
      </w:r>
      <w:r>
        <w:t>IPO</w:t>
      </w:r>
      <w:r>
        <w:rPr>
          <w:spacing w:val="-3"/>
        </w:rPr>
        <w:t xml:space="preserve"> </w:t>
      </w:r>
      <w:r>
        <w:t>shall remain owner and responsible of its own data, displayed, integrated or otherwise used in any of</w:t>
      </w:r>
      <w:r>
        <w:rPr>
          <w:spacing w:val="-13"/>
        </w:rPr>
        <w:t xml:space="preserve"> </w:t>
      </w:r>
      <w:r>
        <w:t>those</w:t>
      </w:r>
      <w:r>
        <w:rPr>
          <w:spacing w:val="-16"/>
        </w:rPr>
        <w:t xml:space="preserve"> </w:t>
      </w:r>
      <w:r>
        <w:t>tools.</w:t>
      </w:r>
      <w:r>
        <w:rPr>
          <w:spacing w:val="-12"/>
        </w:rPr>
        <w:t xml:space="preserve"> </w:t>
      </w:r>
      <w:r>
        <w:t>In</w:t>
      </w:r>
      <w:r>
        <w:rPr>
          <w:spacing w:val="-14"/>
        </w:rPr>
        <w:t xml:space="preserve"> </w:t>
      </w:r>
      <w:r>
        <w:t>case</w:t>
      </w:r>
      <w:r>
        <w:rPr>
          <w:spacing w:val="-16"/>
        </w:rPr>
        <w:t xml:space="preserve"> </w:t>
      </w:r>
      <w:r>
        <w:t>the</w:t>
      </w:r>
      <w:r>
        <w:rPr>
          <w:spacing w:val="-14"/>
        </w:rPr>
        <w:t xml:space="preserve"> </w:t>
      </w:r>
      <w:r>
        <w:t>IPO</w:t>
      </w:r>
      <w:r>
        <w:rPr>
          <w:spacing w:val="-12"/>
        </w:rPr>
        <w:t xml:space="preserve"> </w:t>
      </w:r>
      <w:r>
        <w:t>is</w:t>
      </w:r>
      <w:r>
        <w:rPr>
          <w:spacing w:val="-12"/>
        </w:rPr>
        <w:t xml:space="preserve"> </w:t>
      </w:r>
      <w:r>
        <w:t>integrated</w:t>
      </w:r>
      <w:r>
        <w:rPr>
          <w:spacing w:val="-14"/>
        </w:rPr>
        <w:t xml:space="preserve"> </w:t>
      </w:r>
      <w:r>
        <w:t>through</w:t>
      </w:r>
      <w:r>
        <w:rPr>
          <w:spacing w:val="-11"/>
        </w:rPr>
        <w:t xml:space="preserve"> </w:t>
      </w:r>
      <w:proofErr w:type="spellStart"/>
      <w:r>
        <w:t>TMDSview</w:t>
      </w:r>
      <w:proofErr w:type="spellEnd"/>
      <w:r>
        <w:rPr>
          <w:spacing w:val="-12"/>
        </w:rPr>
        <w:t xml:space="preserve"> </w:t>
      </w:r>
      <w:r>
        <w:t>blockchain</w:t>
      </w:r>
      <w:r>
        <w:rPr>
          <w:spacing w:val="-15"/>
        </w:rPr>
        <w:t xml:space="preserve"> </w:t>
      </w:r>
      <w:r>
        <w:t>Network,</w:t>
      </w:r>
      <w:r>
        <w:rPr>
          <w:spacing w:val="-14"/>
        </w:rPr>
        <w:t xml:space="preserve"> </w:t>
      </w:r>
      <w:r>
        <w:t>then</w:t>
      </w:r>
      <w:r>
        <w:rPr>
          <w:spacing w:val="-14"/>
        </w:rPr>
        <w:t xml:space="preserve"> </w:t>
      </w:r>
      <w:r>
        <w:t>shall be also responsible for hosting the data of other IPOs integrated to the</w:t>
      </w:r>
      <w:r>
        <w:rPr>
          <w:spacing w:val="-18"/>
        </w:rPr>
        <w:t xml:space="preserve"> </w:t>
      </w:r>
      <w:r>
        <w:t>blockchain.</w:t>
      </w:r>
    </w:p>
    <w:p w14:paraId="152BB0B5" w14:textId="77777777" w:rsidR="00D757DA" w:rsidRDefault="00D757DA">
      <w:pPr>
        <w:pStyle w:val="Zkladntext"/>
        <w:spacing w:before="11"/>
        <w:rPr>
          <w:sz w:val="21"/>
        </w:rPr>
      </w:pPr>
    </w:p>
    <w:p w14:paraId="4826C554" w14:textId="77777777" w:rsidR="00D757DA" w:rsidRDefault="0033254E">
      <w:pPr>
        <w:pStyle w:val="Odstavecseseznamem"/>
        <w:numPr>
          <w:ilvl w:val="1"/>
          <w:numId w:val="20"/>
        </w:numPr>
        <w:tabs>
          <w:tab w:val="left" w:pos="829"/>
        </w:tabs>
        <w:ind w:right="1434" w:firstLine="0"/>
        <w:jc w:val="both"/>
      </w:pPr>
      <w:r>
        <w:t>In case EUIPO provides an application programming interface (API), searches in the common</w:t>
      </w:r>
      <w:r>
        <w:rPr>
          <w:spacing w:val="-16"/>
        </w:rPr>
        <w:t xml:space="preserve"> </w:t>
      </w:r>
      <w:r>
        <w:t>tools</w:t>
      </w:r>
      <w:r>
        <w:rPr>
          <w:spacing w:val="-13"/>
        </w:rPr>
        <w:t xml:space="preserve"> </w:t>
      </w:r>
      <w:r>
        <w:t>or</w:t>
      </w:r>
      <w:r>
        <w:rPr>
          <w:spacing w:val="-12"/>
        </w:rPr>
        <w:t xml:space="preserve"> </w:t>
      </w:r>
      <w:r>
        <w:t>databases</w:t>
      </w:r>
      <w:r>
        <w:rPr>
          <w:spacing w:val="-14"/>
        </w:rPr>
        <w:t xml:space="preserve"> </w:t>
      </w:r>
      <w:r>
        <w:t>may</w:t>
      </w:r>
      <w:r>
        <w:rPr>
          <w:spacing w:val="-13"/>
        </w:rPr>
        <w:t xml:space="preserve"> </w:t>
      </w:r>
      <w:r>
        <w:t>also</w:t>
      </w:r>
      <w:r>
        <w:rPr>
          <w:spacing w:val="-14"/>
        </w:rPr>
        <w:t xml:space="preserve"> </w:t>
      </w:r>
      <w:r>
        <w:t>be</w:t>
      </w:r>
      <w:r>
        <w:rPr>
          <w:spacing w:val="-14"/>
        </w:rPr>
        <w:t xml:space="preserve"> </w:t>
      </w:r>
      <w:r>
        <w:t>carried</w:t>
      </w:r>
      <w:r>
        <w:rPr>
          <w:spacing w:val="-11"/>
        </w:rPr>
        <w:t xml:space="preserve"> </w:t>
      </w:r>
      <w:r>
        <w:t>out</w:t>
      </w:r>
      <w:r>
        <w:rPr>
          <w:spacing w:val="-12"/>
        </w:rPr>
        <w:t xml:space="preserve"> </w:t>
      </w:r>
      <w:r>
        <w:t>by</w:t>
      </w:r>
      <w:r>
        <w:rPr>
          <w:spacing w:val="-13"/>
        </w:rPr>
        <w:t xml:space="preserve"> </w:t>
      </w:r>
      <w:r>
        <w:t>the</w:t>
      </w:r>
      <w:r>
        <w:rPr>
          <w:spacing w:val="-16"/>
        </w:rPr>
        <w:t xml:space="preserve"> </w:t>
      </w:r>
      <w:r>
        <w:t>IPO</w:t>
      </w:r>
      <w:r>
        <w:rPr>
          <w:spacing w:val="-9"/>
        </w:rPr>
        <w:t xml:space="preserve"> </w:t>
      </w:r>
      <w:r>
        <w:t>and</w:t>
      </w:r>
      <w:r>
        <w:rPr>
          <w:spacing w:val="-13"/>
        </w:rPr>
        <w:t xml:space="preserve"> </w:t>
      </w:r>
      <w:r>
        <w:t>other</w:t>
      </w:r>
      <w:r>
        <w:rPr>
          <w:spacing w:val="-15"/>
        </w:rPr>
        <w:t xml:space="preserve"> </w:t>
      </w:r>
      <w:r>
        <w:t>registered</w:t>
      </w:r>
      <w:r>
        <w:rPr>
          <w:spacing w:val="-13"/>
        </w:rPr>
        <w:t xml:space="preserve"> </w:t>
      </w:r>
      <w:r>
        <w:t>API</w:t>
      </w:r>
      <w:r>
        <w:rPr>
          <w:spacing w:val="-12"/>
        </w:rPr>
        <w:t xml:space="preserve"> </w:t>
      </w:r>
      <w:r>
        <w:t>users through an API. The APIs provided by the EUIPO may be used upon subscription on the API Portal.</w:t>
      </w:r>
    </w:p>
    <w:p w14:paraId="126CFC7D" w14:textId="77777777" w:rsidR="00D757DA" w:rsidRDefault="00D757DA">
      <w:pPr>
        <w:pStyle w:val="Zkladntext"/>
      </w:pPr>
    </w:p>
    <w:p w14:paraId="7A1EFA22" w14:textId="77777777" w:rsidR="00D757DA" w:rsidRDefault="0033254E">
      <w:pPr>
        <w:pStyle w:val="Odstavecseseznamem"/>
        <w:numPr>
          <w:ilvl w:val="1"/>
          <w:numId w:val="20"/>
        </w:numPr>
        <w:tabs>
          <w:tab w:val="left" w:pos="829"/>
        </w:tabs>
        <w:ind w:right="1436" w:firstLine="0"/>
        <w:jc w:val="both"/>
      </w:pPr>
      <w:r>
        <w:t>Without prejudice to the IP rights of the Parties existing prior to the conclusion of the present</w:t>
      </w:r>
      <w:r>
        <w:rPr>
          <w:spacing w:val="-10"/>
        </w:rPr>
        <w:t xml:space="preserve"> </w:t>
      </w:r>
      <w:r>
        <w:t>Agreement,</w:t>
      </w:r>
      <w:r>
        <w:rPr>
          <w:spacing w:val="-10"/>
        </w:rPr>
        <w:t xml:space="preserve"> </w:t>
      </w:r>
      <w:r>
        <w:t>the</w:t>
      </w:r>
      <w:r>
        <w:rPr>
          <w:spacing w:val="-12"/>
        </w:rPr>
        <w:t xml:space="preserve"> </w:t>
      </w:r>
      <w:r>
        <w:t>IPO</w:t>
      </w:r>
      <w:r>
        <w:rPr>
          <w:spacing w:val="-8"/>
        </w:rPr>
        <w:t xml:space="preserve"> </w:t>
      </w:r>
      <w:r>
        <w:t>grants</w:t>
      </w:r>
      <w:r>
        <w:rPr>
          <w:spacing w:val="-10"/>
        </w:rPr>
        <w:t xml:space="preserve"> </w:t>
      </w:r>
      <w:r>
        <w:t>the</w:t>
      </w:r>
      <w:r>
        <w:rPr>
          <w:spacing w:val="-12"/>
        </w:rPr>
        <w:t xml:space="preserve"> </w:t>
      </w:r>
      <w:r>
        <w:t>EUIPO</w:t>
      </w:r>
      <w:r>
        <w:rPr>
          <w:spacing w:val="-10"/>
        </w:rPr>
        <w:t xml:space="preserve"> </w:t>
      </w:r>
      <w:r>
        <w:t>a</w:t>
      </w:r>
      <w:r>
        <w:rPr>
          <w:spacing w:val="-11"/>
        </w:rPr>
        <w:t xml:space="preserve"> </w:t>
      </w:r>
      <w:r>
        <w:t>royalty-free</w:t>
      </w:r>
      <w:r>
        <w:rPr>
          <w:spacing w:val="-9"/>
        </w:rPr>
        <w:t xml:space="preserve"> </w:t>
      </w:r>
      <w:r>
        <w:t>license</w:t>
      </w:r>
      <w:r>
        <w:rPr>
          <w:spacing w:val="-9"/>
        </w:rPr>
        <w:t xml:space="preserve"> </w:t>
      </w:r>
      <w:r>
        <w:t>of</w:t>
      </w:r>
      <w:r>
        <w:rPr>
          <w:spacing w:val="-7"/>
        </w:rPr>
        <w:t xml:space="preserve"> </w:t>
      </w:r>
      <w:r>
        <w:t>use,</w:t>
      </w:r>
      <w:r>
        <w:rPr>
          <w:spacing w:val="-8"/>
        </w:rPr>
        <w:t xml:space="preserve"> </w:t>
      </w:r>
      <w:r>
        <w:t>disposal</w:t>
      </w:r>
      <w:r>
        <w:rPr>
          <w:spacing w:val="-10"/>
        </w:rPr>
        <w:t xml:space="preserve"> </w:t>
      </w:r>
      <w:r>
        <w:t>and</w:t>
      </w:r>
      <w:r>
        <w:rPr>
          <w:spacing w:val="-11"/>
        </w:rPr>
        <w:t xml:space="preserve"> </w:t>
      </w:r>
      <w:r>
        <w:t>sub- license</w:t>
      </w:r>
      <w:r>
        <w:rPr>
          <w:spacing w:val="-10"/>
        </w:rPr>
        <w:t xml:space="preserve"> </w:t>
      </w:r>
      <w:r>
        <w:t>of</w:t>
      </w:r>
      <w:r>
        <w:rPr>
          <w:spacing w:val="-8"/>
        </w:rPr>
        <w:t xml:space="preserve"> </w:t>
      </w:r>
      <w:r>
        <w:t>IP</w:t>
      </w:r>
      <w:r>
        <w:rPr>
          <w:spacing w:val="-12"/>
        </w:rPr>
        <w:t xml:space="preserve"> </w:t>
      </w:r>
      <w:r>
        <w:t>rights</w:t>
      </w:r>
      <w:r>
        <w:rPr>
          <w:spacing w:val="-11"/>
        </w:rPr>
        <w:t xml:space="preserve"> </w:t>
      </w:r>
      <w:r>
        <w:t>relating</w:t>
      </w:r>
      <w:r>
        <w:rPr>
          <w:spacing w:val="-9"/>
        </w:rPr>
        <w:t xml:space="preserve"> </w:t>
      </w:r>
      <w:r>
        <w:t>to</w:t>
      </w:r>
      <w:r>
        <w:rPr>
          <w:spacing w:val="-9"/>
        </w:rPr>
        <w:t xml:space="preserve"> </w:t>
      </w:r>
      <w:r>
        <w:t>data</w:t>
      </w:r>
      <w:r>
        <w:rPr>
          <w:spacing w:val="-9"/>
        </w:rPr>
        <w:t xml:space="preserve"> </w:t>
      </w:r>
      <w:r>
        <w:t>belonging</w:t>
      </w:r>
      <w:r>
        <w:rPr>
          <w:spacing w:val="-9"/>
        </w:rPr>
        <w:t xml:space="preserve"> </w:t>
      </w:r>
      <w:r>
        <w:t>to</w:t>
      </w:r>
      <w:r>
        <w:rPr>
          <w:spacing w:val="-11"/>
        </w:rPr>
        <w:t xml:space="preserve"> </w:t>
      </w:r>
      <w:r>
        <w:t>the</w:t>
      </w:r>
      <w:r>
        <w:rPr>
          <w:spacing w:val="-12"/>
        </w:rPr>
        <w:t xml:space="preserve"> </w:t>
      </w:r>
      <w:r>
        <w:t>former</w:t>
      </w:r>
      <w:r>
        <w:rPr>
          <w:spacing w:val="-10"/>
        </w:rPr>
        <w:t xml:space="preserve"> </w:t>
      </w:r>
      <w:r>
        <w:t>and</w:t>
      </w:r>
      <w:r>
        <w:rPr>
          <w:spacing w:val="-9"/>
        </w:rPr>
        <w:t xml:space="preserve"> </w:t>
      </w:r>
      <w:r>
        <w:t>being</w:t>
      </w:r>
      <w:r>
        <w:rPr>
          <w:spacing w:val="-9"/>
        </w:rPr>
        <w:t xml:space="preserve"> </w:t>
      </w:r>
      <w:r>
        <w:t>used</w:t>
      </w:r>
      <w:r>
        <w:rPr>
          <w:spacing w:val="-9"/>
        </w:rPr>
        <w:t xml:space="preserve"> </w:t>
      </w:r>
      <w:r>
        <w:t>in</w:t>
      </w:r>
      <w:r>
        <w:rPr>
          <w:spacing w:val="-9"/>
        </w:rPr>
        <w:t xml:space="preserve"> </w:t>
      </w:r>
      <w:r>
        <w:t>or</w:t>
      </w:r>
      <w:r>
        <w:rPr>
          <w:spacing w:val="-8"/>
        </w:rPr>
        <w:t xml:space="preserve"> </w:t>
      </w:r>
      <w:r>
        <w:t>transferred</w:t>
      </w:r>
      <w:r>
        <w:rPr>
          <w:spacing w:val="-10"/>
        </w:rPr>
        <w:t xml:space="preserve"> </w:t>
      </w:r>
      <w:r>
        <w:t>for the implementation of the activities under the present</w:t>
      </w:r>
      <w:r>
        <w:rPr>
          <w:spacing w:val="-6"/>
        </w:rPr>
        <w:t xml:space="preserve"> </w:t>
      </w:r>
      <w:r>
        <w:t>Agreement.</w:t>
      </w:r>
    </w:p>
    <w:p w14:paraId="116EE96F" w14:textId="77777777" w:rsidR="00D757DA" w:rsidRDefault="00D757DA">
      <w:pPr>
        <w:pStyle w:val="Zkladntext"/>
        <w:spacing w:before="3"/>
      </w:pPr>
    </w:p>
    <w:p w14:paraId="66FDFD32" w14:textId="77777777" w:rsidR="00D757DA" w:rsidRDefault="0033254E">
      <w:pPr>
        <w:pStyle w:val="Odstavecseseznamem"/>
        <w:numPr>
          <w:ilvl w:val="1"/>
          <w:numId w:val="20"/>
        </w:numPr>
        <w:tabs>
          <w:tab w:val="left" w:pos="829"/>
        </w:tabs>
        <w:ind w:right="1433" w:firstLine="0"/>
        <w:jc w:val="both"/>
      </w:pPr>
      <w:r>
        <w:t xml:space="preserve">Articles 11, 12 </w:t>
      </w:r>
      <w:proofErr w:type="gramStart"/>
      <w:r>
        <w:t>and  31.2</w:t>
      </w:r>
      <w:proofErr w:type="gramEnd"/>
      <w:r>
        <w:t xml:space="preserve">  to  31.6  concerning  </w:t>
      </w:r>
      <w:proofErr w:type="spellStart"/>
      <w:r>
        <w:t>TMView</w:t>
      </w:r>
      <w:proofErr w:type="spellEnd"/>
      <w:r>
        <w:t xml:space="preserve">  and  </w:t>
      </w:r>
      <w:proofErr w:type="spellStart"/>
      <w:r>
        <w:t>DesignView</w:t>
      </w:r>
      <w:proofErr w:type="spellEnd"/>
      <w:r>
        <w:t xml:space="preserve">  shall  apply </w:t>
      </w:r>
      <w:r>
        <w:rPr>
          <w:i/>
        </w:rPr>
        <w:t xml:space="preserve">mutatis mutandis </w:t>
      </w:r>
      <w:r>
        <w:t>to the transmission of other IP related data by the IPO and its subsequent processing as part of the implementation of data analysis activities under this Agreement.</w:t>
      </w:r>
    </w:p>
    <w:p w14:paraId="38E75802" w14:textId="77777777" w:rsidR="00D757DA" w:rsidRDefault="00D757DA">
      <w:pPr>
        <w:pStyle w:val="Zkladntext"/>
        <w:spacing w:before="2"/>
        <w:rPr>
          <w:sz w:val="31"/>
        </w:rPr>
      </w:pPr>
    </w:p>
    <w:p w14:paraId="1E280D56" w14:textId="77777777" w:rsidR="00D757DA" w:rsidRDefault="0033254E">
      <w:pPr>
        <w:pStyle w:val="Nadpis3"/>
      </w:pPr>
      <w:bookmarkStart w:id="44" w:name="ARTICLE_33_-_MAINTENANCE_OF_CONSISTENT_E"/>
      <w:bookmarkEnd w:id="44"/>
      <w:r>
        <w:t>ARTICLE 33 - MAINTENANCE OF CONSISTENT EU PRACTICES</w:t>
      </w:r>
    </w:p>
    <w:p w14:paraId="01945019" w14:textId="77777777" w:rsidR="00D757DA" w:rsidRDefault="00D757DA">
      <w:pPr>
        <w:pStyle w:val="Zkladntext"/>
        <w:rPr>
          <w:b/>
          <w:sz w:val="21"/>
        </w:rPr>
      </w:pPr>
    </w:p>
    <w:p w14:paraId="31D176DF" w14:textId="77777777" w:rsidR="00D757DA" w:rsidRDefault="0033254E">
      <w:pPr>
        <w:pStyle w:val="Odstavecseseznamem"/>
        <w:numPr>
          <w:ilvl w:val="1"/>
          <w:numId w:val="19"/>
        </w:numPr>
        <w:tabs>
          <w:tab w:val="left" w:pos="841"/>
        </w:tabs>
        <w:ind w:right="1434" w:firstLine="0"/>
        <w:jc w:val="both"/>
      </w:pPr>
      <w:r>
        <w:t>The IPO shall implement the adopted common practice, unless opted out. The IPO which is unable to implement a practice because of a legal constraint shall have the option to adopt the agreed common practice at any moment in the future when the legal constraint ceases to</w:t>
      </w:r>
      <w:r>
        <w:rPr>
          <w:spacing w:val="-3"/>
        </w:rPr>
        <w:t xml:space="preserve"> </w:t>
      </w:r>
      <w:r>
        <w:t>exist.</w:t>
      </w:r>
    </w:p>
    <w:p w14:paraId="4BCA0DCC" w14:textId="77777777" w:rsidR="00D757DA" w:rsidRDefault="00D757DA">
      <w:pPr>
        <w:pStyle w:val="Zkladntext"/>
      </w:pPr>
    </w:p>
    <w:p w14:paraId="218026B6" w14:textId="77777777" w:rsidR="00D757DA" w:rsidRDefault="0033254E">
      <w:pPr>
        <w:pStyle w:val="Odstavecseseznamem"/>
        <w:numPr>
          <w:ilvl w:val="1"/>
          <w:numId w:val="19"/>
        </w:numPr>
        <w:tabs>
          <w:tab w:val="left" w:pos="841"/>
        </w:tabs>
        <w:ind w:right="1440" w:firstLine="0"/>
        <w:jc w:val="both"/>
      </w:pPr>
      <w:r>
        <w:t>The IPO shall communicate to the EUIPO any legal constraint that occurs following the implementation of the common practice and which might impede the current or future implementation.</w:t>
      </w:r>
    </w:p>
    <w:p w14:paraId="4C59DCF2" w14:textId="77777777" w:rsidR="00D757DA" w:rsidRDefault="00D757DA">
      <w:pPr>
        <w:pStyle w:val="Zkladntext"/>
        <w:spacing w:before="10"/>
        <w:rPr>
          <w:sz w:val="21"/>
        </w:rPr>
      </w:pPr>
    </w:p>
    <w:p w14:paraId="2E7E1F09" w14:textId="77777777" w:rsidR="00D757DA" w:rsidRDefault="0033254E">
      <w:pPr>
        <w:pStyle w:val="Odstavecseseznamem"/>
        <w:numPr>
          <w:ilvl w:val="1"/>
          <w:numId w:val="19"/>
        </w:numPr>
        <w:tabs>
          <w:tab w:val="left" w:pos="841"/>
        </w:tabs>
        <w:ind w:right="1440" w:firstLine="0"/>
        <w:jc w:val="both"/>
      </w:pPr>
      <w:r>
        <w:t>The IPO shall facilitate support, in the continuity of the common practices, to the maintenance tasks coordinated by the</w:t>
      </w:r>
      <w:r>
        <w:rPr>
          <w:spacing w:val="-7"/>
        </w:rPr>
        <w:t xml:space="preserve"> </w:t>
      </w:r>
      <w:r>
        <w:t>EUIPO.</w:t>
      </w:r>
    </w:p>
    <w:p w14:paraId="37795E0F" w14:textId="77777777" w:rsidR="00D757DA" w:rsidRDefault="00D757DA">
      <w:pPr>
        <w:pStyle w:val="Zkladntext"/>
      </w:pPr>
    </w:p>
    <w:p w14:paraId="461A2B5B" w14:textId="77777777" w:rsidR="00D757DA" w:rsidRDefault="0033254E">
      <w:pPr>
        <w:pStyle w:val="Odstavecseseznamem"/>
        <w:numPr>
          <w:ilvl w:val="1"/>
          <w:numId w:val="19"/>
        </w:numPr>
        <w:tabs>
          <w:tab w:val="left" w:pos="841"/>
        </w:tabs>
        <w:ind w:right="1438" w:firstLine="0"/>
        <w:jc w:val="both"/>
      </w:pPr>
      <w:r>
        <w:t>The IPO shall be responsible for amending its guidelines, based on the new common practice.</w:t>
      </w:r>
    </w:p>
    <w:p w14:paraId="74FE2DF4" w14:textId="77777777" w:rsidR="00D757DA" w:rsidRDefault="00D757DA">
      <w:pPr>
        <w:pStyle w:val="Zkladntext"/>
        <w:spacing w:before="1"/>
      </w:pPr>
    </w:p>
    <w:p w14:paraId="5635D90F" w14:textId="77777777" w:rsidR="00D757DA" w:rsidRDefault="0033254E">
      <w:pPr>
        <w:pStyle w:val="Odstavecseseznamem"/>
        <w:numPr>
          <w:ilvl w:val="1"/>
          <w:numId w:val="19"/>
        </w:numPr>
        <w:tabs>
          <w:tab w:val="left" w:pos="841"/>
        </w:tabs>
        <w:spacing w:before="1"/>
        <w:ind w:right="1435" w:firstLine="0"/>
        <w:jc w:val="both"/>
      </w:pPr>
      <w:r>
        <w:t>The</w:t>
      </w:r>
      <w:r>
        <w:rPr>
          <w:spacing w:val="-4"/>
        </w:rPr>
        <w:t xml:space="preserve"> </w:t>
      </w:r>
      <w:r>
        <w:t>IPO</w:t>
      </w:r>
      <w:r>
        <w:rPr>
          <w:spacing w:val="-4"/>
        </w:rPr>
        <w:t xml:space="preserve"> </w:t>
      </w:r>
      <w:r>
        <w:t>shall</w:t>
      </w:r>
      <w:r>
        <w:rPr>
          <w:spacing w:val="-4"/>
        </w:rPr>
        <w:t xml:space="preserve"> </w:t>
      </w:r>
      <w:r>
        <w:t>provide</w:t>
      </w:r>
      <w:r>
        <w:rPr>
          <w:spacing w:val="-3"/>
        </w:rPr>
        <w:t xml:space="preserve"> </w:t>
      </w:r>
      <w:r>
        <w:t>help</w:t>
      </w:r>
      <w:r>
        <w:rPr>
          <w:spacing w:val="-4"/>
        </w:rPr>
        <w:t xml:space="preserve"> </w:t>
      </w:r>
      <w:r>
        <w:t>in</w:t>
      </w:r>
      <w:r>
        <w:rPr>
          <w:spacing w:val="-5"/>
        </w:rPr>
        <w:t xml:space="preserve"> </w:t>
      </w:r>
      <w:r>
        <w:t>the</w:t>
      </w:r>
      <w:r>
        <w:rPr>
          <w:spacing w:val="-5"/>
        </w:rPr>
        <w:t xml:space="preserve"> </w:t>
      </w:r>
      <w:r>
        <w:t>elaboration,</w:t>
      </w:r>
      <w:r>
        <w:rPr>
          <w:spacing w:val="-6"/>
        </w:rPr>
        <w:t xml:space="preserve"> </w:t>
      </w:r>
      <w:r>
        <w:t>translation,</w:t>
      </w:r>
      <w:r>
        <w:rPr>
          <w:spacing w:val="-5"/>
        </w:rPr>
        <w:t xml:space="preserve"> </w:t>
      </w:r>
      <w:r>
        <w:t>validation</w:t>
      </w:r>
      <w:r>
        <w:rPr>
          <w:spacing w:val="-3"/>
        </w:rPr>
        <w:t xml:space="preserve"> </w:t>
      </w:r>
      <w:r>
        <w:t>and</w:t>
      </w:r>
      <w:r>
        <w:rPr>
          <w:spacing w:val="-6"/>
        </w:rPr>
        <w:t xml:space="preserve"> </w:t>
      </w:r>
      <w:r>
        <w:t>publication</w:t>
      </w:r>
      <w:r>
        <w:rPr>
          <w:spacing w:val="-3"/>
        </w:rPr>
        <w:t xml:space="preserve"> </w:t>
      </w:r>
      <w:r>
        <w:t>of common</w:t>
      </w:r>
      <w:r>
        <w:rPr>
          <w:spacing w:val="-3"/>
        </w:rPr>
        <w:t xml:space="preserve"> </w:t>
      </w:r>
      <w:r>
        <w:t>communications.</w:t>
      </w:r>
    </w:p>
    <w:p w14:paraId="6AD4F22F" w14:textId="77777777" w:rsidR="00D757DA" w:rsidRDefault="00D757DA">
      <w:pPr>
        <w:pStyle w:val="Zkladntext"/>
        <w:spacing w:before="11"/>
        <w:rPr>
          <w:sz w:val="21"/>
        </w:rPr>
      </w:pPr>
    </w:p>
    <w:p w14:paraId="065BD7D5" w14:textId="77777777" w:rsidR="00D757DA" w:rsidRDefault="0033254E">
      <w:pPr>
        <w:pStyle w:val="Odstavecseseznamem"/>
        <w:numPr>
          <w:ilvl w:val="1"/>
          <w:numId w:val="19"/>
        </w:numPr>
        <w:tabs>
          <w:tab w:val="left" w:pos="841"/>
        </w:tabs>
        <w:ind w:right="1439" w:firstLine="0"/>
        <w:jc w:val="both"/>
      </w:pPr>
      <w:r>
        <w:t>The IPO shall provide help in the validation, publication and translation of training, awareness and communication</w:t>
      </w:r>
      <w:r>
        <w:rPr>
          <w:spacing w:val="-5"/>
        </w:rPr>
        <w:t xml:space="preserve"> </w:t>
      </w:r>
      <w:r>
        <w:t>material.</w:t>
      </w:r>
    </w:p>
    <w:p w14:paraId="0C73C971" w14:textId="77777777" w:rsidR="00D757DA" w:rsidRDefault="00D757DA">
      <w:pPr>
        <w:pStyle w:val="Zkladntext"/>
        <w:rPr>
          <w:sz w:val="24"/>
        </w:rPr>
      </w:pPr>
    </w:p>
    <w:p w14:paraId="5103BD54" w14:textId="77777777" w:rsidR="00D757DA" w:rsidRDefault="00D757DA">
      <w:pPr>
        <w:pStyle w:val="Zkladntext"/>
        <w:spacing w:before="1"/>
        <w:rPr>
          <w:sz w:val="20"/>
        </w:rPr>
      </w:pPr>
    </w:p>
    <w:p w14:paraId="17833215" w14:textId="77777777" w:rsidR="00D757DA" w:rsidRDefault="0033254E">
      <w:pPr>
        <w:pStyle w:val="Odstavecseseznamem"/>
        <w:numPr>
          <w:ilvl w:val="1"/>
          <w:numId w:val="19"/>
        </w:numPr>
        <w:tabs>
          <w:tab w:val="left" w:pos="841"/>
        </w:tabs>
        <w:ind w:right="1440" w:firstLine="0"/>
        <w:jc w:val="both"/>
      </w:pPr>
      <w:r>
        <w:t xml:space="preserve">The IPO shall </w:t>
      </w:r>
      <w:proofErr w:type="gramStart"/>
      <w:r>
        <w:t>provide assistance</w:t>
      </w:r>
      <w:proofErr w:type="gramEnd"/>
      <w:r>
        <w:t>, namely completing surveys, in the continuity of the new common practice as coordinated by the</w:t>
      </w:r>
      <w:r>
        <w:rPr>
          <w:spacing w:val="-10"/>
        </w:rPr>
        <w:t xml:space="preserve"> </w:t>
      </w:r>
      <w:r>
        <w:t>EUIPO.</w:t>
      </w:r>
    </w:p>
    <w:p w14:paraId="1F251F0E" w14:textId="77777777" w:rsidR="00D757DA" w:rsidRDefault="00D757DA">
      <w:pPr>
        <w:pStyle w:val="Zkladntext"/>
        <w:spacing w:before="11"/>
        <w:rPr>
          <w:sz w:val="21"/>
        </w:rPr>
      </w:pPr>
    </w:p>
    <w:p w14:paraId="6E25243D" w14:textId="77777777" w:rsidR="00D757DA" w:rsidRDefault="0033254E">
      <w:pPr>
        <w:pStyle w:val="Odstavecseseznamem"/>
        <w:numPr>
          <w:ilvl w:val="1"/>
          <w:numId w:val="19"/>
        </w:numPr>
        <w:tabs>
          <w:tab w:val="left" w:pos="841"/>
        </w:tabs>
        <w:ind w:right="1438" w:firstLine="0"/>
        <w:jc w:val="both"/>
      </w:pPr>
      <w:r>
        <w:t>The IPO shall liaise with user associations to communicate and receive feedback regarding the implementation of the common</w:t>
      </w:r>
      <w:r>
        <w:rPr>
          <w:spacing w:val="-8"/>
        </w:rPr>
        <w:t xml:space="preserve"> </w:t>
      </w:r>
      <w:r>
        <w:t>practice.</w:t>
      </w:r>
    </w:p>
    <w:p w14:paraId="21EC354B" w14:textId="77777777" w:rsidR="00D757DA" w:rsidRDefault="00D757DA">
      <w:pPr>
        <w:pStyle w:val="Zkladntext"/>
        <w:spacing w:before="11"/>
        <w:rPr>
          <w:sz w:val="21"/>
        </w:rPr>
      </w:pPr>
    </w:p>
    <w:p w14:paraId="7DC53EE8" w14:textId="77777777" w:rsidR="00D757DA" w:rsidRDefault="0033254E">
      <w:pPr>
        <w:pStyle w:val="Odstavecseseznamem"/>
        <w:numPr>
          <w:ilvl w:val="1"/>
          <w:numId w:val="19"/>
        </w:numPr>
        <w:tabs>
          <w:tab w:val="left" w:pos="829"/>
        </w:tabs>
        <w:ind w:right="1438" w:firstLine="0"/>
        <w:jc w:val="both"/>
      </w:pPr>
      <w:r>
        <w:t>The</w:t>
      </w:r>
      <w:r>
        <w:rPr>
          <w:spacing w:val="-5"/>
        </w:rPr>
        <w:t xml:space="preserve"> </w:t>
      </w:r>
      <w:r>
        <w:t>IPO</w:t>
      </w:r>
      <w:r>
        <w:rPr>
          <w:spacing w:val="-5"/>
        </w:rPr>
        <w:t xml:space="preserve"> </w:t>
      </w:r>
      <w:r>
        <w:t>shall</w:t>
      </w:r>
      <w:r>
        <w:rPr>
          <w:spacing w:val="-5"/>
        </w:rPr>
        <w:t xml:space="preserve"> </w:t>
      </w:r>
      <w:r>
        <w:t>designate</w:t>
      </w:r>
      <w:r>
        <w:rPr>
          <w:spacing w:val="-8"/>
        </w:rPr>
        <w:t xml:space="preserve"> </w:t>
      </w:r>
      <w:r>
        <w:t>a</w:t>
      </w:r>
      <w:r>
        <w:rPr>
          <w:spacing w:val="-4"/>
        </w:rPr>
        <w:t xml:space="preserve"> </w:t>
      </w:r>
      <w:r>
        <w:t>person(s)</w:t>
      </w:r>
      <w:r>
        <w:rPr>
          <w:spacing w:val="-5"/>
        </w:rPr>
        <w:t xml:space="preserve"> </w:t>
      </w:r>
      <w:r>
        <w:t>to</w:t>
      </w:r>
      <w:r>
        <w:rPr>
          <w:spacing w:val="-6"/>
        </w:rPr>
        <w:t xml:space="preserve"> </w:t>
      </w:r>
      <w:r>
        <w:t>act</w:t>
      </w:r>
      <w:r>
        <w:rPr>
          <w:spacing w:val="-5"/>
        </w:rPr>
        <w:t xml:space="preserve"> </w:t>
      </w:r>
      <w:r>
        <w:t>as</w:t>
      </w:r>
      <w:r>
        <w:rPr>
          <w:spacing w:val="-6"/>
        </w:rPr>
        <w:t xml:space="preserve"> </w:t>
      </w:r>
      <w:r>
        <w:t>a</w:t>
      </w:r>
      <w:r>
        <w:rPr>
          <w:spacing w:val="-6"/>
        </w:rPr>
        <w:t xml:space="preserve"> </w:t>
      </w:r>
      <w:r>
        <w:t>point</w:t>
      </w:r>
      <w:r>
        <w:rPr>
          <w:spacing w:val="-4"/>
        </w:rPr>
        <w:t xml:space="preserve"> </w:t>
      </w:r>
      <w:r>
        <w:t>of</w:t>
      </w:r>
      <w:r>
        <w:rPr>
          <w:spacing w:val="-3"/>
        </w:rPr>
        <w:t xml:space="preserve"> </w:t>
      </w:r>
      <w:r>
        <w:t>contact</w:t>
      </w:r>
      <w:r>
        <w:rPr>
          <w:spacing w:val="-3"/>
        </w:rPr>
        <w:t xml:space="preserve"> </w:t>
      </w:r>
      <w:r>
        <w:t>and</w:t>
      </w:r>
      <w:r>
        <w:rPr>
          <w:spacing w:val="-4"/>
        </w:rPr>
        <w:t xml:space="preserve"> </w:t>
      </w:r>
      <w:r>
        <w:t>communicate</w:t>
      </w:r>
      <w:r>
        <w:rPr>
          <w:spacing w:val="-3"/>
        </w:rPr>
        <w:t xml:space="preserve"> </w:t>
      </w:r>
      <w:r>
        <w:t>it</w:t>
      </w:r>
      <w:r>
        <w:rPr>
          <w:spacing w:val="-7"/>
        </w:rPr>
        <w:t xml:space="preserve"> </w:t>
      </w:r>
      <w:r>
        <w:t>to the</w:t>
      </w:r>
      <w:r>
        <w:rPr>
          <w:spacing w:val="-1"/>
        </w:rPr>
        <w:t xml:space="preserve"> </w:t>
      </w:r>
      <w:r>
        <w:t>EUIPO.</w:t>
      </w:r>
    </w:p>
    <w:p w14:paraId="130B411F" w14:textId="77777777" w:rsidR="00D757DA" w:rsidRDefault="00D757DA">
      <w:pPr>
        <w:jc w:val="both"/>
        <w:sectPr w:rsidR="00D757DA">
          <w:pgSz w:w="11910" w:h="16840"/>
          <w:pgMar w:top="1340" w:right="0" w:bottom="1160" w:left="1320" w:header="0" w:footer="881" w:gutter="0"/>
          <w:cols w:space="708"/>
        </w:sectPr>
      </w:pPr>
    </w:p>
    <w:p w14:paraId="31CDF909" w14:textId="77777777" w:rsidR="00D757DA" w:rsidRDefault="0033254E">
      <w:pPr>
        <w:pStyle w:val="Odstavecseseznamem"/>
        <w:numPr>
          <w:ilvl w:val="1"/>
          <w:numId w:val="19"/>
        </w:numPr>
        <w:tabs>
          <w:tab w:val="left" w:pos="841"/>
        </w:tabs>
        <w:spacing w:before="81"/>
        <w:ind w:right="1434" w:firstLine="0"/>
        <w:jc w:val="both"/>
      </w:pPr>
      <w:r>
        <w:lastRenderedPageBreak/>
        <w:t xml:space="preserve">The IPO shall collaborate in the relevant virtual community which will be established </w:t>
      </w:r>
      <w:proofErr w:type="gramStart"/>
      <w:r>
        <w:t>in</w:t>
      </w:r>
      <w:r>
        <w:rPr>
          <w:spacing w:val="-6"/>
        </w:rPr>
        <w:t xml:space="preserve"> </w:t>
      </w:r>
      <w:r>
        <w:t>order</w:t>
      </w:r>
      <w:r>
        <w:rPr>
          <w:spacing w:val="-8"/>
        </w:rPr>
        <w:t xml:space="preserve"> </w:t>
      </w:r>
      <w:r>
        <w:t>to</w:t>
      </w:r>
      <w:proofErr w:type="gramEnd"/>
      <w:r>
        <w:rPr>
          <w:spacing w:val="-6"/>
        </w:rPr>
        <w:t xml:space="preserve"> </w:t>
      </w:r>
      <w:r>
        <w:t>provide</w:t>
      </w:r>
      <w:r>
        <w:rPr>
          <w:spacing w:val="-7"/>
        </w:rPr>
        <w:t xml:space="preserve"> </w:t>
      </w:r>
      <w:r>
        <w:t>a</w:t>
      </w:r>
      <w:r>
        <w:rPr>
          <w:spacing w:val="-6"/>
        </w:rPr>
        <w:t xml:space="preserve"> </w:t>
      </w:r>
      <w:r>
        <w:t>platform</w:t>
      </w:r>
      <w:r>
        <w:rPr>
          <w:spacing w:val="-7"/>
        </w:rPr>
        <w:t xml:space="preserve"> </w:t>
      </w:r>
      <w:r>
        <w:t>to</w:t>
      </w:r>
      <w:r>
        <w:rPr>
          <w:spacing w:val="-6"/>
        </w:rPr>
        <w:t xml:space="preserve"> </w:t>
      </w:r>
      <w:r>
        <w:t>discuss</w:t>
      </w:r>
      <w:r>
        <w:rPr>
          <w:spacing w:val="-9"/>
        </w:rPr>
        <w:t xml:space="preserve"> </w:t>
      </w:r>
      <w:r>
        <w:t>the</w:t>
      </w:r>
      <w:r>
        <w:rPr>
          <w:spacing w:val="-9"/>
        </w:rPr>
        <w:t xml:space="preserve"> </w:t>
      </w:r>
      <w:r>
        <w:t>maintenance</w:t>
      </w:r>
      <w:r>
        <w:rPr>
          <w:spacing w:val="-6"/>
        </w:rPr>
        <w:t xml:space="preserve"> </w:t>
      </w:r>
      <w:r>
        <w:t>of</w:t>
      </w:r>
      <w:r>
        <w:rPr>
          <w:spacing w:val="-5"/>
        </w:rPr>
        <w:t xml:space="preserve"> </w:t>
      </w:r>
      <w:r>
        <w:t>common</w:t>
      </w:r>
      <w:r>
        <w:rPr>
          <w:spacing w:val="-7"/>
        </w:rPr>
        <w:t xml:space="preserve"> </w:t>
      </w:r>
      <w:r>
        <w:t>practices.</w:t>
      </w:r>
      <w:r>
        <w:rPr>
          <w:spacing w:val="-5"/>
        </w:rPr>
        <w:t xml:space="preserve"> </w:t>
      </w:r>
      <w:r>
        <w:t>The</w:t>
      </w:r>
      <w:r>
        <w:rPr>
          <w:spacing w:val="-6"/>
        </w:rPr>
        <w:t xml:space="preserve"> </w:t>
      </w:r>
      <w:r>
        <w:t>IPO</w:t>
      </w:r>
      <w:r>
        <w:rPr>
          <w:spacing w:val="-5"/>
        </w:rPr>
        <w:t xml:space="preserve"> </w:t>
      </w:r>
      <w:r>
        <w:t>shall designate one expert representing them on each of the specific subject</w:t>
      </w:r>
      <w:r>
        <w:rPr>
          <w:spacing w:val="-19"/>
        </w:rPr>
        <w:t xml:space="preserve"> </w:t>
      </w:r>
      <w:r>
        <w:t>matters.</w:t>
      </w:r>
    </w:p>
    <w:p w14:paraId="45D79FA4" w14:textId="77777777" w:rsidR="00D757DA" w:rsidRDefault="00D757DA">
      <w:pPr>
        <w:pStyle w:val="Zkladntext"/>
        <w:spacing w:before="1"/>
      </w:pPr>
    </w:p>
    <w:p w14:paraId="7C143A74" w14:textId="77777777" w:rsidR="00D757DA" w:rsidRDefault="0033254E">
      <w:pPr>
        <w:pStyle w:val="Odstavecseseznamem"/>
        <w:numPr>
          <w:ilvl w:val="1"/>
          <w:numId w:val="19"/>
        </w:numPr>
        <w:tabs>
          <w:tab w:val="left" w:pos="841"/>
        </w:tabs>
        <w:spacing w:before="1"/>
        <w:ind w:right="1434" w:firstLine="0"/>
        <w:jc w:val="both"/>
      </w:pPr>
      <w:r>
        <w:t>The</w:t>
      </w:r>
      <w:r>
        <w:rPr>
          <w:spacing w:val="-17"/>
        </w:rPr>
        <w:t xml:space="preserve"> </w:t>
      </w:r>
      <w:r>
        <w:t>IPO</w:t>
      </w:r>
      <w:r>
        <w:rPr>
          <w:spacing w:val="-17"/>
        </w:rPr>
        <w:t xml:space="preserve"> </w:t>
      </w:r>
      <w:r>
        <w:t>shall</w:t>
      </w:r>
      <w:r>
        <w:rPr>
          <w:spacing w:val="-17"/>
        </w:rPr>
        <w:t xml:space="preserve"> </w:t>
      </w:r>
      <w:r>
        <w:t>provide</w:t>
      </w:r>
      <w:r>
        <w:rPr>
          <w:spacing w:val="-16"/>
        </w:rPr>
        <w:t xml:space="preserve"> </w:t>
      </w:r>
      <w:r>
        <w:t>active</w:t>
      </w:r>
      <w:r>
        <w:rPr>
          <w:spacing w:val="-16"/>
        </w:rPr>
        <w:t xml:space="preserve"> </w:t>
      </w:r>
      <w:r>
        <w:t>support</w:t>
      </w:r>
      <w:r>
        <w:rPr>
          <w:spacing w:val="-17"/>
        </w:rPr>
        <w:t xml:space="preserve"> </w:t>
      </w:r>
      <w:r>
        <w:t>for</w:t>
      </w:r>
      <w:r>
        <w:rPr>
          <w:spacing w:val="-17"/>
        </w:rPr>
        <w:t xml:space="preserve"> </w:t>
      </w:r>
      <w:r>
        <w:t>the</w:t>
      </w:r>
      <w:r>
        <w:rPr>
          <w:spacing w:val="-19"/>
        </w:rPr>
        <w:t xml:space="preserve"> </w:t>
      </w:r>
      <w:r>
        <w:t>maintenance</w:t>
      </w:r>
      <w:r>
        <w:rPr>
          <w:spacing w:val="-16"/>
        </w:rPr>
        <w:t xml:space="preserve"> </w:t>
      </w:r>
      <w:r>
        <w:t>of</w:t>
      </w:r>
      <w:r>
        <w:rPr>
          <w:spacing w:val="-17"/>
        </w:rPr>
        <w:t xml:space="preserve"> </w:t>
      </w:r>
      <w:r>
        <w:t>the</w:t>
      </w:r>
      <w:r>
        <w:rPr>
          <w:spacing w:val="-16"/>
        </w:rPr>
        <w:t xml:space="preserve"> </w:t>
      </w:r>
      <w:proofErr w:type="spellStart"/>
      <w:r>
        <w:t>Harmonised</w:t>
      </w:r>
      <w:proofErr w:type="spellEnd"/>
      <w:r>
        <w:rPr>
          <w:spacing w:val="-19"/>
        </w:rPr>
        <w:t xml:space="preserve"> </w:t>
      </w:r>
      <w:r>
        <w:t>Database, by</w:t>
      </w:r>
      <w:r>
        <w:rPr>
          <w:spacing w:val="-6"/>
        </w:rPr>
        <w:t xml:space="preserve"> </w:t>
      </w:r>
      <w:r>
        <w:t>acting</w:t>
      </w:r>
      <w:r>
        <w:rPr>
          <w:spacing w:val="-5"/>
        </w:rPr>
        <w:t xml:space="preserve"> </w:t>
      </w:r>
      <w:r>
        <w:t>within</w:t>
      </w:r>
      <w:r>
        <w:rPr>
          <w:spacing w:val="-7"/>
        </w:rPr>
        <w:t xml:space="preserve"> </w:t>
      </w:r>
      <w:r>
        <w:t>the</w:t>
      </w:r>
      <w:r>
        <w:rPr>
          <w:spacing w:val="-7"/>
        </w:rPr>
        <w:t xml:space="preserve"> </w:t>
      </w:r>
      <w:proofErr w:type="spellStart"/>
      <w:r>
        <w:t>Harmonisation</w:t>
      </w:r>
      <w:proofErr w:type="spellEnd"/>
      <w:r>
        <w:rPr>
          <w:spacing w:val="-7"/>
        </w:rPr>
        <w:t xml:space="preserve"> </w:t>
      </w:r>
      <w:r>
        <w:t>Workflow</w:t>
      </w:r>
      <w:r>
        <w:rPr>
          <w:spacing w:val="-6"/>
        </w:rPr>
        <w:t xml:space="preserve"> </w:t>
      </w:r>
      <w:r>
        <w:t>established</w:t>
      </w:r>
      <w:r>
        <w:rPr>
          <w:spacing w:val="-5"/>
        </w:rPr>
        <w:t xml:space="preserve"> </w:t>
      </w:r>
      <w:r>
        <w:t>by</w:t>
      </w:r>
      <w:r>
        <w:rPr>
          <w:spacing w:val="-6"/>
        </w:rPr>
        <w:t xml:space="preserve"> </w:t>
      </w:r>
      <w:r>
        <w:t>a</w:t>
      </w:r>
      <w:r>
        <w:rPr>
          <w:spacing w:val="-5"/>
        </w:rPr>
        <w:t xml:space="preserve"> </w:t>
      </w:r>
      <w:r>
        <w:t>virtual</w:t>
      </w:r>
      <w:r>
        <w:rPr>
          <w:spacing w:val="-6"/>
        </w:rPr>
        <w:t xml:space="preserve"> </w:t>
      </w:r>
      <w:r>
        <w:t>community</w:t>
      </w:r>
      <w:r>
        <w:rPr>
          <w:spacing w:val="-6"/>
        </w:rPr>
        <w:t xml:space="preserve"> </w:t>
      </w:r>
      <w:r>
        <w:t>composed</w:t>
      </w:r>
      <w:r>
        <w:rPr>
          <w:spacing w:val="-8"/>
        </w:rPr>
        <w:t xml:space="preserve"> </w:t>
      </w:r>
      <w:r>
        <w:t xml:space="preserve">of participating IPOs, WIPO and the EUIPO. This community is responsible for the definition of this </w:t>
      </w:r>
      <w:proofErr w:type="spellStart"/>
      <w:r>
        <w:t>Harmonisation</w:t>
      </w:r>
      <w:proofErr w:type="spellEnd"/>
      <w:r>
        <w:t xml:space="preserve"> workflow and its future evolution. Any modification will be published and communicated to all participating</w:t>
      </w:r>
      <w:r>
        <w:rPr>
          <w:spacing w:val="-3"/>
        </w:rPr>
        <w:t xml:space="preserve"> </w:t>
      </w:r>
      <w:r>
        <w:t>IPOs.</w:t>
      </w:r>
    </w:p>
    <w:p w14:paraId="2F137937" w14:textId="77777777" w:rsidR="00D757DA" w:rsidRDefault="00D757DA">
      <w:pPr>
        <w:pStyle w:val="Zkladntext"/>
        <w:spacing w:before="10"/>
        <w:rPr>
          <w:sz w:val="21"/>
        </w:rPr>
      </w:pPr>
    </w:p>
    <w:p w14:paraId="191DFD3D" w14:textId="77777777" w:rsidR="00D757DA" w:rsidRDefault="0033254E">
      <w:pPr>
        <w:pStyle w:val="Odstavecseseznamem"/>
        <w:numPr>
          <w:ilvl w:val="1"/>
          <w:numId w:val="19"/>
        </w:numPr>
        <w:tabs>
          <w:tab w:val="left" w:pos="841"/>
        </w:tabs>
        <w:ind w:right="1436" w:firstLine="0"/>
        <w:jc w:val="both"/>
      </w:pPr>
      <w:r>
        <w:t>The</w:t>
      </w:r>
      <w:r>
        <w:rPr>
          <w:spacing w:val="-12"/>
        </w:rPr>
        <w:t xml:space="preserve"> </w:t>
      </w:r>
      <w:r>
        <w:t>IPO</w:t>
      </w:r>
      <w:r>
        <w:rPr>
          <w:spacing w:val="-10"/>
        </w:rPr>
        <w:t xml:space="preserve"> </w:t>
      </w:r>
      <w:r>
        <w:t>shall</w:t>
      </w:r>
      <w:r>
        <w:rPr>
          <w:spacing w:val="-12"/>
        </w:rPr>
        <w:t xml:space="preserve"> </w:t>
      </w:r>
      <w:r>
        <w:t>use</w:t>
      </w:r>
      <w:r>
        <w:rPr>
          <w:spacing w:val="-12"/>
        </w:rPr>
        <w:t xml:space="preserve"> </w:t>
      </w:r>
      <w:r>
        <w:t>the</w:t>
      </w:r>
      <w:r>
        <w:rPr>
          <w:spacing w:val="-13"/>
        </w:rPr>
        <w:t xml:space="preserve"> </w:t>
      </w:r>
      <w:r>
        <w:t>Terminology</w:t>
      </w:r>
      <w:r>
        <w:rPr>
          <w:spacing w:val="-11"/>
        </w:rPr>
        <w:t xml:space="preserve"> </w:t>
      </w:r>
      <w:r>
        <w:t>Maintenance</w:t>
      </w:r>
      <w:r>
        <w:rPr>
          <w:spacing w:val="-14"/>
        </w:rPr>
        <w:t xml:space="preserve"> </w:t>
      </w:r>
      <w:r>
        <w:t>Console</w:t>
      </w:r>
      <w:r>
        <w:rPr>
          <w:spacing w:val="-9"/>
        </w:rPr>
        <w:t xml:space="preserve"> </w:t>
      </w:r>
      <w:r>
        <w:t>to</w:t>
      </w:r>
      <w:r>
        <w:rPr>
          <w:spacing w:val="-12"/>
        </w:rPr>
        <w:t xml:space="preserve"> </w:t>
      </w:r>
      <w:r>
        <w:t>enter</w:t>
      </w:r>
      <w:r>
        <w:rPr>
          <w:spacing w:val="-10"/>
        </w:rPr>
        <w:t xml:space="preserve"> </w:t>
      </w:r>
      <w:r>
        <w:t>any</w:t>
      </w:r>
      <w:r>
        <w:rPr>
          <w:spacing w:val="-11"/>
        </w:rPr>
        <w:t xml:space="preserve"> </w:t>
      </w:r>
      <w:r>
        <w:t>new</w:t>
      </w:r>
      <w:r>
        <w:rPr>
          <w:spacing w:val="-10"/>
        </w:rPr>
        <w:t xml:space="preserve"> </w:t>
      </w:r>
      <w:r>
        <w:t>entries</w:t>
      </w:r>
      <w:r>
        <w:rPr>
          <w:spacing w:val="-12"/>
        </w:rPr>
        <w:t xml:space="preserve"> </w:t>
      </w:r>
      <w:r>
        <w:t xml:space="preserve">and modification in the </w:t>
      </w:r>
      <w:proofErr w:type="spellStart"/>
      <w:r>
        <w:t>Harmonised</w:t>
      </w:r>
      <w:proofErr w:type="spellEnd"/>
      <w:r>
        <w:t xml:space="preserve"> Database, following the </w:t>
      </w:r>
      <w:proofErr w:type="spellStart"/>
      <w:r>
        <w:t>Harmonisation</w:t>
      </w:r>
      <w:proofErr w:type="spellEnd"/>
      <w:r>
        <w:t xml:space="preserve"> Workflow</w:t>
      </w:r>
      <w:r>
        <w:rPr>
          <w:spacing w:val="-30"/>
        </w:rPr>
        <w:t xml:space="preserve"> </w:t>
      </w:r>
      <w:r>
        <w:t>rules.</w:t>
      </w:r>
    </w:p>
    <w:p w14:paraId="2E88C0DD" w14:textId="77777777" w:rsidR="00D757DA" w:rsidRDefault="00D757DA">
      <w:pPr>
        <w:pStyle w:val="Zkladntext"/>
        <w:spacing w:before="11"/>
        <w:rPr>
          <w:sz w:val="21"/>
        </w:rPr>
      </w:pPr>
    </w:p>
    <w:p w14:paraId="4F5B9E80" w14:textId="77777777" w:rsidR="00D757DA" w:rsidRDefault="0033254E">
      <w:pPr>
        <w:pStyle w:val="Odstavecseseznamem"/>
        <w:numPr>
          <w:ilvl w:val="1"/>
          <w:numId w:val="19"/>
        </w:numPr>
        <w:tabs>
          <w:tab w:val="left" w:pos="841"/>
        </w:tabs>
        <w:ind w:right="1438" w:firstLine="0"/>
        <w:jc w:val="both"/>
      </w:pPr>
      <w:r>
        <w:t xml:space="preserve">The IPO shall assign at least one classification expert and one substitute </w:t>
      </w:r>
      <w:proofErr w:type="gramStart"/>
      <w:r>
        <w:t>in order to</w:t>
      </w:r>
      <w:proofErr w:type="gramEnd"/>
      <w:r>
        <w:t xml:space="preserve"> access the Terminology Maintenance Console and perform the maintenance tasks, following the </w:t>
      </w:r>
      <w:proofErr w:type="spellStart"/>
      <w:r>
        <w:t>Harmonisation</w:t>
      </w:r>
      <w:proofErr w:type="spellEnd"/>
      <w:r>
        <w:t xml:space="preserve"> Workflow</w:t>
      </w:r>
      <w:r>
        <w:rPr>
          <w:spacing w:val="-4"/>
        </w:rPr>
        <w:t xml:space="preserve"> </w:t>
      </w:r>
      <w:r>
        <w:t>rules.</w:t>
      </w:r>
    </w:p>
    <w:p w14:paraId="08DC6188" w14:textId="77777777" w:rsidR="00D757DA" w:rsidRDefault="00D757DA">
      <w:pPr>
        <w:pStyle w:val="Zkladntext"/>
        <w:spacing w:before="1"/>
      </w:pPr>
    </w:p>
    <w:p w14:paraId="09964765" w14:textId="77777777" w:rsidR="00D757DA" w:rsidRDefault="0033254E">
      <w:pPr>
        <w:pStyle w:val="Odstavecseseznamem"/>
        <w:numPr>
          <w:ilvl w:val="1"/>
          <w:numId w:val="19"/>
        </w:numPr>
        <w:tabs>
          <w:tab w:val="left" w:pos="841"/>
        </w:tabs>
        <w:spacing w:before="1"/>
        <w:ind w:right="1436" w:firstLine="0"/>
        <w:jc w:val="both"/>
      </w:pPr>
      <w:r>
        <w:t xml:space="preserve">The IPO shall be co-responsible of the quality of the translations and variants in the </w:t>
      </w:r>
      <w:proofErr w:type="spellStart"/>
      <w:r>
        <w:t>Harmonised</w:t>
      </w:r>
      <w:proofErr w:type="spellEnd"/>
      <w:r>
        <w:t xml:space="preserve"> database in the respective filing</w:t>
      </w:r>
      <w:r>
        <w:rPr>
          <w:spacing w:val="-11"/>
        </w:rPr>
        <w:t xml:space="preserve"> </w:t>
      </w:r>
      <w:r>
        <w:t>language(s).</w:t>
      </w:r>
    </w:p>
    <w:p w14:paraId="653DAEE1" w14:textId="77777777" w:rsidR="00D757DA" w:rsidRDefault="00D757DA">
      <w:pPr>
        <w:pStyle w:val="Zkladntext"/>
        <w:spacing w:before="10"/>
        <w:rPr>
          <w:sz w:val="21"/>
        </w:rPr>
      </w:pPr>
    </w:p>
    <w:p w14:paraId="0A6AC8A1" w14:textId="77777777" w:rsidR="00D757DA" w:rsidRDefault="0033254E">
      <w:pPr>
        <w:pStyle w:val="Odstavecseseznamem"/>
        <w:numPr>
          <w:ilvl w:val="1"/>
          <w:numId w:val="19"/>
        </w:numPr>
        <w:tabs>
          <w:tab w:val="left" w:pos="841"/>
        </w:tabs>
        <w:ind w:right="1438" w:firstLine="0"/>
        <w:jc w:val="both"/>
      </w:pPr>
      <w:r>
        <w:t xml:space="preserve">The IPO shall be co-owner, with all the other </w:t>
      </w:r>
      <w:proofErr w:type="spellStart"/>
      <w:r>
        <w:t>harmonised</w:t>
      </w:r>
      <w:proofErr w:type="spellEnd"/>
      <w:r>
        <w:t xml:space="preserve"> IPOs, of the </w:t>
      </w:r>
      <w:proofErr w:type="spellStart"/>
      <w:r>
        <w:t>Harmonised</w:t>
      </w:r>
      <w:proofErr w:type="spellEnd"/>
      <w:r>
        <w:t xml:space="preserve"> Database.</w:t>
      </w:r>
    </w:p>
    <w:p w14:paraId="3D9F88A1" w14:textId="77777777" w:rsidR="00D757DA" w:rsidRDefault="00D757DA">
      <w:pPr>
        <w:pStyle w:val="Zkladntext"/>
      </w:pPr>
    </w:p>
    <w:p w14:paraId="2C494E8C" w14:textId="77777777" w:rsidR="00D757DA" w:rsidRDefault="0033254E">
      <w:pPr>
        <w:pStyle w:val="Odstavecseseznamem"/>
        <w:numPr>
          <w:ilvl w:val="1"/>
          <w:numId w:val="19"/>
        </w:numPr>
        <w:tabs>
          <w:tab w:val="left" w:pos="841"/>
        </w:tabs>
        <w:ind w:left="840" w:hanging="721"/>
        <w:jc w:val="both"/>
      </w:pPr>
      <w:r>
        <w:t xml:space="preserve">The IPO shall actively participate in the voting process of the </w:t>
      </w:r>
      <w:proofErr w:type="spellStart"/>
      <w:r>
        <w:t>Harmonised</w:t>
      </w:r>
      <w:proofErr w:type="spellEnd"/>
      <w:r>
        <w:rPr>
          <w:spacing w:val="-18"/>
        </w:rPr>
        <w:t xml:space="preserve"> </w:t>
      </w:r>
      <w:r>
        <w:t>Workflow.</w:t>
      </w:r>
    </w:p>
    <w:p w14:paraId="13572455" w14:textId="77777777" w:rsidR="00D757DA" w:rsidRDefault="00D757DA">
      <w:pPr>
        <w:pStyle w:val="Zkladntext"/>
      </w:pPr>
    </w:p>
    <w:p w14:paraId="111991B2" w14:textId="77777777" w:rsidR="00D757DA" w:rsidRDefault="0033254E">
      <w:pPr>
        <w:pStyle w:val="Odstavecseseznamem"/>
        <w:numPr>
          <w:ilvl w:val="1"/>
          <w:numId w:val="19"/>
        </w:numPr>
        <w:tabs>
          <w:tab w:val="left" w:pos="841"/>
        </w:tabs>
        <w:ind w:right="1432" w:firstLine="0"/>
        <w:jc w:val="both"/>
      </w:pPr>
      <w:r>
        <w:t>The IPO shall actively collaborate in the implementation, communication and maintenance of the “Guidelines on acceptability of classification terms”. These guidelines comprise a set of instructions that will help to identify when a classification term is sufficiently clear</w:t>
      </w:r>
      <w:r>
        <w:rPr>
          <w:spacing w:val="-4"/>
        </w:rPr>
        <w:t xml:space="preserve"> </w:t>
      </w:r>
      <w:r>
        <w:t>and</w:t>
      </w:r>
      <w:r>
        <w:rPr>
          <w:spacing w:val="-4"/>
        </w:rPr>
        <w:t xml:space="preserve"> </w:t>
      </w:r>
      <w:r>
        <w:t>precise.</w:t>
      </w:r>
      <w:r>
        <w:rPr>
          <w:spacing w:val="-5"/>
        </w:rPr>
        <w:t xml:space="preserve"> </w:t>
      </w:r>
      <w:r>
        <w:t>The</w:t>
      </w:r>
      <w:r>
        <w:rPr>
          <w:spacing w:val="-4"/>
        </w:rPr>
        <w:t xml:space="preserve"> </w:t>
      </w:r>
      <w:r>
        <w:t>guidelines</w:t>
      </w:r>
      <w:r>
        <w:rPr>
          <w:spacing w:val="-4"/>
        </w:rPr>
        <w:t xml:space="preserve"> </w:t>
      </w:r>
      <w:r>
        <w:t>can</w:t>
      </w:r>
      <w:r>
        <w:rPr>
          <w:spacing w:val="-4"/>
        </w:rPr>
        <w:t xml:space="preserve"> </w:t>
      </w:r>
      <w:r>
        <w:t>also</w:t>
      </w:r>
      <w:r>
        <w:rPr>
          <w:spacing w:val="-4"/>
        </w:rPr>
        <w:t xml:space="preserve"> </w:t>
      </w:r>
      <w:r>
        <w:t>be</w:t>
      </w:r>
      <w:r>
        <w:rPr>
          <w:spacing w:val="-4"/>
        </w:rPr>
        <w:t xml:space="preserve"> </w:t>
      </w:r>
      <w:r>
        <w:t>of</w:t>
      </w:r>
      <w:r>
        <w:rPr>
          <w:spacing w:val="-6"/>
        </w:rPr>
        <w:t xml:space="preserve"> </w:t>
      </w:r>
      <w:r>
        <w:t>help</w:t>
      </w:r>
      <w:r>
        <w:rPr>
          <w:spacing w:val="-4"/>
        </w:rPr>
        <w:t xml:space="preserve"> </w:t>
      </w:r>
      <w:r>
        <w:t>to</w:t>
      </w:r>
      <w:r>
        <w:rPr>
          <w:spacing w:val="-6"/>
        </w:rPr>
        <w:t xml:space="preserve"> </w:t>
      </w:r>
      <w:r>
        <w:t>reason</w:t>
      </w:r>
      <w:r>
        <w:rPr>
          <w:spacing w:val="-7"/>
        </w:rPr>
        <w:t xml:space="preserve"> </w:t>
      </w:r>
      <w:r>
        <w:t>the</w:t>
      </w:r>
      <w:r>
        <w:rPr>
          <w:spacing w:val="-4"/>
        </w:rPr>
        <w:t xml:space="preserve"> </w:t>
      </w:r>
      <w:r>
        <w:t>acceptance</w:t>
      </w:r>
      <w:r>
        <w:rPr>
          <w:spacing w:val="-4"/>
        </w:rPr>
        <w:t xml:space="preserve"> </w:t>
      </w:r>
      <w:r>
        <w:t>or</w:t>
      </w:r>
      <w:r>
        <w:rPr>
          <w:spacing w:val="-5"/>
        </w:rPr>
        <w:t xml:space="preserve"> </w:t>
      </w:r>
      <w:r>
        <w:t>rejection</w:t>
      </w:r>
      <w:r>
        <w:rPr>
          <w:spacing w:val="-4"/>
        </w:rPr>
        <w:t xml:space="preserve"> </w:t>
      </w:r>
      <w:r>
        <w:t>of any</w:t>
      </w:r>
      <w:r>
        <w:rPr>
          <w:spacing w:val="-5"/>
        </w:rPr>
        <w:t xml:space="preserve"> </w:t>
      </w:r>
      <w:r>
        <w:t>classification</w:t>
      </w:r>
      <w:r>
        <w:rPr>
          <w:spacing w:val="-5"/>
        </w:rPr>
        <w:t xml:space="preserve"> </w:t>
      </w:r>
      <w:r>
        <w:t>term</w:t>
      </w:r>
      <w:r>
        <w:rPr>
          <w:spacing w:val="-6"/>
        </w:rPr>
        <w:t xml:space="preserve"> </w:t>
      </w:r>
      <w:r>
        <w:t>proposed</w:t>
      </w:r>
      <w:r>
        <w:rPr>
          <w:spacing w:val="-5"/>
        </w:rPr>
        <w:t xml:space="preserve"> </w:t>
      </w:r>
      <w:r>
        <w:t>to</w:t>
      </w:r>
      <w:r>
        <w:rPr>
          <w:spacing w:val="-9"/>
        </w:rPr>
        <w:t xml:space="preserve"> </w:t>
      </w:r>
      <w:r>
        <w:t>the</w:t>
      </w:r>
      <w:r>
        <w:rPr>
          <w:spacing w:val="-5"/>
        </w:rPr>
        <w:t xml:space="preserve"> </w:t>
      </w:r>
      <w:proofErr w:type="spellStart"/>
      <w:r>
        <w:t>Harmonised</w:t>
      </w:r>
      <w:proofErr w:type="spellEnd"/>
      <w:r>
        <w:rPr>
          <w:spacing w:val="-5"/>
        </w:rPr>
        <w:t xml:space="preserve"> </w:t>
      </w:r>
      <w:r>
        <w:t>database.</w:t>
      </w:r>
      <w:r>
        <w:rPr>
          <w:spacing w:val="-6"/>
        </w:rPr>
        <w:t xml:space="preserve"> </w:t>
      </w:r>
      <w:r>
        <w:t>The</w:t>
      </w:r>
      <w:r>
        <w:rPr>
          <w:spacing w:val="-7"/>
        </w:rPr>
        <w:t xml:space="preserve"> </w:t>
      </w:r>
      <w:r>
        <w:t>IPO</w:t>
      </w:r>
      <w:r>
        <w:rPr>
          <w:spacing w:val="-5"/>
        </w:rPr>
        <w:t xml:space="preserve"> </w:t>
      </w:r>
      <w:r>
        <w:t>shall</w:t>
      </w:r>
      <w:r>
        <w:rPr>
          <w:spacing w:val="-6"/>
        </w:rPr>
        <w:t xml:space="preserve"> </w:t>
      </w:r>
      <w:r>
        <w:t>cooperate</w:t>
      </w:r>
      <w:r>
        <w:rPr>
          <w:spacing w:val="-7"/>
        </w:rPr>
        <w:t xml:space="preserve"> </w:t>
      </w:r>
      <w:r>
        <w:t>in</w:t>
      </w:r>
      <w:r>
        <w:rPr>
          <w:spacing w:val="-7"/>
        </w:rPr>
        <w:t xml:space="preserve"> </w:t>
      </w:r>
      <w:r>
        <w:t>the updating of Taxonomy and Class Scopes, as coordinated by the EUIPO, and validate the yearly taxonomy</w:t>
      </w:r>
      <w:r>
        <w:rPr>
          <w:spacing w:val="-2"/>
        </w:rPr>
        <w:t xml:space="preserve"> </w:t>
      </w:r>
      <w:r>
        <w:t>updates.</w:t>
      </w:r>
    </w:p>
    <w:p w14:paraId="1CF711B7" w14:textId="77777777" w:rsidR="00D757DA" w:rsidRDefault="00D757DA">
      <w:pPr>
        <w:pStyle w:val="Zkladntext"/>
      </w:pPr>
    </w:p>
    <w:p w14:paraId="4D6F47DC" w14:textId="77777777" w:rsidR="00D757DA" w:rsidRDefault="0033254E">
      <w:pPr>
        <w:pStyle w:val="Odstavecseseznamem"/>
        <w:numPr>
          <w:ilvl w:val="1"/>
          <w:numId w:val="19"/>
        </w:numPr>
        <w:tabs>
          <w:tab w:val="left" w:pos="841"/>
        </w:tabs>
        <w:ind w:right="1439" w:firstLine="0"/>
        <w:jc w:val="both"/>
      </w:pPr>
      <w:r>
        <w:t>The IPO shall cooperate in the implementation, validation and translation of new Nice Classification editions and versions.</w:t>
      </w:r>
    </w:p>
    <w:p w14:paraId="4124AD78" w14:textId="77777777" w:rsidR="00D757DA" w:rsidRDefault="00D757DA">
      <w:pPr>
        <w:pStyle w:val="Zkladntext"/>
        <w:spacing w:before="2"/>
      </w:pPr>
    </w:p>
    <w:p w14:paraId="371FB9AC" w14:textId="77777777" w:rsidR="00D757DA" w:rsidRDefault="0033254E">
      <w:pPr>
        <w:pStyle w:val="Odstavecseseznamem"/>
        <w:numPr>
          <w:ilvl w:val="1"/>
          <w:numId w:val="19"/>
        </w:numPr>
        <w:tabs>
          <w:tab w:val="left" w:pos="841"/>
        </w:tabs>
        <w:ind w:right="1436" w:firstLine="0"/>
        <w:jc w:val="both"/>
      </w:pPr>
      <w:r>
        <w:t xml:space="preserve">The IPO shall provide support on off-line exercise regarding maintenance of translations of Goods &amp; Services terms and the evolution of the </w:t>
      </w:r>
      <w:proofErr w:type="spellStart"/>
      <w:r>
        <w:t>Harmonised</w:t>
      </w:r>
      <w:proofErr w:type="spellEnd"/>
      <w:r>
        <w:rPr>
          <w:spacing w:val="-30"/>
        </w:rPr>
        <w:t xml:space="preserve"> </w:t>
      </w:r>
      <w:r>
        <w:t>database.</w:t>
      </w:r>
    </w:p>
    <w:p w14:paraId="5722D699" w14:textId="77777777" w:rsidR="00D757DA" w:rsidRDefault="00D757DA">
      <w:pPr>
        <w:pStyle w:val="Zkladntext"/>
        <w:spacing w:before="11"/>
        <w:rPr>
          <w:sz w:val="21"/>
        </w:rPr>
      </w:pPr>
    </w:p>
    <w:p w14:paraId="6E8F80A0" w14:textId="77777777" w:rsidR="00D757DA" w:rsidRDefault="0033254E">
      <w:pPr>
        <w:pStyle w:val="Odstavecseseznamem"/>
        <w:numPr>
          <w:ilvl w:val="1"/>
          <w:numId w:val="19"/>
        </w:numPr>
        <w:tabs>
          <w:tab w:val="left" w:pos="841"/>
        </w:tabs>
        <w:ind w:right="1436" w:firstLine="0"/>
        <w:jc w:val="both"/>
      </w:pPr>
      <w:r>
        <w:t xml:space="preserve">The IPO, which is </w:t>
      </w:r>
      <w:proofErr w:type="spellStart"/>
      <w:r>
        <w:t>harmonised</w:t>
      </w:r>
      <w:proofErr w:type="spellEnd"/>
      <w:r>
        <w:t xml:space="preserve">, shall strictly apply the agreed guidelines and rules (“Guidelines on acceptability of classification terms” and </w:t>
      </w:r>
      <w:proofErr w:type="spellStart"/>
      <w:r>
        <w:t>Harmonisation</w:t>
      </w:r>
      <w:proofErr w:type="spellEnd"/>
      <w:r>
        <w:t xml:space="preserve"> Workflow rules), and the content of the </w:t>
      </w:r>
      <w:proofErr w:type="spellStart"/>
      <w:r>
        <w:t>Harmonised</w:t>
      </w:r>
      <w:proofErr w:type="spellEnd"/>
      <w:r>
        <w:t xml:space="preserve"> Database. This includes providing the full, unaltered and unedited content of the </w:t>
      </w:r>
      <w:proofErr w:type="spellStart"/>
      <w:r>
        <w:t>Harmonised</w:t>
      </w:r>
      <w:proofErr w:type="spellEnd"/>
      <w:r>
        <w:t xml:space="preserve"> Database (when IPO </w:t>
      </w:r>
      <w:proofErr w:type="spellStart"/>
      <w:r>
        <w:t>harmonisation</w:t>
      </w:r>
      <w:proofErr w:type="spellEnd"/>
      <w:r>
        <w:t xml:space="preserve"> is completed) in all classification search tools, including e-filing classification</w:t>
      </w:r>
      <w:r>
        <w:rPr>
          <w:spacing w:val="-7"/>
        </w:rPr>
        <w:t xml:space="preserve"> </w:t>
      </w:r>
      <w:r>
        <w:t>functionality.</w:t>
      </w:r>
    </w:p>
    <w:p w14:paraId="12465A30" w14:textId="77777777" w:rsidR="00D757DA" w:rsidRDefault="00D757DA">
      <w:pPr>
        <w:pStyle w:val="Zkladntext"/>
        <w:spacing w:before="11"/>
        <w:rPr>
          <w:sz w:val="21"/>
        </w:rPr>
      </w:pPr>
    </w:p>
    <w:p w14:paraId="2FFE91D2" w14:textId="77777777" w:rsidR="00D757DA" w:rsidRDefault="0033254E">
      <w:pPr>
        <w:pStyle w:val="Odstavecseseznamem"/>
        <w:numPr>
          <w:ilvl w:val="1"/>
          <w:numId w:val="19"/>
        </w:numPr>
        <w:tabs>
          <w:tab w:val="left" w:pos="841"/>
        </w:tabs>
        <w:ind w:right="1439" w:firstLine="0"/>
        <w:jc w:val="both"/>
      </w:pPr>
      <w:r>
        <w:t xml:space="preserve">The IPO shall comply with the outcome of the voting process of the </w:t>
      </w:r>
      <w:proofErr w:type="spellStart"/>
      <w:r>
        <w:t>harmonised</w:t>
      </w:r>
      <w:proofErr w:type="spellEnd"/>
      <w:r>
        <w:t xml:space="preserve"> workflow.</w:t>
      </w:r>
    </w:p>
    <w:p w14:paraId="542CE979" w14:textId="77777777" w:rsidR="00D757DA" w:rsidRDefault="00D757DA">
      <w:pPr>
        <w:pStyle w:val="Zkladntext"/>
        <w:spacing w:before="2"/>
      </w:pPr>
    </w:p>
    <w:p w14:paraId="5A05AC09" w14:textId="77777777" w:rsidR="00D757DA" w:rsidRDefault="0033254E">
      <w:pPr>
        <w:pStyle w:val="Odstavecseseznamem"/>
        <w:numPr>
          <w:ilvl w:val="1"/>
          <w:numId w:val="19"/>
        </w:numPr>
        <w:tabs>
          <w:tab w:val="left" w:pos="841"/>
        </w:tabs>
        <w:ind w:right="1434" w:firstLine="0"/>
        <w:jc w:val="both"/>
      </w:pPr>
      <w:r>
        <w:t xml:space="preserve">The IPO shall prominently include a link to </w:t>
      </w:r>
      <w:proofErr w:type="spellStart"/>
      <w:r>
        <w:t>TMclass</w:t>
      </w:r>
      <w:proofErr w:type="spellEnd"/>
      <w:r>
        <w:t xml:space="preserve"> on their website, preferably in section(s) concerning classification of goods and services. Furthermore, when </w:t>
      </w:r>
      <w:proofErr w:type="spellStart"/>
      <w:r>
        <w:t>utilising</w:t>
      </w:r>
      <w:proofErr w:type="spellEnd"/>
      <w:r>
        <w:t xml:space="preserve"> the </w:t>
      </w:r>
      <w:proofErr w:type="spellStart"/>
      <w:r>
        <w:t>Harmonised</w:t>
      </w:r>
      <w:proofErr w:type="spellEnd"/>
      <w:r>
        <w:t xml:space="preserve"> Database and the </w:t>
      </w:r>
      <w:proofErr w:type="gramStart"/>
      <w:r>
        <w:t>built in</w:t>
      </w:r>
      <w:proofErr w:type="gramEnd"/>
      <w:r>
        <w:t xml:space="preserve"> web services on their own website, their e-filing or any other online tool, shall reference the origin by adding the text “Powered by </w:t>
      </w:r>
      <w:proofErr w:type="spellStart"/>
      <w:r>
        <w:t>TMclass</w:t>
      </w:r>
      <w:proofErr w:type="spellEnd"/>
      <w:r>
        <w:t xml:space="preserve"> and the </w:t>
      </w:r>
      <w:proofErr w:type="spellStart"/>
      <w:r>
        <w:t>Harmonised</w:t>
      </w:r>
      <w:proofErr w:type="spellEnd"/>
      <w:r>
        <w:t xml:space="preserve"> Database” (where </w:t>
      </w:r>
      <w:proofErr w:type="spellStart"/>
      <w:r>
        <w:t>TMclass</w:t>
      </w:r>
      <w:proofErr w:type="spellEnd"/>
      <w:r>
        <w:t xml:space="preserve"> is hyperlinked to the Trade mark and Designs Network tool) clearly visible on the</w:t>
      </w:r>
      <w:r>
        <w:rPr>
          <w:spacing w:val="-6"/>
        </w:rPr>
        <w:t xml:space="preserve"> </w:t>
      </w:r>
      <w:r>
        <w:t>page.</w:t>
      </w:r>
    </w:p>
    <w:p w14:paraId="26A5B062" w14:textId="77777777" w:rsidR="00D757DA" w:rsidRDefault="00D757DA">
      <w:pPr>
        <w:jc w:val="both"/>
        <w:sectPr w:rsidR="00D757DA">
          <w:pgSz w:w="11910" w:h="16840"/>
          <w:pgMar w:top="1340" w:right="0" w:bottom="1160" w:left="1320" w:header="0" w:footer="881" w:gutter="0"/>
          <w:cols w:space="708"/>
        </w:sectPr>
      </w:pPr>
    </w:p>
    <w:p w14:paraId="3D6C74A5" w14:textId="77777777" w:rsidR="00D757DA" w:rsidRDefault="0033254E">
      <w:pPr>
        <w:pStyle w:val="Odstavecseseznamem"/>
        <w:numPr>
          <w:ilvl w:val="1"/>
          <w:numId w:val="19"/>
        </w:numPr>
        <w:tabs>
          <w:tab w:val="left" w:pos="841"/>
        </w:tabs>
        <w:spacing w:before="81"/>
        <w:ind w:right="1434" w:firstLine="0"/>
        <w:jc w:val="both"/>
      </w:pPr>
      <w:r>
        <w:lastRenderedPageBreak/>
        <w:t>The</w:t>
      </w:r>
      <w:r>
        <w:rPr>
          <w:spacing w:val="-7"/>
        </w:rPr>
        <w:t xml:space="preserve"> </w:t>
      </w:r>
      <w:r>
        <w:t>IPO</w:t>
      </w:r>
      <w:r>
        <w:rPr>
          <w:spacing w:val="-8"/>
        </w:rPr>
        <w:t xml:space="preserve"> </w:t>
      </w:r>
      <w:r>
        <w:t>must</w:t>
      </w:r>
      <w:r>
        <w:rPr>
          <w:spacing w:val="-6"/>
        </w:rPr>
        <w:t xml:space="preserve"> </w:t>
      </w:r>
      <w:r>
        <w:t>provide</w:t>
      </w:r>
      <w:r>
        <w:rPr>
          <w:spacing w:val="-8"/>
        </w:rPr>
        <w:t xml:space="preserve"> </w:t>
      </w:r>
      <w:r>
        <w:t>active</w:t>
      </w:r>
      <w:r>
        <w:rPr>
          <w:spacing w:val="-7"/>
        </w:rPr>
        <w:t xml:space="preserve"> </w:t>
      </w:r>
      <w:r>
        <w:t>support</w:t>
      </w:r>
      <w:r>
        <w:rPr>
          <w:spacing w:val="-8"/>
        </w:rPr>
        <w:t xml:space="preserve"> </w:t>
      </w:r>
      <w:r>
        <w:t>for</w:t>
      </w:r>
      <w:r>
        <w:rPr>
          <w:spacing w:val="-8"/>
        </w:rPr>
        <w:t xml:space="preserve"> </w:t>
      </w:r>
      <w:r>
        <w:t>the</w:t>
      </w:r>
      <w:r>
        <w:rPr>
          <w:spacing w:val="-10"/>
        </w:rPr>
        <w:t xml:space="preserve"> </w:t>
      </w:r>
      <w:r>
        <w:t>maintenance</w:t>
      </w:r>
      <w:r>
        <w:rPr>
          <w:spacing w:val="-7"/>
        </w:rPr>
        <w:t xml:space="preserve"> </w:t>
      </w:r>
      <w:r>
        <w:t>of</w:t>
      </w:r>
      <w:r>
        <w:rPr>
          <w:spacing w:val="-9"/>
        </w:rPr>
        <w:t xml:space="preserve"> </w:t>
      </w:r>
      <w:r>
        <w:t>the</w:t>
      </w:r>
      <w:r>
        <w:rPr>
          <w:spacing w:val="-9"/>
        </w:rPr>
        <w:t xml:space="preserve"> </w:t>
      </w:r>
      <w:proofErr w:type="spellStart"/>
      <w:r>
        <w:t>harmonised</w:t>
      </w:r>
      <w:proofErr w:type="spellEnd"/>
      <w:r>
        <w:rPr>
          <w:spacing w:val="-7"/>
        </w:rPr>
        <w:t xml:space="preserve"> </w:t>
      </w:r>
      <w:r>
        <w:t xml:space="preserve">database of product indications (HDBPI), by acting in accordance with the </w:t>
      </w:r>
      <w:proofErr w:type="spellStart"/>
      <w:r>
        <w:t>Harmonised</w:t>
      </w:r>
      <w:proofErr w:type="spellEnd"/>
      <w:r>
        <w:t xml:space="preserve"> Workflow established by the virtual community composed of Participating IPOs, WIPO and the EUIPO. The virtual community is responsible for the definition of this </w:t>
      </w:r>
      <w:proofErr w:type="spellStart"/>
      <w:r>
        <w:t>Harmonised</w:t>
      </w:r>
      <w:proofErr w:type="spellEnd"/>
      <w:r>
        <w:t xml:space="preserve"> Workflow. Any modification will be agreed and communicated to the IPO in due</w:t>
      </w:r>
      <w:r>
        <w:rPr>
          <w:spacing w:val="-13"/>
        </w:rPr>
        <w:t xml:space="preserve"> </w:t>
      </w:r>
      <w:r>
        <w:t>course.</w:t>
      </w:r>
    </w:p>
    <w:p w14:paraId="04C3BE01" w14:textId="77777777" w:rsidR="00D757DA" w:rsidRDefault="00D757DA">
      <w:pPr>
        <w:pStyle w:val="Zkladntext"/>
        <w:spacing w:before="11"/>
        <w:rPr>
          <w:sz w:val="21"/>
        </w:rPr>
      </w:pPr>
    </w:p>
    <w:p w14:paraId="645CDA98" w14:textId="77777777" w:rsidR="00D757DA" w:rsidRDefault="0033254E">
      <w:pPr>
        <w:pStyle w:val="Odstavecseseznamem"/>
        <w:numPr>
          <w:ilvl w:val="1"/>
          <w:numId w:val="19"/>
        </w:numPr>
        <w:tabs>
          <w:tab w:val="left" w:pos="841"/>
        </w:tabs>
        <w:ind w:right="1437" w:firstLine="0"/>
        <w:jc w:val="both"/>
      </w:pPr>
      <w:r>
        <w:t>The</w:t>
      </w:r>
      <w:r>
        <w:rPr>
          <w:spacing w:val="-12"/>
        </w:rPr>
        <w:t xml:space="preserve"> </w:t>
      </w:r>
      <w:r>
        <w:t>IPO</w:t>
      </w:r>
      <w:r>
        <w:rPr>
          <w:spacing w:val="-12"/>
        </w:rPr>
        <w:t xml:space="preserve"> </w:t>
      </w:r>
      <w:r>
        <w:t>must</w:t>
      </w:r>
      <w:r>
        <w:rPr>
          <w:spacing w:val="-10"/>
        </w:rPr>
        <w:t xml:space="preserve"> </w:t>
      </w:r>
      <w:r>
        <w:t>use</w:t>
      </w:r>
      <w:r>
        <w:rPr>
          <w:spacing w:val="-14"/>
        </w:rPr>
        <w:t xml:space="preserve"> </w:t>
      </w:r>
      <w:r>
        <w:t>the</w:t>
      </w:r>
      <w:r>
        <w:rPr>
          <w:spacing w:val="-12"/>
        </w:rPr>
        <w:t xml:space="preserve"> </w:t>
      </w:r>
      <w:r>
        <w:t>Design</w:t>
      </w:r>
      <w:r>
        <w:rPr>
          <w:spacing w:val="-13"/>
        </w:rPr>
        <w:t xml:space="preserve"> </w:t>
      </w:r>
      <w:r>
        <w:t>Terminology</w:t>
      </w:r>
      <w:r>
        <w:rPr>
          <w:spacing w:val="-13"/>
        </w:rPr>
        <w:t xml:space="preserve"> </w:t>
      </w:r>
      <w:r>
        <w:t>Maintenance</w:t>
      </w:r>
      <w:r>
        <w:rPr>
          <w:spacing w:val="-12"/>
        </w:rPr>
        <w:t xml:space="preserve"> </w:t>
      </w:r>
      <w:r>
        <w:t>Console</w:t>
      </w:r>
      <w:r>
        <w:rPr>
          <w:spacing w:val="-11"/>
        </w:rPr>
        <w:t xml:space="preserve"> </w:t>
      </w:r>
      <w:r>
        <w:t>(DTMC)</w:t>
      </w:r>
      <w:r>
        <w:rPr>
          <w:spacing w:val="-10"/>
        </w:rPr>
        <w:t xml:space="preserve"> </w:t>
      </w:r>
      <w:r>
        <w:t>to</w:t>
      </w:r>
      <w:r>
        <w:rPr>
          <w:spacing w:val="-11"/>
        </w:rPr>
        <w:t xml:space="preserve"> </w:t>
      </w:r>
      <w:r>
        <w:t>enter</w:t>
      </w:r>
      <w:r>
        <w:rPr>
          <w:spacing w:val="-14"/>
        </w:rPr>
        <w:t xml:space="preserve"> </w:t>
      </w:r>
      <w:r>
        <w:t xml:space="preserve">any new terms and/or modifications into the HDBPI, in accordance with the rules of the </w:t>
      </w:r>
      <w:proofErr w:type="spellStart"/>
      <w:r>
        <w:t>Harmonised</w:t>
      </w:r>
      <w:proofErr w:type="spellEnd"/>
      <w:r>
        <w:rPr>
          <w:spacing w:val="-3"/>
        </w:rPr>
        <w:t xml:space="preserve"> </w:t>
      </w:r>
      <w:r>
        <w:t>Workflow.</w:t>
      </w:r>
    </w:p>
    <w:p w14:paraId="593AD5D4" w14:textId="77777777" w:rsidR="00D757DA" w:rsidRDefault="00D757DA">
      <w:pPr>
        <w:pStyle w:val="Zkladntext"/>
        <w:spacing w:before="1"/>
      </w:pPr>
    </w:p>
    <w:p w14:paraId="412A1356" w14:textId="77777777" w:rsidR="00D757DA" w:rsidRDefault="0033254E">
      <w:pPr>
        <w:pStyle w:val="Odstavecseseznamem"/>
        <w:numPr>
          <w:ilvl w:val="1"/>
          <w:numId w:val="19"/>
        </w:numPr>
        <w:tabs>
          <w:tab w:val="left" w:pos="841"/>
        </w:tabs>
        <w:ind w:right="1440" w:firstLine="0"/>
        <w:jc w:val="both"/>
      </w:pPr>
      <w:r>
        <w:t>The</w:t>
      </w:r>
      <w:r>
        <w:rPr>
          <w:spacing w:val="-12"/>
        </w:rPr>
        <w:t xml:space="preserve"> </w:t>
      </w:r>
      <w:r>
        <w:t>IPO</w:t>
      </w:r>
      <w:r>
        <w:rPr>
          <w:spacing w:val="-12"/>
        </w:rPr>
        <w:t xml:space="preserve"> </w:t>
      </w:r>
      <w:r>
        <w:t>must</w:t>
      </w:r>
      <w:r>
        <w:rPr>
          <w:spacing w:val="-11"/>
        </w:rPr>
        <w:t xml:space="preserve"> </w:t>
      </w:r>
      <w:r>
        <w:t>assign</w:t>
      </w:r>
      <w:r>
        <w:rPr>
          <w:spacing w:val="-12"/>
        </w:rPr>
        <w:t xml:space="preserve"> </w:t>
      </w:r>
      <w:r>
        <w:t>at</w:t>
      </w:r>
      <w:r>
        <w:rPr>
          <w:spacing w:val="-10"/>
        </w:rPr>
        <w:t xml:space="preserve"> </w:t>
      </w:r>
      <w:r>
        <w:t>least</w:t>
      </w:r>
      <w:r>
        <w:rPr>
          <w:spacing w:val="-11"/>
        </w:rPr>
        <w:t xml:space="preserve"> </w:t>
      </w:r>
      <w:r>
        <w:t>one</w:t>
      </w:r>
      <w:r>
        <w:rPr>
          <w:spacing w:val="-11"/>
        </w:rPr>
        <w:t xml:space="preserve"> </w:t>
      </w:r>
      <w:r>
        <w:t>classification</w:t>
      </w:r>
      <w:r>
        <w:rPr>
          <w:spacing w:val="-13"/>
        </w:rPr>
        <w:t xml:space="preserve"> </w:t>
      </w:r>
      <w:r>
        <w:t>expert</w:t>
      </w:r>
      <w:r>
        <w:rPr>
          <w:spacing w:val="-10"/>
        </w:rPr>
        <w:t xml:space="preserve"> </w:t>
      </w:r>
      <w:r>
        <w:t>and</w:t>
      </w:r>
      <w:r>
        <w:rPr>
          <w:spacing w:val="-11"/>
        </w:rPr>
        <w:t xml:space="preserve"> </w:t>
      </w:r>
      <w:r>
        <w:t>one</w:t>
      </w:r>
      <w:r>
        <w:rPr>
          <w:spacing w:val="-15"/>
        </w:rPr>
        <w:t xml:space="preserve"> </w:t>
      </w:r>
      <w:r>
        <w:t>substitute</w:t>
      </w:r>
      <w:r>
        <w:rPr>
          <w:spacing w:val="-14"/>
        </w:rPr>
        <w:t xml:space="preserve"> </w:t>
      </w:r>
      <w:r>
        <w:t>that</w:t>
      </w:r>
      <w:r>
        <w:rPr>
          <w:spacing w:val="-10"/>
        </w:rPr>
        <w:t xml:space="preserve"> </w:t>
      </w:r>
      <w:r>
        <w:t>will</w:t>
      </w:r>
      <w:r>
        <w:rPr>
          <w:spacing w:val="-13"/>
        </w:rPr>
        <w:t xml:space="preserve"> </w:t>
      </w:r>
      <w:r>
        <w:t xml:space="preserve">have permission to access the DTMC and perform the maintenance tasks, as provided for in the rules of the </w:t>
      </w:r>
      <w:proofErr w:type="spellStart"/>
      <w:r>
        <w:t>Harmonised</w:t>
      </w:r>
      <w:proofErr w:type="spellEnd"/>
      <w:r>
        <w:rPr>
          <w:spacing w:val="-5"/>
        </w:rPr>
        <w:t xml:space="preserve"> </w:t>
      </w:r>
      <w:r>
        <w:t>Workflow.</w:t>
      </w:r>
    </w:p>
    <w:p w14:paraId="0634A49C" w14:textId="77777777" w:rsidR="00D757DA" w:rsidRDefault="00D757DA">
      <w:pPr>
        <w:pStyle w:val="Zkladntext"/>
        <w:spacing w:before="1"/>
      </w:pPr>
    </w:p>
    <w:p w14:paraId="2C9BAA66" w14:textId="77777777" w:rsidR="00D757DA" w:rsidRDefault="0033254E">
      <w:pPr>
        <w:pStyle w:val="Odstavecseseznamem"/>
        <w:numPr>
          <w:ilvl w:val="1"/>
          <w:numId w:val="19"/>
        </w:numPr>
        <w:tabs>
          <w:tab w:val="left" w:pos="841"/>
        </w:tabs>
        <w:spacing w:before="1"/>
        <w:ind w:right="1437" w:firstLine="0"/>
        <w:jc w:val="both"/>
      </w:pPr>
      <w:r>
        <w:t>The IPO shall be jointly co-responsible for the quality of the translations and variants in the HDBPI in the respective filing</w:t>
      </w:r>
      <w:r>
        <w:rPr>
          <w:spacing w:val="-7"/>
        </w:rPr>
        <w:t xml:space="preserve"> </w:t>
      </w:r>
      <w:r>
        <w:t>language(s).</w:t>
      </w:r>
    </w:p>
    <w:p w14:paraId="6AE4C798" w14:textId="77777777" w:rsidR="00D757DA" w:rsidRDefault="00D757DA">
      <w:pPr>
        <w:pStyle w:val="Zkladntext"/>
        <w:spacing w:before="10"/>
        <w:rPr>
          <w:sz w:val="21"/>
        </w:rPr>
      </w:pPr>
    </w:p>
    <w:p w14:paraId="65CA096D" w14:textId="77777777" w:rsidR="00D757DA" w:rsidRDefault="0033254E">
      <w:pPr>
        <w:pStyle w:val="Odstavecseseznamem"/>
        <w:numPr>
          <w:ilvl w:val="1"/>
          <w:numId w:val="19"/>
        </w:numPr>
        <w:tabs>
          <w:tab w:val="left" w:pos="841"/>
        </w:tabs>
        <w:spacing w:before="1"/>
        <w:ind w:left="840" w:hanging="721"/>
        <w:jc w:val="both"/>
      </w:pPr>
      <w:r>
        <w:t xml:space="preserve">The IPO must be co-owner of the HDBPI jointly with all the other </w:t>
      </w:r>
      <w:proofErr w:type="spellStart"/>
      <w:r>
        <w:t>harmonised</w:t>
      </w:r>
      <w:proofErr w:type="spellEnd"/>
      <w:r>
        <w:rPr>
          <w:spacing w:val="-18"/>
        </w:rPr>
        <w:t xml:space="preserve"> </w:t>
      </w:r>
      <w:r>
        <w:t>IPOs.</w:t>
      </w:r>
    </w:p>
    <w:p w14:paraId="12D89A81" w14:textId="77777777" w:rsidR="00D757DA" w:rsidRDefault="00D757DA">
      <w:pPr>
        <w:pStyle w:val="Zkladntext"/>
      </w:pPr>
    </w:p>
    <w:p w14:paraId="1AABFCAA" w14:textId="77777777" w:rsidR="00D757DA" w:rsidRDefault="0033254E">
      <w:pPr>
        <w:pStyle w:val="Odstavecseseznamem"/>
        <w:numPr>
          <w:ilvl w:val="1"/>
          <w:numId w:val="19"/>
        </w:numPr>
        <w:tabs>
          <w:tab w:val="left" w:pos="841"/>
        </w:tabs>
        <w:ind w:left="840" w:hanging="721"/>
        <w:jc w:val="both"/>
      </w:pPr>
      <w:r>
        <w:t xml:space="preserve">The IPO must actively participate in the voting process of the </w:t>
      </w:r>
      <w:proofErr w:type="spellStart"/>
      <w:r>
        <w:t>Harmonised</w:t>
      </w:r>
      <w:proofErr w:type="spellEnd"/>
      <w:r>
        <w:rPr>
          <w:spacing w:val="-15"/>
        </w:rPr>
        <w:t xml:space="preserve"> </w:t>
      </w:r>
      <w:r>
        <w:t>Workflow.</w:t>
      </w:r>
    </w:p>
    <w:p w14:paraId="5308C944" w14:textId="77777777" w:rsidR="00D757DA" w:rsidRDefault="00D757DA">
      <w:pPr>
        <w:pStyle w:val="Zkladntext"/>
      </w:pPr>
    </w:p>
    <w:p w14:paraId="131E28CC" w14:textId="77777777" w:rsidR="00D757DA" w:rsidRDefault="0033254E">
      <w:pPr>
        <w:pStyle w:val="Odstavecseseznamem"/>
        <w:numPr>
          <w:ilvl w:val="1"/>
          <w:numId w:val="19"/>
        </w:numPr>
        <w:tabs>
          <w:tab w:val="left" w:pos="841"/>
        </w:tabs>
        <w:ind w:right="1433" w:firstLine="0"/>
        <w:jc w:val="both"/>
      </w:pPr>
      <w:r>
        <w:t>The IPO must actively collaborate in the implementation, communication and maintenance of the “Guidelines on acceptability of classification terms”. These guidelines comprise a set of instructions that will help to identify when a classification term is sufficiently clear and precise. The guidelines can also be of help to justify the acceptance or rejection of any classification term proposed for entry into the</w:t>
      </w:r>
      <w:r>
        <w:rPr>
          <w:spacing w:val="-11"/>
        </w:rPr>
        <w:t xml:space="preserve"> </w:t>
      </w:r>
      <w:r>
        <w:t>HDBPI.</w:t>
      </w:r>
    </w:p>
    <w:p w14:paraId="070FCD97" w14:textId="77777777" w:rsidR="00D757DA" w:rsidRDefault="00D757DA">
      <w:pPr>
        <w:pStyle w:val="Zkladntext"/>
      </w:pPr>
    </w:p>
    <w:p w14:paraId="044EC52B" w14:textId="77777777" w:rsidR="00D757DA" w:rsidRDefault="0033254E">
      <w:pPr>
        <w:pStyle w:val="Odstavecseseznamem"/>
        <w:numPr>
          <w:ilvl w:val="1"/>
          <w:numId w:val="19"/>
        </w:numPr>
        <w:tabs>
          <w:tab w:val="left" w:pos="841"/>
        </w:tabs>
        <w:ind w:right="1439" w:firstLine="0"/>
        <w:jc w:val="both"/>
      </w:pPr>
      <w:r>
        <w:t>The IPO must cooperate in the updating of the extended product indication classifications (EPIC) and validate the yearly EPIC structure</w:t>
      </w:r>
      <w:r>
        <w:rPr>
          <w:spacing w:val="-8"/>
        </w:rPr>
        <w:t xml:space="preserve"> </w:t>
      </w:r>
      <w:r>
        <w:t>updates.</w:t>
      </w:r>
    </w:p>
    <w:p w14:paraId="5CEEB5A5" w14:textId="77777777" w:rsidR="00D757DA" w:rsidRDefault="00D757DA">
      <w:pPr>
        <w:pStyle w:val="Zkladntext"/>
        <w:spacing w:before="10"/>
        <w:rPr>
          <w:sz w:val="21"/>
        </w:rPr>
      </w:pPr>
    </w:p>
    <w:p w14:paraId="4CBB6F88" w14:textId="77777777" w:rsidR="00D757DA" w:rsidRDefault="0033254E">
      <w:pPr>
        <w:pStyle w:val="Odstavecseseznamem"/>
        <w:numPr>
          <w:ilvl w:val="1"/>
          <w:numId w:val="19"/>
        </w:numPr>
        <w:tabs>
          <w:tab w:val="left" w:pos="841"/>
        </w:tabs>
        <w:spacing w:before="1"/>
        <w:ind w:right="1435" w:firstLine="0"/>
        <w:jc w:val="both"/>
      </w:pPr>
      <w:r>
        <w:t>The IPO must cooperate in the implementation, validation and translation of new Locarno editions and</w:t>
      </w:r>
      <w:r>
        <w:rPr>
          <w:spacing w:val="-5"/>
        </w:rPr>
        <w:t xml:space="preserve"> </w:t>
      </w:r>
      <w:r>
        <w:t>versions.</w:t>
      </w:r>
    </w:p>
    <w:p w14:paraId="4DB28029" w14:textId="77777777" w:rsidR="00D757DA" w:rsidRDefault="00D757DA">
      <w:pPr>
        <w:pStyle w:val="Zkladntext"/>
        <w:spacing w:before="10"/>
        <w:rPr>
          <w:sz w:val="21"/>
        </w:rPr>
      </w:pPr>
    </w:p>
    <w:p w14:paraId="53EB70DF" w14:textId="77777777" w:rsidR="00D757DA" w:rsidRDefault="0033254E">
      <w:pPr>
        <w:pStyle w:val="Odstavecseseznamem"/>
        <w:numPr>
          <w:ilvl w:val="1"/>
          <w:numId w:val="19"/>
        </w:numPr>
        <w:tabs>
          <w:tab w:val="left" w:pos="841"/>
        </w:tabs>
        <w:spacing w:before="1"/>
        <w:ind w:right="1442" w:firstLine="0"/>
        <w:jc w:val="both"/>
      </w:pPr>
      <w:r>
        <w:t>The IPO must provide support regarding maintenance of translations of product indication terms and the evolution of the</w:t>
      </w:r>
      <w:r>
        <w:rPr>
          <w:spacing w:val="-10"/>
        </w:rPr>
        <w:t xml:space="preserve"> </w:t>
      </w:r>
      <w:r>
        <w:t>HDBPI.</w:t>
      </w:r>
    </w:p>
    <w:p w14:paraId="0A55FBE6" w14:textId="77777777" w:rsidR="00D757DA" w:rsidRDefault="00D757DA">
      <w:pPr>
        <w:pStyle w:val="Zkladntext"/>
        <w:spacing w:before="1"/>
      </w:pPr>
    </w:p>
    <w:p w14:paraId="1FAD54B6" w14:textId="77777777" w:rsidR="00D757DA" w:rsidRDefault="0033254E">
      <w:pPr>
        <w:pStyle w:val="Odstavecseseznamem"/>
        <w:numPr>
          <w:ilvl w:val="1"/>
          <w:numId w:val="19"/>
        </w:numPr>
        <w:tabs>
          <w:tab w:val="left" w:pos="841"/>
        </w:tabs>
        <w:spacing w:before="1"/>
        <w:ind w:right="1433" w:firstLine="0"/>
        <w:jc w:val="both"/>
      </w:pPr>
      <w:r>
        <w:t xml:space="preserve">The IPO, which is </w:t>
      </w:r>
      <w:proofErr w:type="spellStart"/>
      <w:r>
        <w:t>harmonised</w:t>
      </w:r>
      <w:proofErr w:type="spellEnd"/>
      <w:r>
        <w:t xml:space="preserve">, must strictly apply the agreed guidelines and rules (“Guidelines on acceptability of classification terms” and the rules of the </w:t>
      </w:r>
      <w:proofErr w:type="spellStart"/>
      <w:r>
        <w:t>Harmonised</w:t>
      </w:r>
      <w:proofErr w:type="spellEnd"/>
      <w:r>
        <w:t xml:space="preserve"> Workflow), as well as the content of the HDBPI, throughout its operations. This includes providing the full, unaltered and unedited content of the HDBPI (when IPO </w:t>
      </w:r>
      <w:proofErr w:type="spellStart"/>
      <w:r>
        <w:t>harmonisation</w:t>
      </w:r>
      <w:proofErr w:type="spellEnd"/>
      <w:r>
        <w:t xml:space="preserve"> is complete) in all classification search tools, including the e-Filing classification</w:t>
      </w:r>
      <w:r>
        <w:rPr>
          <w:spacing w:val="-35"/>
        </w:rPr>
        <w:t xml:space="preserve"> </w:t>
      </w:r>
      <w:r>
        <w:t>functionality.</w:t>
      </w:r>
    </w:p>
    <w:p w14:paraId="57979FC2" w14:textId="77777777" w:rsidR="00D757DA" w:rsidRDefault="00D757DA">
      <w:pPr>
        <w:pStyle w:val="Zkladntext"/>
        <w:spacing w:before="10"/>
        <w:rPr>
          <w:sz w:val="21"/>
        </w:rPr>
      </w:pPr>
    </w:p>
    <w:p w14:paraId="6ED8C6EA" w14:textId="77777777" w:rsidR="00D757DA" w:rsidRDefault="0033254E">
      <w:pPr>
        <w:pStyle w:val="Odstavecseseznamem"/>
        <w:numPr>
          <w:ilvl w:val="1"/>
          <w:numId w:val="19"/>
        </w:numPr>
        <w:tabs>
          <w:tab w:val="left" w:pos="841"/>
        </w:tabs>
        <w:spacing w:before="1"/>
        <w:ind w:right="1437" w:firstLine="0"/>
        <w:jc w:val="both"/>
      </w:pPr>
      <w:r>
        <w:t xml:space="preserve">The IPO must comply with the outcome of the voting process contemplated within the </w:t>
      </w:r>
      <w:proofErr w:type="spellStart"/>
      <w:r>
        <w:t>Harmonised</w:t>
      </w:r>
      <w:proofErr w:type="spellEnd"/>
      <w:r>
        <w:rPr>
          <w:spacing w:val="-3"/>
        </w:rPr>
        <w:t xml:space="preserve"> </w:t>
      </w:r>
      <w:r>
        <w:t>Workflow.</w:t>
      </w:r>
    </w:p>
    <w:p w14:paraId="0D53FF5D" w14:textId="77777777" w:rsidR="00D757DA" w:rsidRDefault="00D757DA">
      <w:pPr>
        <w:pStyle w:val="Zkladntext"/>
        <w:spacing w:before="10"/>
        <w:rPr>
          <w:sz w:val="21"/>
        </w:rPr>
      </w:pPr>
    </w:p>
    <w:p w14:paraId="6A784C1A" w14:textId="77777777" w:rsidR="00D757DA" w:rsidRDefault="0033254E">
      <w:pPr>
        <w:pStyle w:val="Odstavecseseznamem"/>
        <w:numPr>
          <w:ilvl w:val="1"/>
          <w:numId w:val="19"/>
        </w:numPr>
        <w:tabs>
          <w:tab w:val="left" w:pos="841"/>
        </w:tabs>
        <w:spacing w:before="1"/>
        <w:ind w:right="1435" w:firstLine="0"/>
        <w:jc w:val="both"/>
      </w:pPr>
      <w:r>
        <w:t>The</w:t>
      </w:r>
      <w:r>
        <w:rPr>
          <w:spacing w:val="-5"/>
        </w:rPr>
        <w:t xml:space="preserve"> </w:t>
      </w:r>
      <w:r>
        <w:t>IPO</w:t>
      </w:r>
      <w:r>
        <w:rPr>
          <w:spacing w:val="-6"/>
        </w:rPr>
        <w:t xml:space="preserve"> </w:t>
      </w:r>
      <w:r>
        <w:t>must</w:t>
      </w:r>
      <w:r>
        <w:rPr>
          <w:spacing w:val="-4"/>
        </w:rPr>
        <w:t xml:space="preserve"> </w:t>
      </w:r>
      <w:r>
        <w:t>include</w:t>
      </w:r>
      <w:r>
        <w:rPr>
          <w:spacing w:val="-5"/>
        </w:rPr>
        <w:t xml:space="preserve"> </w:t>
      </w:r>
      <w:r>
        <w:t>a</w:t>
      </w:r>
      <w:r>
        <w:rPr>
          <w:spacing w:val="-6"/>
        </w:rPr>
        <w:t xml:space="preserve"> </w:t>
      </w:r>
      <w:r>
        <w:t>clearly</w:t>
      </w:r>
      <w:r>
        <w:rPr>
          <w:spacing w:val="-5"/>
        </w:rPr>
        <w:t xml:space="preserve"> </w:t>
      </w:r>
      <w:r>
        <w:t>visible</w:t>
      </w:r>
      <w:r>
        <w:rPr>
          <w:spacing w:val="-5"/>
        </w:rPr>
        <w:t xml:space="preserve"> </w:t>
      </w:r>
      <w:r>
        <w:t>link</w:t>
      </w:r>
      <w:r>
        <w:rPr>
          <w:spacing w:val="-5"/>
        </w:rPr>
        <w:t xml:space="preserve"> </w:t>
      </w:r>
      <w:r>
        <w:t>to</w:t>
      </w:r>
      <w:r>
        <w:rPr>
          <w:spacing w:val="-5"/>
        </w:rPr>
        <w:t xml:space="preserve"> </w:t>
      </w:r>
      <w:proofErr w:type="spellStart"/>
      <w:r>
        <w:t>DesignClass</w:t>
      </w:r>
      <w:proofErr w:type="spellEnd"/>
      <w:r>
        <w:rPr>
          <w:spacing w:val="-4"/>
        </w:rPr>
        <w:t xml:space="preserve"> </w:t>
      </w:r>
      <w:r>
        <w:t>on</w:t>
      </w:r>
      <w:r>
        <w:rPr>
          <w:spacing w:val="-5"/>
        </w:rPr>
        <w:t xml:space="preserve"> </w:t>
      </w:r>
      <w:r>
        <w:t>its</w:t>
      </w:r>
      <w:r>
        <w:rPr>
          <w:spacing w:val="-5"/>
        </w:rPr>
        <w:t xml:space="preserve"> </w:t>
      </w:r>
      <w:r>
        <w:t>website,</w:t>
      </w:r>
      <w:r>
        <w:rPr>
          <w:spacing w:val="-4"/>
        </w:rPr>
        <w:t xml:space="preserve"> </w:t>
      </w:r>
      <w:r>
        <w:t>preferably</w:t>
      </w:r>
      <w:r>
        <w:rPr>
          <w:spacing w:val="-5"/>
        </w:rPr>
        <w:t xml:space="preserve"> </w:t>
      </w:r>
      <w:r>
        <w:t>in the</w:t>
      </w:r>
      <w:r>
        <w:rPr>
          <w:spacing w:val="-7"/>
        </w:rPr>
        <w:t xml:space="preserve"> </w:t>
      </w:r>
      <w:r>
        <w:t>section(s)</w:t>
      </w:r>
      <w:r>
        <w:rPr>
          <w:spacing w:val="-6"/>
        </w:rPr>
        <w:t xml:space="preserve"> </w:t>
      </w:r>
      <w:r>
        <w:t>concerning</w:t>
      </w:r>
      <w:r>
        <w:rPr>
          <w:spacing w:val="-9"/>
        </w:rPr>
        <w:t xml:space="preserve"> </w:t>
      </w:r>
      <w:r>
        <w:t>classification</w:t>
      </w:r>
      <w:r>
        <w:rPr>
          <w:spacing w:val="-6"/>
        </w:rPr>
        <w:t xml:space="preserve"> </w:t>
      </w:r>
      <w:r>
        <w:t>of</w:t>
      </w:r>
      <w:r>
        <w:rPr>
          <w:spacing w:val="-6"/>
        </w:rPr>
        <w:t xml:space="preserve"> </w:t>
      </w:r>
      <w:r>
        <w:t>product</w:t>
      </w:r>
      <w:r>
        <w:rPr>
          <w:spacing w:val="-6"/>
        </w:rPr>
        <w:t xml:space="preserve"> </w:t>
      </w:r>
      <w:r>
        <w:t>indications.</w:t>
      </w:r>
      <w:r>
        <w:rPr>
          <w:spacing w:val="-5"/>
        </w:rPr>
        <w:t xml:space="preserve"> </w:t>
      </w:r>
      <w:r>
        <w:t>Furthermore,</w:t>
      </w:r>
      <w:r>
        <w:rPr>
          <w:spacing w:val="-10"/>
        </w:rPr>
        <w:t xml:space="preserve"> </w:t>
      </w:r>
      <w:r>
        <w:t>when</w:t>
      </w:r>
      <w:r>
        <w:rPr>
          <w:spacing w:val="-7"/>
        </w:rPr>
        <w:t xml:space="preserve"> </w:t>
      </w:r>
      <w:proofErr w:type="spellStart"/>
      <w:r>
        <w:t>utilising</w:t>
      </w:r>
      <w:proofErr w:type="spellEnd"/>
      <w:r>
        <w:rPr>
          <w:spacing w:val="-6"/>
        </w:rPr>
        <w:t xml:space="preserve"> </w:t>
      </w:r>
      <w:r>
        <w:t xml:space="preserve">the HDBPI and the </w:t>
      </w:r>
      <w:proofErr w:type="gramStart"/>
      <w:r>
        <w:t>built in</w:t>
      </w:r>
      <w:proofErr w:type="gramEnd"/>
      <w:r>
        <w:t xml:space="preserve"> web services via its own website, its e-Filing or any other online tool the origin of the content shall be referenced with the text “Powered by </w:t>
      </w:r>
      <w:proofErr w:type="spellStart"/>
      <w:r>
        <w:t>DesignClass</w:t>
      </w:r>
      <w:proofErr w:type="spellEnd"/>
      <w:r>
        <w:t xml:space="preserve"> and the HDBPI” (where </w:t>
      </w:r>
      <w:proofErr w:type="spellStart"/>
      <w:r>
        <w:t>DesignClass</w:t>
      </w:r>
      <w:proofErr w:type="spellEnd"/>
      <w:r>
        <w:t xml:space="preserve"> is hyperlinked to the Trade mark and Designs Network tool), which shall be clearly visible on the</w:t>
      </w:r>
      <w:r>
        <w:rPr>
          <w:spacing w:val="-1"/>
        </w:rPr>
        <w:t xml:space="preserve"> </w:t>
      </w:r>
      <w:r>
        <w:t>page.</w:t>
      </w:r>
    </w:p>
    <w:p w14:paraId="240C7FED" w14:textId="77777777" w:rsidR="00D757DA" w:rsidRDefault="00D757DA">
      <w:pPr>
        <w:pStyle w:val="Zkladntext"/>
      </w:pPr>
    </w:p>
    <w:p w14:paraId="0E9471F4" w14:textId="77777777" w:rsidR="00D757DA" w:rsidRDefault="0033254E">
      <w:pPr>
        <w:pStyle w:val="Odstavecseseznamem"/>
        <w:numPr>
          <w:ilvl w:val="1"/>
          <w:numId w:val="19"/>
        </w:numPr>
        <w:tabs>
          <w:tab w:val="left" w:pos="841"/>
        </w:tabs>
        <w:ind w:right="1435" w:firstLine="0"/>
        <w:jc w:val="both"/>
      </w:pPr>
      <w:r>
        <w:t>EUIPO shall pay to the IPO a lump sum based on ADM-25-40 for the implementation of this service. and pursuant to the Annex III if this</w:t>
      </w:r>
      <w:r>
        <w:rPr>
          <w:spacing w:val="-13"/>
        </w:rPr>
        <w:t xml:space="preserve"> </w:t>
      </w:r>
      <w:r>
        <w:t>Agreement</w:t>
      </w:r>
    </w:p>
    <w:p w14:paraId="6FE462B9" w14:textId="77777777" w:rsidR="00D757DA" w:rsidRDefault="00D757DA">
      <w:pPr>
        <w:jc w:val="both"/>
        <w:sectPr w:rsidR="00D757DA">
          <w:pgSz w:w="11910" w:h="16840"/>
          <w:pgMar w:top="1340" w:right="0" w:bottom="1160" w:left="1320" w:header="0" w:footer="881" w:gutter="0"/>
          <w:cols w:space="708"/>
        </w:sectPr>
      </w:pPr>
    </w:p>
    <w:p w14:paraId="27AC3F2E" w14:textId="77777777" w:rsidR="00D757DA" w:rsidRDefault="0033254E">
      <w:pPr>
        <w:pStyle w:val="Nadpis3"/>
        <w:spacing w:before="81"/>
      </w:pPr>
      <w:bookmarkStart w:id="45" w:name="ARTICLE_34_–_LANGUAGE_CHECK_ACTIVITY_AND"/>
      <w:bookmarkEnd w:id="45"/>
      <w:r>
        <w:lastRenderedPageBreak/>
        <w:t>ARTICLE 34 – LANGUAGE CHECK ACTIVITY AND RELATED SERVICES</w:t>
      </w:r>
    </w:p>
    <w:p w14:paraId="160097D0" w14:textId="77777777" w:rsidR="00D757DA" w:rsidRDefault="00D757DA">
      <w:pPr>
        <w:pStyle w:val="Zkladntext"/>
        <w:spacing w:before="10"/>
        <w:rPr>
          <w:b/>
          <w:sz w:val="20"/>
        </w:rPr>
      </w:pPr>
    </w:p>
    <w:p w14:paraId="2FCCC0B5" w14:textId="77777777" w:rsidR="00D757DA" w:rsidRDefault="0033254E">
      <w:pPr>
        <w:pStyle w:val="Odstavecseseznamem"/>
        <w:numPr>
          <w:ilvl w:val="1"/>
          <w:numId w:val="18"/>
        </w:numPr>
        <w:tabs>
          <w:tab w:val="left" w:pos="841"/>
        </w:tabs>
        <w:ind w:right="1433" w:firstLine="0"/>
        <w:jc w:val="both"/>
      </w:pPr>
      <w:r>
        <w:t>The Parties agree to the common terms and conditions establishing the implementation, maintenance and service in relation to the Language check activity. These terms</w:t>
      </w:r>
      <w:r>
        <w:rPr>
          <w:spacing w:val="-10"/>
        </w:rPr>
        <w:t xml:space="preserve"> </w:t>
      </w:r>
      <w:r>
        <w:t>and</w:t>
      </w:r>
      <w:r>
        <w:rPr>
          <w:spacing w:val="-11"/>
        </w:rPr>
        <w:t xml:space="preserve"> </w:t>
      </w:r>
      <w:r>
        <w:t>conditions</w:t>
      </w:r>
      <w:r>
        <w:rPr>
          <w:spacing w:val="-9"/>
        </w:rPr>
        <w:t xml:space="preserve"> </w:t>
      </w:r>
      <w:r>
        <w:t>shall</w:t>
      </w:r>
      <w:r>
        <w:rPr>
          <w:spacing w:val="-11"/>
        </w:rPr>
        <w:t xml:space="preserve"> </w:t>
      </w:r>
      <w:r>
        <w:t>aim</w:t>
      </w:r>
      <w:r>
        <w:rPr>
          <w:spacing w:val="-9"/>
        </w:rPr>
        <w:t xml:space="preserve"> </w:t>
      </w:r>
      <w:r>
        <w:t>to</w:t>
      </w:r>
      <w:r>
        <w:rPr>
          <w:spacing w:val="-10"/>
        </w:rPr>
        <w:t xml:space="preserve"> </w:t>
      </w:r>
      <w:r>
        <w:t>guarantee</w:t>
      </w:r>
      <w:r>
        <w:rPr>
          <w:spacing w:val="-13"/>
        </w:rPr>
        <w:t xml:space="preserve"> </w:t>
      </w:r>
      <w:r>
        <w:t>the</w:t>
      </w:r>
      <w:r>
        <w:rPr>
          <w:spacing w:val="-10"/>
        </w:rPr>
        <w:t xml:space="preserve"> </w:t>
      </w:r>
      <w:r>
        <w:t>sustainability</w:t>
      </w:r>
      <w:r>
        <w:rPr>
          <w:spacing w:val="-9"/>
        </w:rPr>
        <w:t xml:space="preserve"> </w:t>
      </w:r>
      <w:r>
        <w:t>of</w:t>
      </w:r>
      <w:r>
        <w:rPr>
          <w:spacing w:val="-11"/>
        </w:rPr>
        <w:t xml:space="preserve"> </w:t>
      </w:r>
      <w:r>
        <w:t>the</w:t>
      </w:r>
      <w:r>
        <w:rPr>
          <w:spacing w:val="-10"/>
        </w:rPr>
        <w:t xml:space="preserve"> </w:t>
      </w:r>
      <w:r>
        <w:t>collaborative</w:t>
      </w:r>
      <w:r>
        <w:rPr>
          <w:spacing w:val="-10"/>
        </w:rPr>
        <w:t xml:space="preserve"> </w:t>
      </w:r>
      <w:r>
        <w:t>network</w:t>
      </w:r>
      <w:r>
        <w:rPr>
          <w:spacing w:val="-9"/>
        </w:rPr>
        <w:t xml:space="preserve"> </w:t>
      </w:r>
      <w:r>
        <w:t>and the related services in the long</w:t>
      </w:r>
      <w:r>
        <w:rPr>
          <w:spacing w:val="-5"/>
        </w:rPr>
        <w:t xml:space="preserve"> </w:t>
      </w:r>
      <w:r>
        <w:t>term.</w:t>
      </w:r>
    </w:p>
    <w:p w14:paraId="5D09B7CB" w14:textId="77777777" w:rsidR="00D757DA" w:rsidRDefault="00D757DA">
      <w:pPr>
        <w:pStyle w:val="Zkladntext"/>
        <w:spacing w:before="11"/>
        <w:rPr>
          <w:sz w:val="21"/>
        </w:rPr>
      </w:pPr>
    </w:p>
    <w:p w14:paraId="58DCD0FE" w14:textId="77777777" w:rsidR="00D757DA" w:rsidRDefault="0033254E">
      <w:pPr>
        <w:pStyle w:val="Odstavecseseznamem"/>
        <w:numPr>
          <w:ilvl w:val="1"/>
          <w:numId w:val="18"/>
        </w:numPr>
        <w:tabs>
          <w:tab w:val="left" w:pos="841"/>
        </w:tabs>
        <w:ind w:right="1437" w:firstLine="0"/>
        <w:jc w:val="both"/>
      </w:pPr>
      <w:r>
        <w:t>The Parties undertake that the data corresponding to the names and working languages</w:t>
      </w:r>
      <w:r>
        <w:rPr>
          <w:spacing w:val="-17"/>
        </w:rPr>
        <w:t xml:space="preserve"> </w:t>
      </w:r>
      <w:r>
        <w:t>of</w:t>
      </w:r>
      <w:r>
        <w:rPr>
          <w:spacing w:val="-17"/>
        </w:rPr>
        <w:t xml:space="preserve"> </w:t>
      </w:r>
      <w:r>
        <w:t>each</w:t>
      </w:r>
      <w:r>
        <w:rPr>
          <w:spacing w:val="-20"/>
        </w:rPr>
        <w:t xml:space="preserve"> </w:t>
      </w:r>
      <w:r>
        <w:t>of</w:t>
      </w:r>
      <w:r>
        <w:rPr>
          <w:spacing w:val="-17"/>
        </w:rPr>
        <w:t xml:space="preserve"> </w:t>
      </w:r>
      <w:r>
        <w:t>the</w:t>
      </w:r>
      <w:r>
        <w:rPr>
          <w:spacing w:val="-20"/>
        </w:rPr>
        <w:t xml:space="preserve"> </w:t>
      </w:r>
      <w:r>
        <w:t>language</w:t>
      </w:r>
      <w:r>
        <w:rPr>
          <w:spacing w:val="-16"/>
        </w:rPr>
        <w:t xml:space="preserve"> </w:t>
      </w:r>
      <w:r>
        <w:t>checkers</w:t>
      </w:r>
      <w:r>
        <w:rPr>
          <w:spacing w:val="-19"/>
        </w:rPr>
        <w:t xml:space="preserve"> </w:t>
      </w:r>
      <w:r>
        <w:t>will</w:t>
      </w:r>
      <w:r>
        <w:rPr>
          <w:spacing w:val="-17"/>
        </w:rPr>
        <w:t xml:space="preserve"> </w:t>
      </w:r>
      <w:r>
        <w:t>be</w:t>
      </w:r>
      <w:r>
        <w:rPr>
          <w:spacing w:val="-17"/>
        </w:rPr>
        <w:t xml:space="preserve"> </w:t>
      </w:r>
      <w:r>
        <w:t>available</w:t>
      </w:r>
      <w:r>
        <w:rPr>
          <w:spacing w:val="-16"/>
        </w:rPr>
        <w:t xml:space="preserve"> </w:t>
      </w:r>
      <w:r>
        <w:t>to</w:t>
      </w:r>
      <w:r>
        <w:rPr>
          <w:spacing w:val="-19"/>
        </w:rPr>
        <w:t xml:space="preserve"> </w:t>
      </w:r>
      <w:r>
        <w:t>those</w:t>
      </w:r>
      <w:r>
        <w:rPr>
          <w:spacing w:val="-20"/>
        </w:rPr>
        <w:t xml:space="preserve"> </w:t>
      </w:r>
      <w:r>
        <w:t>employees</w:t>
      </w:r>
      <w:r>
        <w:rPr>
          <w:spacing w:val="-16"/>
        </w:rPr>
        <w:t xml:space="preserve"> </w:t>
      </w:r>
      <w:r>
        <w:t>of</w:t>
      </w:r>
      <w:r>
        <w:rPr>
          <w:spacing w:val="-18"/>
        </w:rPr>
        <w:t xml:space="preserve"> </w:t>
      </w:r>
      <w:r>
        <w:t>the</w:t>
      </w:r>
      <w:r>
        <w:rPr>
          <w:spacing w:val="-16"/>
        </w:rPr>
        <w:t xml:space="preserve"> </w:t>
      </w:r>
      <w:r>
        <w:t>Parties carrying out the Language Check Task via the Language Check Tool</w:t>
      </w:r>
      <w:r>
        <w:rPr>
          <w:spacing w:val="-15"/>
        </w:rPr>
        <w:t xml:space="preserve"> </w:t>
      </w:r>
      <w:r>
        <w:t>(LCT).</w:t>
      </w:r>
    </w:p>
    <w:p w14:paraId="2A4A8FD8" w14:textId="77777777" w:rsidR="00D757DA" w:rsidRDefault="00D757DA">
      <w:pPr>
        <w:pStyle w:val="Zkladntext"/>
        <w:spacing w:before="1"/>
      </w:pPr>
    </w:p>
    <w:p w14:paraId="097D16B5" w14:textId="77777777" w:rsidR="00D757DA" w:rsidRDefault="0033254E">
      <w:pPr>
        <w:pStyle w:val="Odstavecseseznamem"/>
        <w:numPr>
          <w:ilvl w:val="1"/>
          <w:numId w:val="18"/>
        </w:numPr>
        <w:tabs>
          <w:tab w:val="left" w:pos="841"/>
        </w:tabs>
        <w:ind w:right="1433" w:firstLine="0"/>
        <w:jc w:val="both"/>
      </w:pPr>
      <w:r>
        <w:t xml:space="preserve">The Parties undertake to manage the individual production data of each of the language checkers </w:t>
      </w:r>
      <w:proofErr w:type="gramStart"/>
      <w:r>
        <w:t>in order to</w:t>
      </w:r>
      <w:proofErr w:type="gramEnd"/>
      <w:r>
        <w:t xml:space="preserve"> facilitate evaluation reports regarding the number of language checks performed and the list of remarks left by each when so required by the language checker’s managing</w:t>
      </w:r>
      <w:r>
        <w:rPr>
          <w:spacing w:val="-5"/>
        </w:rPr>
        <w:t xml:space="preserve"> </w:t>
      </w:r>
      <w:r>
        <w:t>Office.</w:t>
      </w:r>
    </w:p>
    <w:p w14:paraId="1EDCCAF0" w14:textId="77777777" w:rsidR="00D757DA" w:rsidRDefault="00D757DA">
      <w:pPr>
        <w:pStyle w:val="Zkladntext"/>
      </w:pPr>
    </w:p>
    <w:p w14:paraId="176220F9" w14:textId="77777777" w:rsidR="00D757DA" w:rsidRDefault="0033254E">
      <w:pPr>
        <w:pStyle w:val="Odstavecseseznamem"/>
        <w:numPr>
          <w:ilvl w:val="1"/>
          <w:numId w:val="18"/>
        </w:numPr>
        <w:tabs>
          <w:tab w:val="left" w:pos="841"/>
        </w:tabs>
        <w:spacing w:before="1"/>
        <w:ind w:right="1441" w:firstLine="0"/>
        <w:jc w:val="both"/>
      </w:pPr>
      <w:r>
        <w:t>The IPO is hereby advised that the administrator of the LCT, which is an employee of the EUIPO, has access to the production reports of all the language checkers of the EUIPO and the</w:t>
      </w:r>
      <w:r>
        <w:rPr>
          <w:spacing w:val="-3"/>
        </w:rPr>
        <w:t xml:space="preserve"> </w:t>
      </w:r>
      <w:r>
        <w:t>IPO.</w:t>
      </w:r>
    </w:p>
    <w:p w14:paraId="2A97A462" w14:textId="77777777" w:rsidR="00D757DA" w:rsidRDefault="00D757DA">
      <w:pPr>
        <w:pStyle w:val="Zkladntext"/>
      </w:pPr>
    </w:p>
    <w:p w14:paraId="168A18B9" w14:textId="77777777" w:rsidR="00D757DA" w:rsidRDefault="0033254E">
      <w:pPr>
        <w:pStyle w:val="Odstavecseseznamem"/>
        <w:numPr>
          <w:ilvl w:val="1"/>
          <w:numId w:val="18"/>
        </w:numPr>
        <w:tabs>
          <w:tab w:val="left" w:pos="841"/>
        </w:tabs>
        <w:ind w:right="1439" w:firstLine="0"/>
        <w:jc w:val="both"/>
      </w:pPr>
      <w:r>
        <w:t>The Parties hereby agree to the transfer of the personal production data of individual language checkers between the IPO and the EUIPO, for purposes strictly related to the Language Check</w:t>
      </w:r>
      <w:r>
        <w:rPr>
          <w:spacing w:val="-1"/>
        </w:rPr>
        <w:t xml:space="preserve"> </w:t>
      </w:r>
      <w:r>
        <w:t>Task.</w:t>
      </w:r>
    </w:p>
    <w:p w14:paraId="4AE331DF" w14:textId="77777777" w:rsidR="00D757DA" w:rsidRDefault="00D757DA">
      <w:pPr>
        <w:pStyle w:val="Zkladntext"/>
        <w:spacing w:before="10"/>
        <w:rPr>
          <w:sz w:val="21"/>
        </w:rPr>
      </w:pPr>
    </w:p>
    <w:p w14:paraId="08FD087D" w14:textId="77777777" w:rsidR="00D757DA" w:rsidRDefault="0033254E">
      <w:pPr>
        <w:pStyle w:val="Odstavecseseznamem"/>
        <w:numPr>
          <w:ilvl w:val="1"/>
          <w:numId w:val="18"/>
        </w:numPr>
        <w:tabs>
          <w:tab w:val="left" w:pos="841"/>
        </w:tabs>
        <w:ind w:right="1433" w:firstLine="0"/>
        <w:jc w:val="both"/>
      </w:pPr>
      <w:r>
        <w:t xml:space="preserve">The Parties are hereby advised that the processing of the data corresponding to the names and working languages of each of the language checkers, as well as the individual data corresponding to the number of language checks performed and remarks recorded, has been duly registered with the Data Protection Office (DPO) of the EUIPO via a </w:t>
      </w:r>
      <w:r>
        <w:rPr>
          <w:spacing w:val="-3"/>
        </w:rPr>
        <w:t xml:space="preserve">DPO </w:t>
      </w:r>
      <w:r>
        <w:t>Notification, in accordance with EUIPO</w:t>
      </w:r>
      <w:r>
        <w:rPr>
          <w:spacing w:val="-2"/>
        </w:rPr>
        <w:t xml:space="preserve"> </w:t>
      </w:r>
      <w:r>
        <w:t>procedure.</w:t>
      </w:r>
    </w:p>
    <w:p w14:paraId="6E3B5A08" w14:textId="77777777" w:rsidR="00D757DA" w:rsidRDefault="00D757DA">
      <w:pPr>
        <w:pStyle w:val="Zkladntext"/>
        <w:spacing w:before="2"/>
      </w:pPr>
    </w:p>
    <w:p w14:paraId="75F9CEB4" w14:textId="77777777" w:rsidR="00D757DA" w:rsidRDefault="0033254E">
      <w:pPr>
        <w:pStyle w:val="Odstavecseseznamem"/>
        <w:numPr>
          <w:ilvl w:val="1"/>
          <w:numId w:val="18"/>
        </w:numPr>
        <w:tabs>
          <w:tab w:val="left" w:pos="841"/>
        </w:tabs>
        <w:ind w:right="1435" w:firstLine="0"/>
        <w:jc w:val="both"/>
      </w:pPr>
      <w:r>
        <w:t xml:space="preserve">The IPO must be responsible for ensuring that their own language checkers are duly advised of the processing of their personal and production </w:t>
      </w:r>
      <w:proofErr w:type="gramStart"/>
      <w:r>
        <w:t>data, and</w:t>
      </w:r>
      <w:proofErr w:type="gramEnd"/>
      <w:r>
        <w:t xml:space="preserve"> have read and understood the DPO Notification on the</w:t>
      </w:r>
      <w:r>
        <w:rPr>
          <w:spacing w:val="-10"/>
        </w:rPr>
        <w:t xml:space="preserve"> </w:t>
      </w:r>
      <w:r>
        <w:t>same.</w:t>
      </w:r>
    </w:p>
    <w:p w14:paraId="0B7BBB84" w14:textId="77777777" w:rsidR="00D757DA" w:rsidRDefault="00D757DA">
      <w:pPr>
        <w:pStyle w:val="Zkladntext"/>
        <w:spacing w:before="10"/>
        <w:rPr>
          <w:sz w:val="21"/>
        </w:rPr>
      </w:pPr>
    </w:p>
    <w:p w14:paraId="24D56EA0" w14:textId="77777777" w:rsidR="00D757DA" w:rsidRDefault="0033254E">
      <w:pPr>
        <w:pStyle w:val="Odstavecseseznamem"/>
        <w:numPr>
          <w:ilvl w:val="1"/>
          <w:numId w:val="18"/>
        </w:numPr>
        <w:tabs>
          <w:tab w:val="left" w:pos="841"/>
        </w:tabs>
        <w:ind w:right="1435" w:firstLine="0"/>
        <w:jc w:val="both"/>
      </w:pPr>
      <w:r>
        <w:t xml:space="preserve">Subject to Article 10, the Parties undertake that the processing of the </w:t>
      </w:r>
      <w:proofErr w:type="gramStart"/>
      <w:r>
        <w:t>aforementioned personal</w:t>
      </w:r>
      <w:proofErr w:type="gramEnd"/>
      <w:r>
        <w:rPr>
          <w:spacing w:val="-18"/>
        </w:rPr>
        <w:t xml:space="preserve"> </w:t>
      </w:r>
      <w:r>
        <w:t>data</w:t>
      </w:r>
      <w:r>
        <w:rPr>
          <w:spacing w:val="-17"/>
        </w:rPr>
        <w:t xml:space="preserve"> </w:t>
      </w:r>
      <w:r>
        <w:t>of</w:t>
      </w:r>
      <w:r>
        <w:rPr>
          <w:spacing w:val="-17"/>
        </w:rPr>
        <w:t xml:space="preserve"> </w:t>
      </w:r>
      <w:r>
        <w:t>individual</w:t>
      </w:r>
      <w:r>
        <w:rPr>
          <w:spacing w:val="-18"/>
        </w:rPr>
        <w:t xml:space="preserve"> </w:t>
      </w:r>
      <w:r>
        <w:t>language</w:t>
      </w:r>
      <w:r>
        <w:rPr>
          <w:spacing w:val="-16"/>
        </w:rPr>
        <w:t xml:space="preserve"> </w:t>
      </w:r>
      <w:r>
        <w:t>checkers</w:t>
      </w:r>
      <w:r>
        <w:rPr>
          <w:spacing w:val="-18"/>
        </w:rPr>
        <w:t xml:space="preserve"> </w:t>
      </w:r>
      <w:r>
        <w:t>must</w:t>
      </w:r>
      <w:r>
        <w:rPr>
          <w:spacing w:val="-16"/>
        </w:rPr>
        <w:t xml:space="preserve"> </w:t>
      </w:r>
      <w:r>
        <w:t>be</w:t>
      </w:r>
      <w:r>
        <w:rPr>
          <w:spacing w:val="-19"/>
        </w:rPr>
        <w:t xml:space="preserve"> </w:t>
      </w:r>
      <w:r>
        <w:t>confined</w:t>
      </w:r>
      <w:r>
        <w:rPr>
          <w:spacing w:val="-19"/>
        </w:rPr>
        <w:t xml:space="preserve"> </w:t>
      </w:r>
      <w:r>
        <w:t>to</w:t>
      </w:r>
      <w:r>
        <w:rPr>
          <w:spacing w:val="-19"/>
        </w:rPr>
        <w:t xml:space="preserve"> </w:t>
      </w:r>
      <w:r>
        <w:t>the</w:t>
      </w:r>
      <w:r>
        <w:rPr>
          <w:spacing w:val="-20"/>
        </w:rPr>
        <w:t xml:space="preserve"> </w:t>
      </w:r>
      <w:r>
        <w:t>context</w:t>
      </w:r>
      <w:r>
        <w:rPr>
          <w:spacing w:val="-15"/>
        </w:rPr>
        <w:t xml:space="preserve"> </w:t>
      </w:r>
      <w:r>
        <w:t>of</w:t>
      </w:r>
      <w:r>
        <w:rPr>
          <w:spacing w:val="-18"/>
        </w:rPr>
        <w:t xml:space="preserve"> </w:t>
      </w:r>
      <w:r>
        <w:t>the</w:t>
      </w:r>
      <w:r>
        <w:rPr>
          <w:spacing w:val="-19"/>
        </w:rPr>
        <w:t xml:space="preserve"> </w:t>
      </w:r>
      <w:r>
        <w:t>Language Check Task and must not be distributed under any other</w:t>
      </w:r>
      <w:r>
        <w:rPr>
          <w:spacing w:val="-8"/>
        </w:rPr>
        <w:t xml:space="preserve"> </w:t>
      </w:r>
      <w:r>
        <w:t>circumstances.</w:t>
      </w:r>
    </w:p>
    <w:p w14:paraId="2B01C864" w14:textId="77777777" w:rsidR="00D757DA" w:rsidRDefault="00D757DA">
      <w:pPr>
        <w:pStyle w:val="Zkladntext"/>
        <w:spacing w:before="1"/>
      </w:pPr>
    </w:p>
    <w:p w14:paraId="7E717D1D" w14:textId="77777777" w:rsidR="00D757DA" w:rsidRDefault="0033254E">
      <w:pPr>
        <w:pStyle w:val="Odstavecseseznamem"/>
        <w:numPr>
          <w:ilvl w:val="1"/>
          <w:numId w:val="18"/>
        </w:numPr>
        <w:tabs>
          <w:tab w:val="left" w:pos="841"/>
        </w:tabs>
        <w:ind w:right="1439" w:firstLine="0"/>
        <w:jc w:val="both"/>
      </w:pPr>
      <w:r>
        <w:t xml:space="preserve">The Parties undertake to preserve the confidentiality of all information relating to the </w:t>
      </w:r>
      <w:proofErr w:type="spellStart"/>
      <w:proofErr w:type="gramStart"/>
      <w:r>
        <w:t>trade marks</w:t>
      </w:r>
      <w:proofErr w:type="spellEnd"/>
      <w:proofErr w:type="gramEnd"/>
      <w:r>
        <w:t xml:space="preserve"> examined within the scope of the Language Check</w:t>
      </w:r>
      <w:r>
        <w:rPr>
          <w:spacing w:val="-17"/>
        </w:rPr>
        <w:t xml:space="preserve"> </w:t>
      </w:r>
      <w:r>
        <w:t>Task.</w:t>
      </w:r>
    </w:p>
    <w:p w14:paraId="62D9CB1A" w14:textId="77777777" w:rsidR="00D757DA" w:rsidRDefault="00D757DA">
      <w:pPr>
        <w:pStyle w:val="Zkladntext"/>
      </w:pPr>
    </w:p>
    <w:p w14:paraId="5851912A" w14:textId="77777777" w:rsidR="00D757DA" w:rsidRDefault="0033254E">
      <w:pPr>
        <w:pStyle w:val="Odstavecseseznamem"/>
        <w:numPr>
          <w:ilvl w:val="1"/>
          <w:numId w:val="18"/>
        </w:numPr>
        <w:tabs>
          <w:tab w:val="left" w:pos="841"/>
        </w:tabs>
        <w:ind w:right="1439" w:firstLine="0"/>
        <w:jc w:val="both"/>
      </w:pPr>
      <w:r>
        <w:t>The IPO undertakes to adhere to the quality standards and regulations laid out in the Instruction and training material provided to them during the implementation of the</w:t>
      </w:r>
      <w:r>
        <w:rPr>
          <w:spacing w:val="-44"/>
        </w:rPr>
        <w:t xml:space="preserve"> </w:t>
      </w:r>
      <w:r>
        <w:t>project.</w:t>
      </w:r>
    </w:p>
    <w:p w14:paraId="4C3AE79A" w14:textId="77777777" w:rsidR="00D757DA" w:rsidRDefault="00D757DA">
      <w:pPr>
        <w:pStyle w:val="Zkladntext"/>
        <w:spacing w:before="2"/>
      </w:pPr>
    </w:p>
    <w:p w14:paraId="0AD3D5A4" w14:textId="77777777" w:rsidR="00D757DA" w:rsidRDefault="0033254E">
      <w:pPr>
        <w:pStyle w:val="Odstavecseseznamem"/>
        <w:numPr>
          <w:ilvl w:val="1"/>
          <w:numId w:val="18"/>
        </w:numPr>
        <w:tabs>
          <w:tab w:val="left" w:pos="841"/>
        </w:tabs>
        <w:ind w:left="840" w:hanging="721"/>
        <w:jc w:val="both"/>
      </w:pPr>
      <w:r>
        <w:t>The IPO must be responsible for managing its own Language Check team</w:t>
      </w:r>
      <w:r>
        <w:rPr>
          <w:spacing w:val="-16"/>
        </w:rPr>
        <w:t xml:space="preserve"> </w:t>
      </w:r>
      <w:r>
        <w:t>members.</w:t>
      </w:r>
    </w:p>
    <w:p w14:paraId="7BB7AE1F" w14:textId="77777777" w:rsidR="00D757DA" w:rsidRDefault="00D757DA">
      <w:pPr>
        <w:pStyle w:val="Zkladntext"/>
        <w:spacing w:before="9"/>
        <w:rPr>
          <w:sz w:val="21"/>
        </w:rPr>
      </w:pPr>
    </w:p>
    <w:p w14:paraId="509FC848" w14:textId="77777777" w:rsidR="00D757DA" w:rsidRDefault="0033254E">
      <w:pPr>
        <w:pStyle w:val="Odstavecseseznamem"/>
        <w:numPr>
          <w:ilvl w:val="1"/>
          <w:numId w:val="18"/>
        </w:numPr>
        <w:tabs>
          <w:tab w:val="left" w:pos="841"/>
        </w:tabs>
        <w:spacing w:before="1"/>
        <w:ind w:right="1437" w:firstLine="0"/>
        <w:jc w:val="both"/>
      </w:pPr>
      <w:r>
        <w:t>The IPO must communicate any absences of languages checkers, planned or otherwise,</w:t>
      </w:r>
      <w:r>
        <w:rPr>
          <w:spacing w:val="-9"/>
        </w:rPr>
        <w:t xml:space="preserve"> </w:t>
      </w:r>
      <w:r>
        <w:t>to</w:t>
      </w:r>
      <w:r>
        <w:rPr>
          <w:spacing w:val="-11"/>
        </w:rPr>
        <w:t xml:space="preserve"> </w:t>
      </w:r>
      <w:r>
        <w:t>the</w:t>
      </w:r>
      <w:r>
        <w:rPr>
          <w:spacing w:val="-8"/>
        </w:rPr>
        <w:t xml:space="preserve"> </w:t>
      </w:r>
      <w:r>
        <w:t>EUIPO</w:t>
      </w:r>
      <w:r>
        <w:rPr>
          <w:spacing w:val="-10"/>
        </w:rPr>
        <w:t xml:space="preserve"> </w:t>
      </w:r>
      <w:r>
        <w:t>forthwith</w:t>
      </w:r>
      <w:r>
        <w:rPr>
          <w:spacing w:val="-6"/>
        </w:rPr>
        <w:t xml:space="preserve"> </w:t>
      </w:r>
      <w:proofErr w:type="gramStart"/>
      <w:r>
        <w:t>in</w:t>
      </w:r>
      <w:r>
        <w:rPr>
          <w:spacing w:val="-10"/>
        </w:rPr>
        <w:t xml:space="preserve"> </w:t>
      </w:r>
      <w:r>
        <w:t>order</w:t>
      </w:r>
      <w:r>
        <w:rPr>
          <w:spacing w:val="-8"/>
        </w:rPr>
        <w:t xml:space="preserve"> </w:t>
      </w:r>
      <w:r>
        <w:t>to</w:t>
      </w:r>
      <w:proofErr w:type="gramEnd"/>
      <w:r>
        <w:rPr>
          <w:spacing w:val="-9"/>
        </w:rPr>
        <w:t xml:space="preserve"> </w:t>
      </w:r>
      <w:r>
        <w:t>allow</w:t>
      </w:r>
      <w:r>
        <w:rPr>
          <w:spacing w:val="-8"/>
        </w:rPr>
        <w:t xml:space="preserve"> </w:t>
      </w:r>
      <w:r>
        <w:t>for</w:t>
      </w:r>
      <w:r>
        <w:rPr>
          <w:spacing w:val="-8"/>
        </w:rPr>
        <w:t xml:space="preserve"> </w:t>
      </w:r>
      <w:r>
        <w:t>replacements</w:t>
      </w:r>
      <w:r>
        <w:rPr>
          <w:spacing w:val="-8"/>
        </w:rPr>
        <w:t xml:space="preserve"> </w:t>
      </w:r>
      <w:r>
        <w:t>to</w:t>
      </w:r>
      <w:r>
        <w:rPr>
          <w:spacing w:val="-10"/>
        </w:rPr>
        <w:t xml:space="preserve"> </w:t>
      </w:r>
      <w:r>
        <w:t>be</w:t>
      </w:r>
      <w:r>
        <w:rPr>
          <w:spacing w:val="-9"/>
        </w:rPr>
        <w:t xml:space="preserve"> </w:t>
      </w:r>
      <w:r>
        <w:t>assigned</w:t>
      </w:r>
      <w:r>
        <w:rPr>
          <w:spacing w:val="-7"/>
        </w:rPr>
        <w:t xml:space="preserve"> </w:t>
      </w:r>
      <w:r>
        <w:t>in</w:t>
      </w:r>
      <w:r>
        <w:rPr>
          <w:spacing w:val="-7"/>
        </w:rPr>
        <w:t xml:space="preserve"> </w:t>
      </w:r>
      <w:r>
        <w:t>a</w:t>
      </w:r>
      <w:r>
        <w:rPr>
          <w:spacing w:val="-9"/>
        </w:rPr>
        <w:t xml:space="preserve"> </w:t>
      </w:r>
      <w:r>
        <w:t>timely manner, causing as little disruption to the Language Check Task as</w:t>
      </w:r>
      <w:r>
        <w:rPr>
          <w:spacing w:val="-15"/>
        </w:rPr>
        <w:t xml:space="preserve"> </w:t>
      </w:r>
      <w:r>
        <w:t>possible.</w:t>
      </w:r>
    </w:p>
    <w:p w14:paraId="1CD35716" w14:textId="77777777" w:rsidR="00D757DA" w:rsidRDefault="00D757DA">
      <w:pPr>
        <w:pStyle w:val="Zkladntext"/>
      </w:pPr>
    </w:p>
    <w:p w14:paraId="72C0B42A" w14:textId="77777777" w:rsidR="00D757DA" w:rsidRDefault="0033254E">
      <w:pPr>
        <w:pStyle w:val="Odstavecseseznamem"/>
        <w:numPr>
          <w:ilvl w:val="1"/>
          <w:numId w:val="18"/>
        </w:numPr>
        <w:tabs>
          <w:tab w:val="left" w:pos="841"/>
        </w:tabs>
        <w:ind w:right="1441" w:firstLine="0"/>
        <w:jc w:val="both"/>
      </w:pPr>
      <w:r>
        <w:t xml:space="preserve">The IPO must be responsible for ensuring that all pending language checks assigned to their language checkers have been completed by 11:30 every </w:t>
      </w:r>
      <w:proofErr w:type="gramStart"/>
      <w:r>
        <w:t>week day</w:t>
      </w:r>
      <w:proofErr w:type="gramEnd"/>
      <w:r>
        <w:rPr>
          <w:spacing w:val="-23"/>
        </w:rPr>
        <w:t xml:space="preserve"> </w:t>
      </w:r>
      <w:r>
        <w:t>morning.</w:t>
      </w:r>
    </w:p>
    <w:p w14:paraId="65CCB2E8" w14:textId="77777777" w:rsidR="00D757DA" w:rsidRDefault="00D757DA">
      <w:pPr>
        <w:jc w:val="both"/>
        <w:sectPr w:rsidR="00D757DA">
          <w:pgSz w:w="11910" w:h="16840"/>
          <w:pgMar w:top="1340" w:right="0" w:bottom="1160" w:left="1320" w:header="0" w:footer="881" w:gutter="0"/>
          <w:cols w:space="708"/>
        </w:sectPr>
      </w:pPr>
    </w:p>
    <w:p w14:paraId="78F84DA9" w14:textId="77777777" w:rsidR="00D757DA" w:rsidRDefault="0033254E">
      <w:pPr>
        <w:pStyle w:val="Odstavecseseznamem"/>
        <w:numPr>
          <w:ilvl w:val="1"/>
          <w:numId w:val="18"/>
        </w:numPr>
        <w:tabs>
          <w:tab w:val="left" w:pos="841"/>
        </w:tabs>
        <w:spacing w:before="81"/>
        <w:ind w:right="1430" w:firstLine="0"/>
        <w:jc w:val="both"/>
      </w:pPr>
      <w:r>
        <w:lastRenderedPageBreak/>
        <w:t>The</w:t>
      </w:r>
      <w:r>
        <w:rPr>
          <w:spacing w:val="-17"/>
        </w:rPr>
        <w:t xml:space="preserve"> </w:t>
      </w:r>
      <w:r>
        <w:t>IPO</w:t>
      </w:r>
      <w:r>
        <w:rPr>
          <w:spacing w:val="-17"/>
        </w:rPr>
        <w:t xml:space="preserve"> </w:t>
      </w:r>
      <w:r>
        <w:t>must</w:t>
      </w:r>
      <w:r>
        <w:rPr>
          <w:spacing w:val="-16"/>
        </w:rPr>
        <w:t xml:space="preserve"> </w:t>
      </w:r>
      <w:r>
        <w:t>ensure</w:t>
      </w:r>
      <w:r>
        <w:rPr>
          <w:spacing w:val="-19"/>
        </w:rPr>
        <w:t xml:space="preserve"> </w:t>
      </w:r>
      <w:r>
        <w:t>that</w:t>
      </w:r>
      <w:r>
        <w:rPr>
          <w:spacing w:val="-15"/>
        </w:rPr>
        <w:t xml:space="preserve"> </w:t>
      </w:r>
      <w:r>
        <w:t>all</w:t>
      </w:r>
      <w:r>
        <w:rPr>
          <w:spacing w:val="-17"/>
        </w:rPr>
        <w:t xml:space="preserve"> </w:t>
      </w:r>
      <w:r>
        <w:t>Language</w:t>
      </w:r>
      <w:r>
        <w:rPr>
          <w:spacing w:val="-17"/>
        </w:rPr>
        <w:t xml:space="preserve"> </w:t>
      </w:r>
      <w:r>
        <w:t>Checkers</w:t>
      </w:r>
      <w:r>
        <w:rPr>
          <w:spacing w:val="-18"/>
        </w:rPr>
        <w:t xml:space="preserve"> </w:t>
      </w:r>
      <w:r>
        <w:t>are</w:t>
      </w:r>
      <w:r>
        <w:rPr>
          <w:spacing w:val="-16"/>
        </w:rPr>
        <w:t xml:space="preserve"> </w:t>
      </w:r>
      <w:r>
        <w:t>available</w:t>
      </w:r>
      <w:r>
        <w:rPr>
          <w:spacing w:val="-17"/>
        </w:rPr>
        <w:t xml:space="preserve"> </w:t>
      </w:r>
      <w:r>
        <w:t>to</w:t>
      </w:r>
      <w:r>
        <w:rPr>
          <w:spacing w:val="-18"/>
        </w:rPr>
        <w:t xml:space="preserve"> </w:t>
      </w:r>
      <w:r>
        <w:t>respond</w:t>
      </w:r>
      <w:r>
        <w:rPr>
          <w:spacing w:val="-18"/>
        </w:rPr>
        <w:t xml:space="preserve"> </w:t>
      </w:r>
      <w:r>
        <w:t>to</w:t>
      </w:r>
      <w:r>
        <w:rPr>
          <w:spacing w:val="-17"/>
        </w:rPr>
        <w:t xml:space="preserve"> </w:t>
      </w:r>
      <w:r>
        <w:t>questions or</w:t>
      </w:r>
      <w:r>
        <w:rPr>
          <w:spacing w:val="-4"/>
        </w:rPr>
        <w:t xml:space="preserve"> </w:t>
      </w:r>
      <w:r>
        <w:t>comments</w:t>
      </w:r>
      <w:r>
        <w:rPr>
          <w:spacing w:val="-7"/>
        </w:rPr>
        <w:t xml:space="preserve"> </w:t>
      </w:r>
      <w:r>
        <w:t>from</w:t>
      </w:r>
      <w:r>
        <w:rPr>
          <w:spacing w:val="-4"/>
        </w:rPr>
        <w:t xml:space="preserve"> </w:t>
      </w:r>
      <w:r>
        <w:t>EUIPO</w:t>
      </w:r>
      <w:r>
        <w:rPr>
          <w:spacing w:val="-4"/>
        </w:rPr>
        <w:t xml:space="preserve"> </w:t>
      </w:r>
      <w:r>
        <w:t>examiners</w:t>
      </w:r>
      <w:r>
        <w:rPr>
          <w:spacing w:val="-7"/>
        </w:rPr>
        <w:t xml:space="preserve"> </w:t>
      </w:r>
      <w:r>
        <w:t>regarding</w:t>
      </w:r>
      <w:r>
        <w:rPr>
          <w:spacing w:val="-5"/>
        </w:rPr>
        <w:t xml:space="preserve"> </w:t>
      </w:r>
      <w:r>
        <w:t>any</w:t>
      </w:r>
      <w:r>
        <w:rPr>
          <w:spacing w:val="-5"/>
        </w:rPr>
        <w:t xml:space="preserve"> </w:t>
      </w:r>
      <w:r>
        <w:t>remark</w:t>
      </w:r>
      <w:r>
        <w:rPr>
          <w:spacing w:val="-4"/>
        </w:rPr>
        <w:t xml:space="preserve"> </w:t>
      </w:r>
      <w:r>
        <w:t>or</w:t>
      </w:r>
      <w:r>
        <w:rPr>
          <w:spacing w:val="-4"/>
        </w:rPr>
        <w:t xml:space="preserve"> </w:t>
      </w:r>
      <w:r>
        <w:t>decision</w:t>
      </w:r>
      <w:r>
        <w:rPr>
          <w:spacing w:val="-5"/>
        </w:rPr>
        <w:t xml:space="preserve"> </w:t>
      </w:r>
      <w:r>
        <w:t>registered</w:t>
      </w:r>
      <w:r>
        <w:rPr>
          <w:spacing w:val="-5"/>
        </w:rPr>
        <w:t xml:space="preserve"> </w:t>
      </w:r>
      <w:r>
        <w:t>in</w:t>
      </w:r>
      <w:r>
        <w:rPr>
          <w:spacing w:val="-7"/>
        </w:rPr>
        <w:t xml:space="preserve"> </w:t>
      </w:r>
      <w:r>
        <w:t>the</w:t>
      </w:r>
      <w:r>
        <w:rPr>
          <w:spacing w:val="-4"/>
        </w:rPr>
        <w:t xml:space="preserve"> </w:t>
      </w:r>
      <w:proofErr w:type="gramStart"/>
      <w:r>
        <w:t>LCT, and</w:t>
      </w:r>
      <w:proofErr w:type="gramEnd"/>
      <w:r>
        <w:t xml:space="preserve"> must undertake to ensure responses provide adequate information that allows for the resolution of the examiner’s</w:t>
      </w:r>
      <w:r>
        <w:rPr>
          <w:spacing w:val="-2"/>
        </w:rPr>
        <w:t xml:space="preserve"> </w:t>
      </w:r>
      <w:r>
        <w:t>doubts.</w:t>
      </w:r>
    </w:p>
    <w:p w14:paraId="68C8555C" w14:textId="77777777" w:rsidR="00D757DA" w:rsidRDefault="00D757DA">
      <w:pPr>
        <w:pStyle w:val="Zkladntext"/>
      </w:pPr>
    </w:p>
    <w:p w14:paraId="687FAC1F" w14:textId="77777777" w:rsidR="00D757DA" w:rsidRDefault="0033254E">
      <w:pPr>
        <w:pStyle w:val="Odstavecseseznamem"/>
        <w:numPr>
          <w:ilvl w:val="1"/>
          <w:numId w:val="18"/>
        </w:numPr>
        <w:tabs>
          <w:tab w:val="left" w:pos="841"/>
        </w:tabs>
        <w:spacing w:before="1"/>
        <w:ind w:right="1433" w:firstLine="0"/>
        <w:jc w:val="both"/>
      </w:pPr>
      <w:r>
        <w:t>The IPO must observe all comments and suggestions made by the EUIPO Business Operations Department regarding the execution of the Language Check Task and improvements that can be made thereto, incorporating feedback into language check procedure without</w:t>
      </w:r>
      <w:r>
        <w:rPr>
          <w:spacing w:val="-4"/>
        </w:rPr>
        <w:t xml:space="preserve"> </w:t>
      </w:r>
      <w:r>
        <w:t>delay.</w:t>
      </w:r>
    </w:p>
    <w:p w14:paraId="04FB0B37" w14:textId="77777777" w:rsidR="00D757DA" w:rsidRDefault="00D757DA">
      <w:pPr>
        <w:pStyle w:val="Zkladntext"/>
        <w:spacing w:before="11"/>
        <w:rPr>
          <w:sz w:val="21"/>
        </w:rPr>
      </w:pPr>
    </w:p>
    <w:p w14:paraId="2DE9EA50" w14:textId="77777777" w:rsidR="00D757DA" w:rsidRDefault="0033254E">
      <w:pPr>
        <w:pStyle w:val="Odstavecseseznamem"/>
        <w:numPr>
          <w:ilvl w:val="1"/>
          <w:numId w:val="18"/>
        </w:numPr>
        <w:tabs>
          <w:tab w:val="left" w:pos="841"/>
        </w:tabs>
        <w:ind w:right="1439" w:firstLine="0"/>
        <w:jc w:val="both"/>
      </w:pPr>
      <w:r>
        <w:t>In the event of noncompliance with any of the provisions laid out above, and pursuant to</w:t>
      </w:r>
      <w:r>
        <w:rPr>
          <w:spacing w:val="-2"/>
        </w:rPr>
        <w:t xml:space="preserve"> </w:t>
      </w:r>
      <w:r>
        <w:t>Articles</w:t>
      </w:r>
      <w:r>
        <w:rPr>
          <w:spacing w:val="-4"/>
        </w:rPr>
        <w:t xml:space="preserve"> </w:t>
      </w:r>
      <w:r>
        <w:t>2,</w:t>
      </w:r>
      <w:r>
        <w:rPr>
          <w:spacing w:val="-2"/>
        </w:rPr>
        <w:t xml:space="preserve"> </w:t>
      </w:r>
      <w:r>
        <w:t>3</w:t>
      </w:r>
      <w:r>
        <w:rPr>
          <w:spacing w:val="-3"/>
        </w:rPr>
        <w:t xml:space="preserve"> </w:t>
      </w:r>
      <w:r>
        <w:t>and</w:t>
      </w:r>
      <w:r>
        <w:rPr>
          <w:spacing w:val="-4"/>
        </w:rPr>
        <w:t xml:space="preserve"> </w:t>
      </w:r>
      <w:r>
        <w:t>4,</w:t>
      </w:r>
      <w:r>
        <w:rPr>
          <w:spacing w:val="-2"/>
        </w:rPr>
        <w:t xml:space="preserve"> </w:t>
      </w:r>
      <w:r>
        <w:t>the</w:t>
      </w:r>
      <w:r>
        <w:rPr>
          <w:spacing w:val="-4"/>
        </w:rPr>
        <w:t xml:space="preserve"> </w:t>
      </w:r>
      <w:r>
        <w:t>EUIPO</w:t>
      </w:r>
      <w:r>
        <w:rPr>
          <w:spacing w:val="-2"/>
        </w:rPr>
        <w:t xml:space="preserve"> </w:t>
      </w:r>
      <w:r>
        <w:t>may</w:t>
      </w:r>
      <w:r>
        <w:rPr>
          <w:spacing w:val="-4"/>
        </w:rPr>
        <w:t xml:space="preserve"> </w:t>
      </w:r>
      <w:r>
        <w:t>suspend</w:t>
      </w:r>
      <w:r>
        <w:rPr>
          <w:spacing w:val="-3"/>
        </w:rPr>
        <w:t xml:space="preserve"> </w:t>
      </w:r>
      <w:r>
        <w:t>or</w:t>
      </w:r>
      <w:r>
        <w:rPr>
          <w:spacing w:val="-3"/>
        </w:rPr>
        <w:t xml:space="preserve"> </w:t>
      </w:r>
      <w:r>
        <w:t>terminate</w:t>
      </w:r>
      <w:r>
        <w:rPr>
          <w:spacing w:val="-3"/>
        </w:rPr>
        <w:t xml:space="preserve"> </w:t>
      </w:r>
      <w:r>
        <w:t>the</w:t>
      </w:r>
      <w:r>
        <w:rPr>
          <w:spacing w:val="-4"/>
        </w:rPr>
        <w:t xml:space="preserve"> </w:t>
      </w:r>
      <w:r>
        <w:t>involvement</w:t>
      </w:r>
      <w:r>
        <w:rPr>
          <w:spacing w:val="1"/>
        </w:rPr>
        <w:t xml:space="preserve"> </w:t>
      </w:r>
      <w:r>
        <w:t>of</w:t>
      </w:r>
      <w:r>
        <w:rPr>
          <w:spacing w:val="-3"/>
        </w:rPr>
        <w:t xml:space="preserve"> </w:t>
      </w:r>
      <w:r>
        <w:t>the</w:t>
      </w:r>
      <w:r>
        <w:rPr>
          <w:spacing w:val="-6"/>
        </w:rPr>
        <w:t xml:space="preserve"> </w:t>
      </w:r>
      <w:r>
        <w:t>IPO</w:t>
      </w:r>
      <w:r>
        <w:rPr>
          <w:spacing w:val="-3"/>
        </w:rPr>
        <w:t xml:space="preserve"> </w:t>
      </w:r>
      <w:r>
        <w:t>in</w:t>
      </w:r>
      <w:r>
        <w:rPr>
          <w:spacing w:val="-3"/>
        </w:rPr>
        <w:t xml:space="preserve"> </w:t>
      </w:r>
      <w:r>
        <w:t>the Language Check</w:t>
      </w:r>
      <w:r>
        <w:rPr>
          <w:spacing w:val="-1"/>
        </w:rPr>
        <w:t xml:space="preserve"> </w:t>
      </w:r>
      <w:r>
        <w:t>Task.</w:t>
      </w:r>
    </w:p>
    <w:p w14:paraId="01CED4C9" w14:textId="77777777" w:rsidR="00D757DA" w:rsidRDefault="00D757DA">
      <w:pPr>
        <w:pStyle w:val="Zkladntext"/>
        <w:spacing w:before="1"/>
      </w:pPr>
    </w:p>
    <w:p w14:paraId="76C5CEB3" w14:textId="77777777" w:rsidR="00D757DA" w:rsidRDefault="0033254E">
      <w:pPr>
        <w:pStyle w:val="Odstavecseseznamem"/>
        <w:numPr>
          <w:ilvl w:val="1"/>
          <w:numId w:val="18"/>
        </w:numPr>
        <w:tabs>
          <w:tab w:val="left" w:pos="841"/>
        </w:tabs>
        <w:spacing w:before="1"/>
        <w:ind w:right="1441" w:firstLine="0"/>
        <w:jc w:val="both"/>
      </w:pPr>
      <w:r>
        <w:t>The EUIPO may terminate the execution of the Language Check Task by the IPO, at any time and for any reason relating to a change in the process for conducting language examinations and/or a change to EUIPO</w:t>
      </w:r>
      <w:r>
        <w:rPr>
          <w:spacing w:val="-7"/>
        </w:rPr>
        <w:t xml:space="preserve"> </w:t>
      </w:r>
      <w:r>
        <w:t>procedure.</w:t>
      </w:r>
    </w:p>
    <w:p w14:paraId="1D97A543" w14:textId="77777777" w:rsidR="00D757DA" w:rsidRDefault="00D757DA">
      <w:pPr>
        <w:pStyle w:val="Zkladntext"/>
        <w:spacing w:before="9"/>
        <w:rPr>
          <w:sz w:val="21"/>
        </w:rPr>
      </w:pPr>
    </w:p>
    <w:p w14:paraId="5DABCC09" w14:textId="77777777" w:rsidR="00D757DA" w:rsidRDefault="0033254E">
      <w:pPr>
        <w:pStyle w:val="Odstavecseseznamem"/>
        <w:numPr>
          <w:ilvl w:val="1"/>
          <w:numId w:val="18"/>
        </w:numPr>
        <w:tabs>
          <w:tab w:val="left" w:pos="841"/>
        </w:tabs>
        <w:spacing w:before="1"/>
        <w:ind w:right="1441" w:firstLine="0"/>
        <w:jc w:val="both"/>
      </w:pPr>
      <w:r>
        <w:t>In case the IPO has a reason and wishes to stop performing the Language Check, it should warn the EUIPO one month in</w:t>
      </w:r>
      <w:r>
        <w:rPr>
          <w:spacing w:val="-8"/>
        </w:rPr>
        <w:t xml:space="preserve"> </w:t>
      </w:r>
      <w:r>
        <w:t>advance.</w:t>
      </w:r>
    </w:p>
    <w:p w14:paraId="22BF672A" w14:textId="77777777" w:rsidR="00D757DA" w:rsidRDefault="00D757DA">
      <w:pPr>
        <w:pStyle w:val="Zkladntext"/>
        <w:spacing w:before="1"/>
      </w:pPr>
    </w:p>
    <w:p w14:paraId="23E56D55" w14:textId="77777777" w:rsidR="00D757DA" w:rsidRDefault="0033254E">
      <w:pPr>
        <w:pStyle w:val="Odstavecseseznamem"/>
        <w:numPr>
          <w:ilvl w:val="1"/>
          <w:numId w:val="18"/>
        </w:numPr>
        <w:tabs>
          <w:tab w:val="left" w:pos="841"/>
        </w:tabs>
        <w:ind w:right="1435" w:firstLine="0"/>
        <w:jc w:val="both"/>
      </w:pPr>
      <w:r>
        <w:t>EUIPO shall pay to the IPO a lump sum based on ADM-25-40 for the implementation of this service and pursuant to the Annex III if this</w:t>
      </w:r>
      <w:r>
        <w:rPr>
          <w:spacing w:val="-13"/>
        </w:rPr>
        <w:t xml:space="preserve"> </w:t>
      </w:r>
      <w:r>
        <w:t>Agreement</w:t>
      </w:r>
    </w:p>
    <w:p w14:paraId="33A01CC3" w14:textId="77777777" w:rsidR="00D757DA" w:rsidRDefault="00D757DA">
      <w:pPr>
        <w:pStyle w:val="Zkladntext"/>
        <w:spacing w:before="2"/>
        <w:rPr>
          <w:sz w:val="31"/>
        </w:rPr>
      </w:pPr>
    </w:p>
    <w:p w14:paraId="207C383D" w14:textId="77777777" w:rsidR="00D757DA" w:rsidRDefault="0033254E">
      <w:pPr>
        <w:pStyle w:val="Nadpis3"/>
        <w:ind w:right="1339"/>
      </w:pPr>
      <w:bookmarkStart w:id="46" w:name="ARTICLE_35_-_IMPLEMENTATION_OF_THE_CASE_"/>
      <w:bookmarkEnd w:id="46"/>
      <w:r>
        <w:t>ARTICLE 35 - IMPLEMENTATION OF THE CASE LAW ACTIVITY UNDER THE WORK PROGRAMME OF THE OBSERVATORY</w:t>
      </w:r>
    </w:p>
    <w:p w14:paraId="58863601" w14:textId="77777777" w:rsidR="00D757DA" w:rsidRDefault="00D757DA">
      <w:pPr>
        <w:pStyle w:val="Zkladntext"/>
        <w:spacing w:before="11"/>
        <w:rPr>
          <w:b/>
          <w:sz w:val="20"/>
        </w:rPr>
      </w:pPr>
    </w:p>
    <w:p w14:paraId="2FD2A6E5" w14:textId="77777777" w:rsidR="00D757DA" w:rsidRDefault="0033254E">
      <w:pPr>
        <w:pStyle w:val="Zkladntext"/>
        <w:ind w:left="120" w:right="1437"/>
      </w:pPr>
      <w:r>
        <w:t xml:space="preserve">The present Article sets out the terms and conditions of the co-operation between the parties that have expressed their interest to participate in the Case Law activity in the context of the Observatory work </w:t>
      </w:r>
      <w:proofErr w:type="spellStart"/>
      <w:r>
        <w:t>programme</w:t>
      </w:r>
      <w:proofErr w:type="spellEnd"/>
      <w:r>
        <w:t>.</w:t>
      </w:r>
    </w:p>
    <w:p w14:paraId="3F597390" w14:textId="77777777" w:rsidR="00D757DA" w:rsidRDefault="00D757DA">
      <w:pPr>
        <w:pStyle w:val="Zkladntext"/>
        <w:spacing w:before="1"/>
      </w:pPr>
    </w:p>
    <w:p w14:paraId="65B32304" w14:textId="77777777" w:rsidR="00D757DA" w:rsidRDefault="0033254E">
      <w:pPr>
        <w:pStyle w:val="Odstavecseseznamem"/>
        <w:numPr>
          <w:ilvl w:val="1"/>
          <w:numId w:val="17"/>
        </w:numPr>
        <w:tabs>
          <w:tab w:val="left" w:pos="829"/>
        </w:tabs>
        <w:ind w:right="1434" w:firstLine="0"/>
        <w:jc w:val="both"/>
      </w:pPr>
      <w:r>
        <w:t>The IPO has agreed to assist the Observatory in collecting key judgments related to enforcement of IP rights rendered at national level to be included in the EUIPO case law database. Key enforcement judgment is to be understood as a judgment in relation to application of enforcement-related measure or procedure in IP rights infringement case that provides new trend in</w:t>
      </w:r>
      <w:r>
        <w:rPr>
          <w:spacing w:val="-7"/>
        </w:rPr>
        <w:t xml:space="preserve"> </w:t>
      </w:r>
      <w:r>
        <w:t>jurisprudence.</w:t>
      </w:r>
    </w:p>
    <w:p w14:paraId="24534A24" w14:textId="77777777" w:rsidR="00D757DA" w:rsidRDefault="00D757DA">
      <w:pPr>
        <w:pStyle w:val="Zkladntext"/>
        <w:spacing w:before="9"/>
        <w:rPr>
          <w:sz w:val="20"/>
        </w:rPr>
      </w:pPr>
    </w:p>
    <w:p w14:paraId="2A4FF9F5" w14:textId="77777777" w:rsidR="00D757DA" w:rsidRDefault="0033254E">
      <w:pPr>
        <w:pStyle w:val="Odstavecseseznamem"/>
        <w:numPr>
          <w:ilvl w:val="1"/>
          <w:numId w:val="17"/>
        </w:numPr>
        <w:tabs>
          <w:tab w:val="left" w:pos="829"/>
        </w:tabs>
        <w:spacing w:before="1"/>
        <w:ind w:right="1437" w:firstLine="0"/>
        <w:jc w:val="both"/>
      </w:pPr>
      <w:r>
        <w:t xml:space="preserve">IP rights to be covered include national </w:t>
      </w:r>
      <w:proofErr w:type="gramStart"/>
      <w:r>
        <w:t>trade mark</w:t>
      </w:r>
      <w:proofErr w:type="gramEnd"/>
      <w:r>
        <w:t xml:space="preserve"> rights, design rights, copyright and rights related to copyright, patent rights, geographical indications and trade</w:t>
      </w:r>
      <w:r>
        <w:rPr>
          <w:spacing w:val="-24"/>
        </w:rPr>
        <w:t xml:space="preserve"> </w:t>
      </w:r>
      <w:r>
        <w:t>secrets.</w:t>
      </w:r>
    </w:p>
    <w:p w14:paraId="5934EC4B" w14:textId="77777777" w:rsidR="00D757DA" w:rsidRDefault="00D757DA">
      <w:pPr>
        <w:pStyle w:val="Zkladntext"/>
        <w:spacing w:before="11"/>
        <w:rPr>
          <w:sz w:val="20"/>
        </w:rPr>
      </w:pPr>
    </w:p>
    <w:p w14:paraId="5E59CD3D" w14:textId="77777777" w:rsidR="00D757DA" w:rsidRDefault="0033254E">
      <w:pPr>
        <w:pStyle w:val="Odstavecseseznamem"/>
        <w:numPr>
          <w:ilvl w:val="1"/>
          <w:numId w:val="17"/>
        </w:numPr>
        <w:tabs>
          <w:tab w:val="left" w:pos="829"/>
        </w:tabs>
        <w:ind w:right="1440" w:firstLine="0"/>
        <w:jc w:val="both"/>
      </w:pPr>
      <w:r>
        <w:t>Key enforcement judgments may be related to civil or criminal proceedings, covering the period provided by Article 4 of the Special Conditions, and if applicable, key enforcement judgments of previous years which were not yet provided to</w:t>
      </w:r>
      <w:r>
        <w:rPr>
          <w:spacing w:val="-10"/>
        </w:rPr>
        <w:t xml:space="preserve"> </w:t>
      </w:r>
      <w:r>
        <w:t>EUIPO.</w:t>
      </w:r>
    </w:p>
    <w:p w14:paraId="36238EC1" w14:textId="77777777" w:rsidR="00D757DA" w:rsidRDefault="00D757DA">
      <w:pPr>
        <w:pStyle w:val="Zkladntext"/>
        <w:spacing w:before="9"/>
        <w:rPr>
          <w:sz w:val="20"/>
        </w:rPr>
      </w:pPr>
    </w:p>
    <w:p w14:paraId="0D2843AE" w14:textId="77777777" w:rsidR="00D757DA" w:rsidRDefault="0033254E">
      <w:pPr>
        <w:pStyle w:val="Odstavecseseznamem"/>
        <w:numPr>
          <w:ilvl w:val="1"/>
          <w:numId w:val="17"/>
        </w:numPr>
        <w:tabs>
          <w:tab w:val="left" w:pos="829"/>
        </w:tabs>
        <w:ind w:left="828" w:hanging="709"/>
        <w:jc w:val="both"/>
      </w:pPr>
      <w:r>
        <w:t>IPO will provide the following information to the</w:t>
      </w:r>
      <w:r>
        <w:rPr>
          <w:spacing w:val="-10"/>
        </w:rPr>
        <w:t xml:space="preserve"> </w:t>
      </w:r>
      <w:r>
        <w:t>EUIPO:</w:t>
      </w:r>
    </w:p>
    <w:p w14:paraId="5CB91B36" w14:textId="77777777" w:rsidR="00D757DA" w:rsidRDefault="00D757DA">
      <w:pPr>
        <w:pStyle w:val="Zkladntext"/>
        <w:spacing w:before="9"/>
        <w:rPr>
          <w:sz w:val="20"/>
        </w:rPr>
      </w:pPr>
    </w:p>
    <w:p w14:paraId="4455DEE1" w14:textId="77777777" w:rsidR="00D757DA" w:rsidRDefault="0033254E">
      <w:pPr>
        <w:pStyle w:val="Odstavecseseznamem"/>
        <w:numPr>
          <w:ilvl w:val="2"/>
          <w:numId w:val="17"/>
        </w:numPr>
        <w:tabs>
          <w:tab w:val="left" w:pos="1254"/>
        </w:tabs>
        <w:ind w:right="1437"/>
        <w:jc w:val="both"/>
      </w:pPr>
      <w:r>
        <w:t>texts of key judgments related to enforcement of IP rights rendered at national level,</w:t>
      </w:r>
      <w:r>
        <w:rPr>
          <w:spacing w:val="-13"/>
        </w:rPr>
        <w:t xml:space="preserve"> </w:t>
      </w:r>
      <w:r>
        <w:t>covering</w:t>
      </w:r>
      <w:r>
        <w:rPr>
          <w:spacing w:val="-14"/>
        </w:rPr>
        <w:t xml:space="preserve"> </w:t>
      </w:r>
      <w:r>
        <w:t>the</w:t>
      </w:r>
      <w:r>
        <w:rPr>
          <w:spacing w:val="-15"/>
        </w:rPr>
        <w:t xml:space="preserve"> </w:t>
      </w:r>
      <w:r>
        <w:t>calendar</w:t>
      </w:r>
      <w:r>
        <w:rPr>
          <w:spacing w:val="-13"/>
        </w:rPr>
        <w:t xml:space="preserve"> </w:t>
      </w:r>
      <w:r>
        <w:t>year</w:t>
      </w:r>
      <w:r>
        <w:rPr>
          <w:spacing w:val="-14"/>
        </w:rPr>
        <w:t xml:space="preserve"> </w:t>
      </w:r>
      <w:r>
        <w:t>covered</w:t>
      </w:r>
      <w:r>
        <w:rPr>
          <w:spacing w:val="-13"/>
        </w:rPr>
        <w:t xml:space="preserve"> </w:t>
      </w:r>
      <w:r>
        <w:t>by</w:t>
      </w:r>
      <w:r>
        <w:rPr>
          <w:spacing w:val="-16"/>
        </w:rPr>
        <w:t xml:space="preserve"> </w:t>
      </w:r>
      <w:r>
        <w:t>this</w:t>
      </w:r>
      <w:r>
        <w:rPr>
          <w:spacing w:val="-14"/>
        </w:rPr>
        <w:t xml:space="preserve"> </w:t>
      </w:r>
      <w:r>
        <w:t>Agreement,</w:t>
      </w:r>
      <w:r>
        <w:rPr>
          <w:spacing w:val="-12"/>
        </w:rPr>
        <w:t xml:space="preserve"> </w:t>
      </w:r>
      <w:r>
        <w:t>and</w:t>
      </w:r>
      <w:r>
        <w:rPr>
          <w:spacing w:val="-15"/>
        </w:rPr>
        <w:t xml:space="preserve"> </w:t>
      </w:r>
      <w:r>
        <w:t>if</w:t>
      </w:r>
      <w:r>
        <w:rPr>
          <w:spacing w:val="-12"/>
        </w:rPr>
        <w:t xml:space="preserve"> </w:t>
      </w:r>
      <w:r>
        <w:t>applicable,</w:t>
      </w:r>
      <w:r>
        <w:rPr>
          <w:spacing w:val="-13"/>
        </w:rPr>
        <w:t xml:space="preserve"> </w:t>
      </w:r>
      <w:r>
        <w:t>key enforcement judgments of previous years which were not yet provided to EUIPO, in cases related to trade marks, designs, copyright and related rights, patents, geographical</w:t>
      </w:r>
      <w:r>
        <w:rPr>
          <w:spacing w:val="-8"/>
        </w:rPr>
        <w:t xml:space="preserve"> </w:t>
      </w:r>
      <w:r>
        <w:t>indications</w:t>
      </w:r>
      <w:r>
        <w:rPr>
          <w:spacing w:val="-11"/>
        </w:rPr>
        <w:t xml:space="preserve"> </w:t>
      </w:r>
      <w:r>
        <w:t>and</w:t>
      </w:r>
      <w:r>
        <w:rPr>
          <w:spacing w:val="-10"/>
        </w:rPr>
        <w:t xml:space="preserve"> </w:t>
      </w:r>
      <w:r>
        <w:t>trade</w:t>
      </w:r>
      <w:r>
        <w:rPr>
          <w:spacing w:val="-9"/>
        </w:rPr>
        <w:t xml:space="preserve"> </w:t>
      </w:r>
      <w:r>
        <w:t>secrets,</w:t>
      </w:r>
      <w:r>
        <w:rPr>
          <w:spacing w:val="-11"/>
        </w:rPr>
        <w:t xml:space="preserve"> </w:t>
      </w:r>
      <w:r>
        <w:t>to</w:t>
      </w:r>
      <w:r>
        <w:rPr>
          <w:spacing w:val="-6"/>
        </w:rPr>
        <w:t xml:space="preserve"> </w:t>
      </w:r>
      <w:r>
        <w:t>be</w:t>
      </w:r>
      <w:r>
        <w:rPr>
          <w:spacing w:val="-10"/>
        </w:rPr>
        <w:t xml:space="preserve"> </w:t>
      </w:r>
      <w:r>
        <w:t>uploaded</w:t>
      </w:r>
      <w:r>
        <w:rPr>
          <w:spacing w:val="-6"/>
        </w:rPr>
        <w:t xml:space="preserve"> </w:t>
      </w:r>
      <w:r>
        <w:t>in</w:t>
      </w:r>
      <w:r>
        <w:rPr>
          <w:spacing w:val="-10"/>
        </w:rPr>
        <w:t xml:space="preserve"> </w:t>
      </w:r>
      <w:r>
        <w:t>the</w:t>
      </w:r>
      <w:r>
        <w:rPr>
          <w:spacing w:val="-9"/>
        </w:rPr>
        <w:t xml:space="preserve"> </w:t>
      </w:r>
      <w:r>
        <w:t>EUIPO</w:t>
      </w:r>
      <w:r>
        <w:rPr>
          <w:spacing w:val="-8"/>
        </w:rPr>
        <w:t xml:space="preserve"> </w:t>
      </w:r>
      <w:r>
        <w:t>case</w:t>
      </w:r>
      <w:r>
        <w:rPr>
          <w:spacing w:val="-7"/>
        </w:rPr>
        <w:t xml:space="preserve"> </w:t>
      </w:r>
      <w:r>
        <w:t>law database</w:t>
      </w:r>
      <w:r>
        <w:rPr>
          <w:spacing w:val="-7"/>
        </w:rPr>
        <w:t xml:space="preserve"> </w:t>
      </w:r>
      <w:r>
        <w:t>(full</w:t>
      </w:r>
      <w:r>
        <w:rPr>
          <w:spacing w:val="-5"/>
        </w:rPr>
        <w:t xml:space="preserve"> </w:t>
      </w:r>
      <w:r>
        <w:t>texts</w:t>
      </w:r>
      <w:r>
        <w:rPr>
          <w:spacing w:val="-7"/>
        </w:rPr>
        <w:t xml:space="preserve"> </w:t>
      </w:r>
      <w:r>
        <w:t>of</w:t>
      </w:r>
      <w:r>
        <w:rPr>
          <w:spacing w:val="-6"/>
        </w:rPr>
        <w:t xml:space="preserve"> </w:t>
      </w:r>
      <w:r>
        <w:t>judgments,</w:t>
      </w:r>
      <w:r>
        <w:rPr>
          <w:spacing w:val="-6"/>
        </w:rPr>
        <w:t xml:space="preserve"> </w:t>
      </w:r>
      <w:r>
        <w:t>including</w:t>
      </w:r>
      <w:r>
        <w:rPr>
          <w:spacing w:val="-5"/>
        </w:rPr>
        <w:t xml:space="preserve"> </w:t>
      </w:r>
      <w:r>
        <w:t>representations,</w:t>
      </w:r>
      <w:r>
        <w:rPr>
          <w:spacing w:val="-5"/>
        </w:rPr>
        <w:t xml:space="preserve"> </w:t>
      </w:r>
      <w:r>
        <w:t>in</w:t>
      </w:r>
      <w:r>
        <w:rPr>
          <w:spacing w:val="-7"/>
        </w:rPr>
        <w:t xml:space="preserve"> </w:t>
      </w:r>
      <w:r>
        <w:t>original</w:t>
      </w:r>
      <w:r>
        <w:rPr>
          <w:spacing w:val="-5"/>
        </w:rPr>
        <w:t xml:space="preserve"> </w:t>
      </w:r>
      <w:r>
        <w:t>language);</w:t>
      </w:r>
    </w:p>
    <w:p w14:paraId="2D5425AC" w14:textId="77777777" w:rsidR="00D757DA" w:rsidRDefault="00D757DA">
      <w:pPr>
        <w:jc w:val="both"/>
        <w:sectPr w:rsidR="00D757DA">
          <w:pgSz w:w="11910" w:h="16840"/>
          <w:pgMar w:top="1340" w:right="0" w:bottom="1160" w:left="1320" w:header="0" w:footer="881" w:gutter="0"/>
          <w:cols w:space="708"/>
        </w:sectPr>
      </w:pPr>
    </w:p>
    <w:p w14:paraId="1035F959" w14:textId="77777777" w:rsidR="00D757DA" w:rsidRDefault="0033254E">
      <w:pPr>
        <w:pStyle w:val="Odstavecseseznamem"/>
        <w:numPr>
          <w:ilvl w:val="2"/>
          <w:numId w:val="17"/>
        </w:numPr>
        <w:tabs>
          <w:tab w:val="left" w:pos="1254"/>
        </w:tabs>
        <w:spacing w:before="81"/>
        <w:ind w:right="1437"/>
        <w:jc w:val="both"/>
      </w:pPr>
      <w:r>
        <w:lastRenderedPageBreak/>
        <w:t>summary of each judgment in English or in the language of the Member State, containing such information as IP rights at stake, main facts of the case, legal questions</w:t>
      </w:r>
      <w:r>
        <w:rPr>
          <w:spacing w:val="-7"/>
        </w:rPr>
        <w:t xml:space="preserve"> </w:t>
      </w:r>
      <w:r>
        <w:t>decided</w:t>
      </w:r>
      <w:r>
        <w:rPr>
          <w:spacing w:val="-6"/>
        </w:rPr>
        <w:t xml:space="preserve"> </w:t>
      </w:r>
      <w:r>
        <w:t>by</w:t>
      </w:r>
      <w:r>
        <w:rPr>
          <w:spacing w:val="-10"/>
        </w:rPr>
        <w:t xml:space="preserve"> </w:t>
      </w:r>
      <w:r>
        <w:t>the</w:t>
      </w:r>
      <w:r>
        <w:rPr>
          <w:spacing w:val="-9"/>
        </w:rPr>
        <w:t xml:space="preserve"> </w:t>
      </w:r>
      <w:r>
        <w:t>court</w:t>
      </w:r>
      <w:r>
        <w:rPr>
          <w:spacing w:val="-5"/>
        </w:rPr>
        <w:t xml:space="preserve"> </w:t>
      </w:r>
      <w:r>
        <w:t>and</w:t>
      </w:r>
      <w:r>
        <w:rPr>
          <w:spacing w:val="-10"/>
        </w:rPr>
        <w:t xml:space="preserve"> </w:t>
      </w:r>
      <w:r>
        <w:t>reached</w:t>
      </w:r>
      <w:r>
        <w:rPr>
          <w:spacing w:val="-9"/>
        </w:rPr>
        <w:t xml:space="preserve"> </w:t>
      </w:r>
      <w:r>
        <w:t>conclusions</w:t>
      </w:r>
      <w:r>
        <w:rPr>
          <w:spacing w:val="-6"/>
        </w:rPr>
        <w:t xml:space="preserve"> </w:t>
      </w:r>
      <w:r>
        <w:t>(submitted</w:t>
      </w:r>
      <w:r>
        <w:rPr>
          <w:spacing w:val="-10"/>
        </w:rPr>
        <w:t xml:space="preserve"> </w:t>
      </w:r>
      <w:r>
        <w:t>using</w:t>
      </w:r>
      <w:r>
        <w:rPr>
          <w:spacing w:val="-9"/>
        </w:rPr>
        <w:t xml:space="preserve"> </w:t>
      </w:r>
      <w:r>
        <w:t>defined template to be provided by the</w:t>
      </w:r>
      <w:r>
        <w:rPr>
          <w:spacing w:val="-11"/>
        </w:rPr>
        <w:t xml:space="preserve"> </w:t>
      </w:r>
      <w:r>
        <w:t>EUIPO</w:t>
      </w:r>
      <w:proofErr w:type="gramStart"/>
      <w:r>
        <w:t>);</w:t>
      </w:r>
      <w:proofErr w:type="gramEnd"/>
    </w:p>
    <w:p w14:paraId="01AB9836" w14:textId="77777777" w:rsidR="00D757DA" w:rsidRDefault="00D757DA">
      <w:pPr>
        <w:pStyle w:val="Zkladntext"/>
        <w:rPr>
          <w:sz w:val="21"/>
        </w:rPr>
      </w:pPr>
    </w:p>
    <w:p w14:paraId="2EFB1108" w14:textId="77777777" w:rsidR="00D757DA" w:rsidRDefault="0033254E">
      <w:pPr>
        <w:pStyle w:val="Odstavecseseznamem"/>
        <w:numPr>
          <w:ilvl w:val="2"/>
          <w:numId w:val="17"/>
        </w:numPr>
        <w:tabs>
          <w:tab w:val="left" w:pos="1254"/>
        </w:tabs>
        <w:ind w:right="1441"/>
        <w:jc w:val="both"/>
      </w:pPr>
      <w:r>
        <w:t>indexation</w:t>
      </w:r>
      <w:r>
        <w:rPr>
          <w:spacing w:val="-17"/>
        </w:rPr>
        <w:t xml:space="preserve"> </w:t>
      </w:r>
      <w:r>
        <w:t>of</w:t>
      </w:r>
      <w:r>
        <w:rPr>
          <w:spacing w:val="-18"/>
        </w:rPr>
        <w:t xml:space="preserve"> </w:t>
      </w:r>
      <w:r>
        <w:t>judgments</w:t>
      </w:r>
      <w:r>
        <w:rPr>
          <w:spacing w:val="-17"/>
        </w:rPr>
        <w:t xml:space="preserve"> </w:t>
      </w:r>
      <w:r>
        <w:t>(submitted</w:t>
      </w:r>
      <w:r>
        <w:rPr>
          <w:spacing w:val="-17"/>
        </w:rPr>
        <w:t xml:space="preserve"> </w:t>
      </w:r>
      <w:r>
        <w:t>using</w:t>
      </w:r>
      <w:r>
        <w:rPr>
          <w:spacing w:val="-16"/>
        </w:rPr>
        <w:t xml:space="preserve"> </w:t>
      </w:r>
      <w:r>
        <w:t>a</w:t>
      </w:r>
      <w:r>
        <w:rPr>
          <w:spacing w:val="-17"/>
        </w:rPr>
        <w:t xml:space="preserve"> </w:t>
      </w:r>
      <w:r>
        <w:t>set</w:t>
      </w:r>
      <w:r>
        <w:rPr>
          <w:spacing w:val="-16"/>
        </w:rPr>
        <w:t xml:space="preserve"> </w:t>
      </w:r>
      <w:r>
        <w:t>of</w:t>
      </w:r>
      <w:r>
        <w:rPr>
          <w:spacing w:val="-15"/>
        </w:rPr>
        <w:t xml:space="preserve"> </w:t>
      </w:r>
      <w:r>
        <w:t>defined</w:t>
      </w:r>
      <w:r>
        <w:rPr>
          <w:spacing w:val="-17"/>
        </w:rPr>
        <w:t xml:space="preserve"> </w:t>
      </w:r>
      <w:r>
        <w:t>key</w:t>
      </w:r>
      <w:r>
        <w:rPr>
          <w:spacing w:val="-17"/>
        </w:rPr>
        <w:t xml:space="preserve"> </w:t>
      </w:r>
      <w:r>
        <w:t>words</w:t>
      </w:r>
      <w:r>
        <w:rPr>
          <w:spacing w:val="-16"/>
        </w:rPr>
        <w:t xml:space="preserve"> </w:t>
      </w:r>
      <w:r>
        <w:t>to</w:t>
      </w:r>
      <w:r>
        <w:rPr>
          <w:spacing w:val="-20"/>
        </w:rPr>
        <w:t xml:space="preserve"> </w:t>
      </w:r>
      <w:r>
        <w:t>be</w:t>
      </w:r>
      <w:r>
        <w:rPr>
          <w:spacing w:val="-16"/>
        </w:rPr>
        <w:t xml:space="preserve"> </w:t>
      </w:r>
      <w:r>
        <w:t>provided by the</w:t>
      </w:r>
      <w:r>
        <w:rPr>
          <w:spacing w:val="-3"/>
        </w:rPr>
        <w:t xml:space="preserve"> </w:t>
      </w:r>
      <w:r>
        <w:t>EUIPO).</w:t>
      </w:r>
    </w:p>
    <w:p w14:paraId="70C92956" w14:textId="77777777" w:rsidR="00D757DA" w:rsidRDefault="00D757DA">
      <w:pPr>
        <w:pStyle w:val="Zkladntext"/>
        <w:spacing w:before="8"/>
        <w:rPr>
          <w:sz w:val="20"/>
        </w:rPr>
      </w:pPr>
    </w:p>
    <w:p w14:paraId="7043B962" w14:textId="77777777" w:rsidR="00D757DA" w:rsidRDefault="0033254E">
      <w:pPr>
        <w:pStyle w:val="Odstavecseseznamem"/>
        <w:numPr>
          <w:ilvl w:val="1"/>
          <w:numId w:val="17"/>
        </w:numPr>
        <w:tabs>
          <w:tab w:val="left" w:pos="829"/>
        </w:tabs>
        <w:ind w:right="1439" w:firstLine="0"/>
        <w:jc w:val="both"/>
      </w:pPr>
      <w:r>
        <w:t>The</w:t>
      </w:r>
      <w:r>
        <w:rPr>
          <w:spacing w:val="-16"/>
        </w:rPr>
        <w:t xml:space="preserve"> </w:t>
      </w:r>
      <w:r>
        <w:t>above-mentioned</w:t>
      </w:r>
      <w:r>
        <w:rPr>
          <w:spacing w:val="-17"/>
        </w:rPr>
        <w:t xml:space="preserve"> </w:t>
      </w:r>
      <w:r>
        <w:t>information</w:t>
      </w:r>
      <w:r>
        <w:rPr>
          <w:spacing w:val="-15"/>
        </w:rPr>
        <w:t xml:space="preserve"> </w:t>
      </w:r>
      <w:r>
        <w:t>shall</w:t>
      </w:r>
      <w:r>
        <w:rPr>
          <w:spacing w:val="-15"/>
        </w:rPr>
        <w:t xml:space="preserve"> </w:t>
      </w:r>
      <w:r>
        <w:t>be</w:t>
      </w:r>
      <w:r>
        <w:rPr>
          <w:spacing w:val="-17"/>
        </w:rPr>
        <w:t xml:space="preserve"> </w:t>
      </w:r>
      <w:r>
        <w:t>submitted</w:t>
      </w:r>
      <w:r>
        <w:rPr>
          <w:spacing w:val="-17"/>
        </w:rPr>
        <w:t xml:space="preserve"> </w:t>
      </w:r>
      <w:r>
        <w:t>to</w:t>
      </w:r>
      <w:r>
        <w:rPr>
          <w:spacing w:val="-17"/>
        </w:rPr>
        <w:t xml:space="preserve"> </w:t>
      </w:r>
      <w:r>
        <w:t>the</w:t>
      </w:r>
      <w:r>
        <w:rPr>
          <w:spacing w:val="-17"/>
        </w:rPr>
        <w:t xml:space="preserve"> </w:t>
      </w:r>
      <w:r>
        <w:t>EUIPO</w:t>
      </w:r>
      <w:r>
        <w:rPr>
          <w:spacing w:val="-16"/>
        </w:rPr>
        <w:t xml:space="preserve"> </w:t>
      </w:r>
      <w:r>
        <w:t>by</w:t>
      </w:r>
      <w:r>
        <w:rPr>
          <w:spacing w:val="-17"/>
        </w:rPr>
        <w:t xml:space="preserve"> </w:t>
      </w:r>
      <w:r>
        <w:t>end</w:t>
      </w:r>
      <w:r>
        <w:rPr>
          <w:spacing w:val="-17"/>
        </w:rPr>
        <w:t xml:space="preserve"> </w:t>
      </w:r>
      <w:r>
        <w:t>of</w:t>
      </w:r>
      <w:r>
        <w:rPr>
          <w:spacing w:val="-16"/>
        </w:rPr>
        <w:t xml:space="preserve"> </w:t>
      </w:r>
      <w:r>
        <w:t>the</w:t>
      </w:r>
      <w:r>
        <w:rPr>
          <w:spacing w:val="-17"/>
        </w:rPr>
        <w:t xml:space="preserve"> </w:t>
      </w:r>
      <w:r>
        <w:t>period covered by this</w:t>
      </w:r>
      <w:r>
        <w:rPr>
          <w:spacing w:val="-2"/>
        </w:rPr>
        <w:t xml:space="preserve"> </w:t>
      </w:r>
      <w:r>
        <w:t>Agreement.</w:t>
      </w:r>
    </w:p>
    <w:p w14:paraId="712BC93A" w14:textId="77777777" w:rsidR="00D757DA" w:rsidRDefault="00D757DA">
      <w:pPr>
        <w:pStyle w:val="Zkladntext"/>
        <w:spacing w:before="10"/>
        <w:rPr>
          <w:sz w:val="20"/>
        </w:rPr>
      </w:pPr>
    </w:p>
    <w:p w14:paraId="37D3B42D" w14:textId="77777777" w:rsidR="00D757DA" w:rsidRDefault="0033254E">
      <w:pPr>
        <w:pStyle w:val="Odstavecseseznamem"/>
        <w:numPr>
          <w:ilvl w:val="1"/>
          <w:numId w:val="17"/>
        </w:numPr>
        <w:tabs>
          <w:tab w:val="left" w:pos="829"/>
        </w:tabs>
        <w:spacing w:before="1"/>
        <w:ind w:right="1435" w:firstLine="0"/>
        <w:jc w:val="both"/>
      </w:pPr>
      <w:r>
        <w:t>The EUIPO shall pay to the IPO a lump sum based on person/days, for the implementation of this service, pursuant to the Annex III of this</w:t>
      </w:r>
      <w:r>
        <w:rPr>
          <w:spacing w:val="-19"/>
        </w:rPr>
        <w:t xml:space="preserve"> </w:t>
      </w:r>
      <w:r>
        <w:t>Agreement.</w:t>
      </w:r>
    </w:p>
    <w:p w14:paraId="4FB3F0CC" w14:textId="77777777" w:rsidR="00D757DA" w:rsidRDefault="00D757DA">
      <w:pPr>
        <w:pStyle w:val="Zkladntext"/>
        <w:spacing w:before="11"/>
        <w:rPr>
          <w:sz w:val="20"/>
        </w:rPr>
      </w:pPr>
    </w:p>
    <w:p w14:paraId="4529A2C4" w14:textId="77777777" w:rsidR="00D757DA" w:rsidRDefault="0033254E">
      <w:pPr>
        <w:pStyle w:val="Odstavecseseznamem"/>
        <w:numPr>
          <w:ilvl w:val="1"/>
          <w:numId w:val="17"/>
        </w:numPr>
        <w:tabs>
          <w:tab w:val="left" w:pos="829"/>
        </w:tabs>
        <w:ind w:right="1434" w:firstLine="0"/>
        <w:jc w:val="both"/>
      </w:pPr>
      <w:r>
        <w:t>The</w:t>
      </w:r>
      <w:r>
        <w:rPr>
          <w:spacing w:val="-12"/>
        </w:rPr>
        <w:t xml:space="preserve"> </w:t>
      </w:r>
      <w:r>
        <w:t>IPO</w:t>
      </w:r>
      <w:r>
        <w:rPr>
          <w:spacing w:val="-10"/>
        </w:rPr>
        <w:t xml:space="preserve"> </w:t>
      </w:r>
      <w:r>
        <w:t>is</w:t>
      </w:r>
      <w:r>
        <w:rPr>
          <w:spacing w:val="-11"/>
        </w:rPr>
        <w:t xml:space="preserve"> </w:t>
      </w:r>
      <w:proofErr w:type="spellStart"/>
      <w:r>
        <w:t>authorising</w:t>
      </w:r>
      <w:proofErr w:type="spellEnd"/>
      <w:r>
        <w:rPr>
          <w:spacing w:val="-14"/>
        </w:rPr>
        <w:t xml:space="preserve"> </w:t>
      </w:r>
      <w:r>
        <w:t>the</w:t>
      </w:r>
      <w:r>
        <w:rPr>
          <w:spacing w:val="-11"/>
        </w:rPr>
        <w:t xml:space="preserve"> </w:t>
      </w:r>
      <w:r>
        <w:t>EUIPO</w:t>
      </w:r>
      <w:r>
        <w:rPr>
          <w:spacing w:val="-13"/>
        </w:rPr>
        <w:t xml:space="preserve"> </w:t>
      </w:r>
      <w:r>
        <w:t>to</w:t>
      </w:r>
      <w:r>
        <w:rPr>
          <w:spacing w:val="-14"/>
        </w:rPr>
        <w:t xml:space="preserve"> </w:t>
      </w:r>
      <w:r>
        <w:t>use</w:t>
      </w:r>
      <w:r>
        <w:rPr>
          <w:spacing w:val="-14"/>
        </w:rPr>
        <w:t xml:space="preserve"> </w:t>
      </w:r>
      <w:r>
        <w:t>the</w:t>
      </w:r>
      <w:r>
        <w:rPr>
          <w:spacing w:val="-14"/>
        </w:rPr>
        <w:t xml:space="preserve"> </w:t>
      </w:r>
      <w:r>
        <w:t>judgments</w:t>
      </w:r>
      <w:r>
        <w:rPr>
          <w:spacing w:val="-13"/>
        </w:rPr>
        <w:t xml:space="preserve"> </w:t>
      </w:r>
      <w:r>
        <w:t>from</w:t>
      </w:r>
      <w:r>
        <w:rPr>
          <w:spacing w:val="-13"/>
        </w:rPr>
        <w:t xml:space="preserve"> </w:t>
      </w:r>
      <w:r>
        <w:t>national</w:t>
      </w:r>
      <w:r>
        <w:rPr>
          <w:spacing w:val="-12"/>
        </w:rPr>
        <w:t xml:space="preserve"> </w:t>
      </w:r>
      <w:r>
        <w:t>courts</w:t>
      </w:r>
      <w:r>
        <w:rPr>
          <w:spacing w:val="-11"/>
        </w:rPr>
        <w:t xml:space="preserve"> </w:t>
      </w:r>
      <w:r>
        <w:t>by</w:t>
      </w:r>
      <w:r>
        <w:rPr>
          <w:spacing w:val="-14"/>
        </w:rPr>
        <w:t xml:space="preserve"> </w:t>
      </w:r>
      <w:r>
        <w:t>making them</w:t>
      </w:r>
      <w:r>
        <w:rPr>
          <w:spacing w:val="-11"/>
        </w:rPr>
        <w:t xml:space="preserve"> </w:t>
      </w:r>
      <w:r>
        <w:t>publicly</w:t>
      </w:r>
      <w:r>
        <w:rPr>
          <w:spacing w:val="-11"/>
        </w:rPr>
        <w:t xml:space="preserve"> </w:t>
      </w:r>
      <w:r>
        <w:t>available</w:t>
      </w:r>
      <w:r>
        <w:rPr>
          <w:spacing w:val="-12"/>
        </w:rPr>
        <w:t xml:space="preserve"> </w:t>
      </w:r>
      <w:r>
        <w:t>in</w:t>
      </w:r>
      <w:r>
        <w:rPr>
          <w:spacing w:val="-11"/>
        </w:rPr>
        <w:t xml:space="preserve"> </w:t>
      </w:r>
      <w:r>
        <w:t>the</w:t>
      </w:r>
      <w:r>
        <w:rPr>
          <w:spacing w:val="-13"/>
        </w:rPr>
        <w:t xml:space="preserve"> </w:t>
      </w:r>
      <w:r>
        <w:t>EUIPO</w:t>
      </w:r>
      <w:r>
        <w:rPr>
          <w:spacing w:val="-10"/>
        </w:rPr>
        <w:t xml:space="preserve"> </w:t>
      </w:r>
      <w:r>
        <w:t>case</w:t>
      </w:r>
      <w:r>
        <w:rPr>
          <w:spacing w:val="-13"/>
        </w:rPr>
        <w:t xml:space="preserve"> </w:t>
      </w:r>
      <w:r>
        <w:t>law</w:t>
      </w:r>
      <w:r>
        <w:rPr>
          <w:spacing w:val="-12"/>
        </w:rPr>
        <w:t xml:space="preserve"> </w:t>
      </w:r>
      <w:r>
        <w:t>database.</w:t>
      </w:r>
      <w:r>
        <w:rPr>
          <w:spacing w:val="-11"/>
        </w:rPr>
        <w:t xml:space="preserve"> </w:t>
      </w:r>
      <w:r>
        <w:t>When</w:t>
      </w:r>
      <w:r>
        <w:rPr>
          <w:spacing w:val="-14"/>
        </w:rPr>
        <w:t xml:space="preserve"> </w:t>
      </w:r>
      <w:r>
        <w:t>providing</w:t>
      </w:r>
      <w:r>
        <w:rPr>
          <w:spacing w:val="-12"/>
        </w:rPr>
        <w:t xml:space="preserve"> </w:t>
      </w:r>
      <w:r>
        <w:t>the</w:t>
      </w:r>
      <w:r>
        <w:rPr>
          <w:spacing w:val="-13"/>
        </w:rPr>
        <w:t xml:space="preserve"> </w:t>
      </w:r>
      <w:r>
        <w:t>judgments</w:t>
      </w:r>
      <w:r>
        <w:rPr>
          <w:spacing w:val="-13"/>
        </w:rPr>
        <w:t xml:space="preserve"> </w:t>
      </w:r>
      <w:r>
        <w:t>to</w:t>
      </w:r>
      <w:r>
        <w:rPr>
          <w:spacing w:val="-14"/>
        </w:rPr>
        <w:t xml:space="preserve"> </w:t>
      </w:r>
      <w:r>
        <w:t>the EUIPO,</w:t>
      </w:r>
      <w:r>
        <w:rPr>
          <w:spacing w:val="-8"/>
        </w:rPr>
        <w:t xml:space="preserve"> </w:t>
      </w:r>
      <w:r>
        <w:t>the</w:t>
      </w:r>
      <w:r>
        <w:rPr>
          <w:spacing w:val="-8"/>
        </w:rPr>
        <w:t xml:space="preserve"> </w:t>
      </w:r>
      <w:r>
        <w:t>IPO</w:t>
      </w:r>
      <w:r>
        <w:rPr>
          <w:spacing w:val="-6"/>
        </w:rPr>
        <w:t xml:space="preserve"> </w:t>
      </w:r>
      <w:r>
        <w:t>will</w:t>
      </w:r>
      <w:r>
        <w:rPr>
          <w:spacing w:val="-8"/>
        </w:rPr>
        <w:t xml:space="preserve"> </w:t>
      </w:r>
      <w:r>
        <w:t>ensure</w:t>
      </w:r>
      <w:r>
        <w:rPr>
          <w:spacing w:val="-7"/>
        </w:rPr>
        <w:t xml:space="preserve"> </w:t>
      </w:r>
      <w:r>
        <w:t>that</w:t>
      </w:r>
      <w:r>
        <w:rPr>
          <w:spacing w:val="-6"/>
        </w:rPr>
        <w:t xml:space="preserve"> </w:t>
      </w:r>
      <w:r>
        <w:t>relevant</w:t>
      </w:r>
      <w:r>
        <w:rPr>
          <w:spacing w:val="-6"/>
        </w:rPr>
        <w:t xml:space="preserve"> </w:t>
      </w:r>
      <w:r>
        <w:t>data</w:t>
      </w:r>
      <w:r>
        <w:rPr>
          <w:spacing w:val="-7"/>
        </w:rPr>
        <w:t xml:space="preserve"> </w:t>
      </w:r>
      <w:r>
        <w:t>protection</w:t>
      </w:r>
      <w:r>
        <w:rPr>
          <w:spacing w:val="-7"/>
        </w:rPr>
        <w:t xml:space="preserve"> </w:t>
      </w:r>
      <w:r>
        <w:t>requirements</w:t>
      </w:r>
      <w:r>
        <w:rPr>
          <w:spacing w:val="-9"/>
        </w:rPr>
        <w:t xml:space="preserve"> </w:t>
      </w:r>
      <w:r>
        <w:t>are</w:t>
      </w:r>
      <w:r>
        <w:rPr>
          <w:spacing w:val="-8"/>
        </w:rPr>
        <w:t xml:space="preserve"> </w:t>
      </w:r>
      <w:proofErr w:type="gramStart"/>
      <w:r>
        <w:t>taken</w:t>
      </w:r>
      <w:r>
        <w:rPr>
          <w:spacing w:val="-5"/>
        </w:rPr>
        <w:t xml:space="preserve"> </w:t>
      </w:r>
      <w:r>
        <w:t>into</w:t>
      </w:r>
      <w:r>
        <w:rPr>
          <w:spacing w:val="-6"/>
        </w:rPr>
        <w:t xml:space="preserve"> </w:t>
      </w:r>
      <w:r>
        <w:t>account</w:t>
      </w:r>
      <w:proofErr w:type="gramEnd"/>
      <w:r>
        <w:t>,</w:t>
      </w:r>
    </w:p>
    <w:p w14:paraId="69561F2E" w14:textId="77777777" w:rsidR="00D757DA" w:rsidRDefault="0033254E">
      <w:pPr>
        <w:pStyle w:val="Zkladntext"/>
        <w:ind w:left="120" w:right="1439"/>
        <w:jc w:val="both"/>
      </w:pPr>
      <w:r>
        <w:t xml:space="preserve">i.e. relevant parts of the judgments containing sensitive personal or company data may be </w:t>
      </w:r>
      <w:proofErr w:type="spellStart"/>
      <w:r>
        <w:t>anonymised</w:t>
      </w:r>
      <w:proofErr w:type="spellEnd"/>
      <w:r>
        <w:t>.</w:t>
      </w:r>
    </w:p>
    <w:p w14:paraId="27F709B8" w14:textId="77777777" w:rsidR="00D757DA" w:rsidRDefault="00D757DA">
      <w:pPr>
        <w:pStyle w:val="Zkladntext"/>
        <w:spacing w:before="9"/>
        <w:rPr>
          <w:sz w:val="20"/>
        </w:rPr>
      </w:pPr>
    </w:p>
    <w:p w14:paraId="4B3CA1CC" w14:textId="77777777" w:rsidR="00D757DA" w:rsidRDefault="0033254E">
      <w:pPr>
        <w:pStyle w:val="Odstavecseseznamem"/>
        <w:numPr>
          <w:ilvl w:val="1"/>
          <w:numId w:val="17"/>
        </w:numPr>
        <w:tabs>
          <w:tab w:val="left" w:pos="828"/>
          <w:tab w:val="left" w:pos="829"/>
        </w:tabs>
        <w:spacing w:before="1"/>
        <w:ind w:right="1894" w:firstLine="0"/>
      </w:pPr>
      <w:r>
        <w:t xml:space="preserve">The IPO is </w:t>
      </w:r>
      <w:proofErr w:type="spellStart"/>
      <w:r>
        <w:t>authorising</w:t>
      </w:r>
      <w:proofErr w:type="spellEnd"/>
      <w:r>
        <w:t xml:space="preserve"> the EUIPO to use the texts of the judgments from national courts, together with the summary of each judgement, for any purposes related to the activities of the</w:t>
      </w:r>
      <w:r>
        <w:rPr>
          <w:spacing w:val="-4"/>
        </w:rPr>
        <w:t xml:space="preserve"> </w:t>
      </w:r>
      <w:r>
        <w:t>Observatory.</w:t>
      </w:r>
    </w:p>
    <w:p w14:paraId="7017F3A9" w14:textId="77777777" w:rsidR="00D757DA" w:rsidRDefault="00D757DA">
      <w:pPr>
        <w:pStyle w:val="Zkladntext"/>
        <w:spacing w:before="2"/>
        <w:rPr>
          <w:sz w:val="31"/>
        </w:rPr>
      </w:pPr>
    </w:p>
    <w:p w14:paraId="61EB9174" w14:textId="77777777" w:rsidR="00D757DA" w:rsidRDefault="0033254E">
      <w:pPr>
        <w:pStyle w:val="Nadpis3"/>
        <w:spacing w:before="1"/>
        <w:ind w:right="1339"/>
      </w:pPr>
      <w:bookmarkStart w:id="47" w:name="ARTICLE_36_-_MAINTENANCE_&amp;_LICENCES_OF_D"/>
      <w:bookmarkEnd w:id="47"/>
      <w:r>
        <w:t>ARTICLE 36 - MAINTENANCE &amp; LICENCES OF DECENTRALISED TOOLS AND SOLUTIONS</w:t>
      </w:r>
    </w:p>
    <w:p w14:paraId="2538011C" w14:textId="77777777" w:rsidR="00D757DA" w:rsidRDefault="00D757DA">
      <w:pPr>
        <w:pStyle w:val="Zkladntext"/>
        <w:spacing w:before="10"/>
        <w:rPr>
          <w:b/>
          <w:sz w:val="20"/>
        </w:rPr>
      </w:pPr>
    </w:p>
    <w:p w14:paraId="708F4D36" w14:textId="77777777" w:rsidR="00D757DA" w:rsidRDefault="0033254E">
      <w:pPr>
        <w:pStyle w:val="Odstavecseseznamem"/>
        <w:numPr>
          <w:ilvl w:val="1"/>
          <w:numId w:val="16"/>
        </w:numPr>
        <w:tabs>
          <w:tab w:val="left" w:pos="829"/>
        </w:tabs>
        <w:spacing w:before="1"/>
        <w:ind w:right="1434" w:firstLine="0"/>
        <w:jc w:val="both"/>
      </w:pPr>
      <w:r>
        <w:t xml:space="preserve">The EUIPO (hereinafter, “the licensor”) grants the IPO (hereinafter, “the licensee”) a </w:t>
      </w:r>
      <w:proofErr w:type="spellStart"/>
      <w:r>
        <w:t>licence</w:t>
      </w:r>
      <w:proofErr w:type="spellEnd"/>
      <w:r>
        <w:t xml:space="preserve"> on a royalty-free, non-exclusive and non-sublicensable basis for the IPO’s non- commercial use of </w:t>
      </w:r>
      <w:proofErr w:type="spellStart"/>
      <w:r>
        <w:t>decentralised</w:t>
      </w:r>
      <w:proofErr w:type="spellEnd"/>
      <w:r>
        <w:t xml:space="preserve"> tools and solutions, developed under the ECP and its major improvements as it deems fit, under the terms and conditions stated hereafter and provided the</w:t>
      </w:r>
      <w:r>
        <w:rPr>
          <w:spacing w:val="-8"/>
        </w:rPr>
        <w:t xml:space="preserve"> </w:t>
      </w:r>
      <w:r>
        <w:t>IPO</w:t>
      </w:r>
      <w:r>
        <w:rPr>
          <w:spacing w:val="-5"/>
        </w:rPr>
        <w:t xml:space="preserve"> </w:t>
      </w:r>
      <w:r>
        <w:t>does</w:t>
      </w:r>
      <w:r>
        <w:rPr>
          <w:spacing w:val="-5"/>
        </w:rPr>
        <w:t xml:space="preserve"> </w:t>
      </w:r>
      <w:r>
        <w:t>not</w:t>
      </w:r>
      <w:r>
        <w:rPr>
          <w:spacing w:val="-6"/>
        </w:rPr>
        <w:t xml:space="preserve"> </w:t>
      </w:r>
      <w:r>
        <w:t>thereby</w:t>
      </w:r>
      <w:r>
        <w:rPr>
          <w:spacing w:val="-6"/>
        </w:rPr>
        <w:t xml:space="preserve"> </w:t>
      </w:r>
      <w:r>
        <w:t>breach</w:t>
      </w:r>
      <w:r>
        <w:rPr>
          <w:spacing w:val="-7"/>
        </w:rPr>
        <w:t xml:space="preserve"> </w:t>
      </w:r>
      <w:r>
        <w:t>its</w:t>
      </w:r>
      <w:r>
        <w:rPr>
          <w:spacing w:val="-7"/>
        </w:rPr>
        <w:t xml:space="preserve"> </w:t>
      </w:r>
      <w:r>
        <w:t>confidentiality</w:t>
      </w:r>
      <w:r>
        <w:rPr>
          <w:spacing w:val="-4"/>
        </w:rPr>
        <w:t xml:space="preserve"> </w:t>
      </w:r>
      <w:r>
        <w:t>obligations</w:t>
      </w:r>
      <w:r>
        <w:rPr>
          <w:spacing w:val="-5"/>
        </w:rPr>
        <w:t xml:space="preserve"> </w:t>
      </w:r>
      <w:r>
        <w:t>or</w:t>
      </w:r>
      <w:r>
        <w:rPr>
          <w:spacing w:val="-6"/>
        </w:rPr>
        <w:t xml:space="preserve"> </w:t>
      </w:r>
      <w:r>
        <w:t>existing</w:t>
      </w:r>
      <w:r>
        <w:rPr>
          <w:spacing w:val="-8"/>
        </w:rPr>
        <w:t xml:space="preserve"> </w:t>
      </w:r>
      <w:r>
        <w:t>IP</w:t>
      </w:r>
      <w:r>
        <w:rPr>
          <w:spacing w:val="-7"/>
        </w:rPr>
        <w:t xml:space="preserve"> </w:t>
      </w:r>
      <w:r>
        <w:t>rights.</w:t>
      </w:r>
      <w:r>
        <w:rPr>
          <w:spacing w:val="-4"/>
        </w:rPr>
        <w:t xml:space="preserve"> </w:t>
      </w:r>
      <w:r>
        <w:t>Any</w:t>
      </w:r>
      <w:r>
        <w:rPr>
          <w:spacing w:val="-6"/>
        </w:rPr>
        <w:t xml:space="preserve"> </w:t>
      </w:r>
      <w:r>
        <w:t>use</w:t>
      </w:r>
      <w:r>
        <w:rPr>
          <w:spacing w:val="-8"/>
        </w:rPr>
        <w:t xml:space="preserve"> </w:t>
      </w:r>
      <w:r>
        <w:t xml:space="preserve">of the software or work (as defined hereafter), other than as </w:t>
      </w:r>
      <w:proofErr w:type="spellStart"/>
      <w:r>
        <w:t>authorised</w:t>
      </w:r>
      <w:proofErr w:type="spellEnd"/>
      <w:r>
        <w:t xml:space="preserve"> under this </w:t>
      </w:r>
      <w:proofErr w:type="spellStart"/>
      <w:r>
        <w:t>licence</w:t>
      </w:r>
      <w:proofErr w:type="spellEnd"/>
      <w:r>
        <w:t xml:space="preserve"> is prohibited</w:t>
      </w:r>
      <w:r>
        <w:rPr>
          <w:spacing w:val="-14"/>
        </w:rPr>
        <w:t xml:space="preserve"> </w:t>
      </w:r>
      <w:r>
        <w:t>(to</w:t>
      </w:r>
      <w:r>
        <w:rPr>
          <w:spacing w:val="-16"/>
        </w:rPr>
        <w:t xml:space="preserve"> </w:t>
      </w:r>
      <w:r>
        <w:t>the</w:t>
      </w:r>
      <w:r>
        <w:rPr>
          <w:spacing w:val="-13"/>
        </w:rPr>
        <w:t xml:space="preserve"> </w:t>
      </w:r>
      <w:r>
        <w:t>extent</w:t>
      </w:r>
      <w:r>
        <w:rPr>
          <w:spacing w:val="-15"/>
        </w:rPr>
        <w:t xml:space="preserve"> </w:t>
      </w:r>
      <w:r>
        <w:t>that</w:t>
      </w:r>
      <w:r>
        <w:rPr>
          <w:spacing w:val="-11"/>
        </w:rPr>
        <w:t xml:space="preserve"> </w:t>
      </w:r>
      <w:r>
        <w:t>such</w:t>
      </w:r>
      <w:r>
        <w:rPr>
          <w:spacing w:val="-14"/>
        </w:rPr>
        <w:t xml:space="preserve"> </w:t>
      </w:r>
      <w:r>
        <w:t>use</w:t>
      </w:r>
      <w:r>
        <w:rPr>
          <w:spacing w:val="-14"/>
        </w:rPr>
        <w:t xml:space="preserve"> </w:t>
      </w:r>
      <w:r>
        <w:t>is</w:t>
      </w:r>
      <w:r>
        <w:rPr>
          <w:spacing w:val="-12"/>
        </w:rPr>
        <w:t xml:space="preserve"> </w:t>
      </w:r>
      <w:r>
        <w:t>covered</w:t>
      </w:r>
      <w:r>
        <w:rPr>
          <w:spacing w:val="-14"/>
        </w:rPr>
        <w:t xml:space="preserve"> </w:t>
      </w:r>
      <w:r>
        <w:t>b</w:t>
      </w:r>
      <w:r>
        <w:t>y</w:t>
      </w:r>
      <w:r>
        <w:rPr>
          <w:spacing w:val="-12"/>
        </w:rPr>
        <w:t xml:space="preserve"> </w:t>
      </w:r>
      <w:r>
        <w:t>a</w:t>
      </w:r>
      <w:r>
        <w:rPr>
          <w:spacing w:val="-14"/>
        </w:rPr>
        <w:t xml:space="preserve"> </w:t>
      </w:r>
      <w:r>
        <w:t>right</w:t>
      </w:r>
      <w:r>
        <w:rPr>
          <w:spacing w:val="-12"/>
        </w:rPr>
        <w:t xml:space="preserve"> </w:t>
      </w:r>
      <w:r>
        <w:t>of</w:t>
      </w:r>
      <w:r>
        <w:rPr>
          <w:spacing w:val="-11"/>
        </w:rPr>
        <w:t xml:space="preserve"> </w:t>
      </w:r>
      <w:r>
        <w:t>the</w:t>
      </w:r>
      <w:r>
        <w:rPr>
          <w:spacing w:val="-14"/>
        </w:rPr>
        <w:t xml:space="preserve"> </w:t>
      </w:r>
      <w:r>
        <w:t>copyright</w:t>
      </w:r>
      <w:r>
        <w:rPr>
          <w:spacing w:val="-14"/>
        </w:rPr>
        <w:t xml:space="preserve"> </w:t>
      </w:r>
      <w:r>
        <w:t>holder</w:t>
      </w:r>
      <w:r>
        <w:rPr>
          <w:spacing w:val="-13"/>
        </w:rPr>
        <w:t xml:space="preserve"> </w:t>
      </w:r>
      <w:r>
        <w:t>of</w:t>
      </w:r>
      <w:r>
        <w:rPr>
          <w:spacing w:val="-12"/>
        </w:rPr>
        <w:t xml:space="preserve"> </w:t>
      </w:r>
      <w:r>
        <w:t>the</w:t>
      </w:r>
      <w:r>
        <w:rPr>
          <w:spacing w:val="-13"/>
        </w:rPr>
        <w:t xml:space="preserve"> </w:t>
      </w:r>
      <w:r>
        <w:t>work).</w:t>
      </w:r>
    </w:p>
    <w:p w14:paraId="4491F9BE" w14:textId="77777777" w:rsidR="00D757DA" w:rsidRDefault="00D757DA">
      <w:pPr>
        <w:pStyle w:val="Zkladntext"/>
        <w:spacing w:before="10"/>
        <w:rPr>
          <w:sz w:val="20"/>
        </w:rPr>
      </w:pPr>
    </w:p>
    <w:p w14:paraId="2F26C1DF" w14:textId="77777777" w:rsidR="00D757DA" w:rsidRDefault="0033254E">
      <w:pPr>
        <w:pStyle w:val="Odstavecseseznamem"/>
        <w:numPr>
          <w:ilvl w:val="1"/>
          <w:numId w:val="16"/>
        </w:numPr>
        <w:tabs>
          <w:tab w:val="left" w:pos="828"/>
          <w:tab w:val="left" w:pos="829"/>
        </w:tabs>
        <w:ind w:left="828" w:hanging="709"/>
      </w:pPr>
      <w:r>
        <w:t>For the purposes of this</w:t>
      </w:r>
      <w:r>
        <w:rPr>
          <w:spacing w:val="-7"/>
        </w:rPr>
        <w:t xml:space="preserve"> </w:t>
      </w:r>
      <w:r>
        <w:t>Part:</w:t>
      </w:r>
    </w:p>
    <w:p w14:paraId="7CE8454D" w14:textId="77777777" w:rsidR="00D757DA" w:rsidRDefault="00D757DA">
      <w:pPr>
        <w:pStyle w:val="Zkladntext"/>
        <w:spacing w:before="9"/>
        <w:rPr>
          <w:sz w:val="20"/>
        </w:rPr>
      </w:pPr>
    </w:p>
    <w:p w14:paraId="75B78B23" w14:textId="77777777" w:rsidR="00D757DA" w:rsidRDefault="0033254E">
      <w:pPr>
        <w:pStyle w:val="Odstavecseseznamem"/>
        <w:numPr>
          <w:ilvl w:val="2"/>
          <w:numId w:val="16"/>
        </w:numPr>
        <w:tabs>
          <w:tab w:val="left" w:pos="1254"/>
        </w:tabs>
        <w:ind w:right="1437"/>
        <w:jc w:val="both"/>
      </w:pPr>
      <w:r>
        <w:t xml:space="preserve">the Original Work or the Software refers to the EUIPO’s </w:t>
      </w:r>
      <w:proofErr w:type="spellStart"/>
      <w:r>
        <w:t>decentralised</w:t>
      </w:r>
      <w:proofErr w:type="spellEnd"/>
      <w:r>
        <w:t xml:space="preserve"> tools and solutions</w:t>
      </w:r>
      <w:r>
        <w:rPr>
          <w:spacing w:val="-11"/>
        </w:rPr>
        <w:t xml:space="preserve"> </w:t>
      </w:r>
      <w:r>
        <w:t>developed</w:t>
      </w:r>
      <w:r>
        <w:rPr>
          <w:spacing w:val="-13"/>
        </w:rPr>
        <w:t xml:space="preserve"> </w:t>
      </w:r>
      <w:r>
        <w:t>under</w:t>
      </w:r>
      <w:r>
        <w:rPr>
          <w:spacing w:val="-11"/>
        </w:rPr>
        <w:t xml:space="preserve"> </w:t>
      </w:r>
      <w:r>
        <w:t>the</w:t>
      </w:r>
      <w:r>
        <w:rPr>
          <w:spacing w:val="-13"/>
        </w:rPr>
        <w:t xml:space="preserve"> </w:t>
      </w:r>
      <w:proofErr w:type="gramStart"/>
      <w:r>
        <w:t>ECP</w:t>
      </w:r>
      <w:proofErr w:type="gramEnd"/>
      <w:r>
        <w:rPr>
          <w:spacing w:val="-10"/>
        </w:rPr>
        <w:t xml:space="preserve"> </w:t>
      </w:r>
      <w:r>
        <w:t>and</w:t>
      </w:r>
      <w:r>
        <w:rPr>
          <w:spacing w:val="-12"/>
        </w:rPr>
        <w:t xml:space="preserve"> </w:t>
      </w:r>
      <w:r>
        <w:t>its</w:t>
      </w:r>
      <w:r>
        <w:rPr>
          <w:spacing w:val="-12"/>
        </w:rPr>
        <w:t xml:space="preserve"> </w:t>
      </w:r>
      <w:r>
        <w:t>major</w:t>
      </w:r>
      <w:r>
        <w:rPr>
          <w:spacing w:val="-14"/>
        </w:rPr>
        <w:t xml:space="preserve"> </w:t>
      </w:r>
      <w:r>
        <w:t>improvements</w:t>
      </w:r>
      <w:r>
        <w:rPr>
          <w:spacing w:val="-13"/>
        </w:rPr>
        <w:t xml:space="preserve"> </w:t>
      </w:r>
      <w:r>
        <w:t>distributed</w:t>
      </w:r>
      <w:r>
        <w:rPr>
          <w:spacing w:val="-13"/>
        </w:rPr>
        <w:t xml:space="preserve"> </w:t>
      </w:r>
      <w:r>
        <w:t xml:space="preserve">and/or communicated by the EUIPO under this </w:t>
      </w:r>
      <w:proofErr w:type="spellStart"/>
      <w:r>
        <w:t>licence</w:t>
      </w:r>
      <w:proofErr w:type="spellEnd"/>
      <w:r>
        <w:t>, available as Source Code and also as Executable Code as the case may be. The term “Original Work” also includes</w:t>
      </w:r>
      <w:r>
        <w:rPr>
          <w:spacing w:val="-9"/>
        </w:rPr>
        <w:t xml:space="preserve"> </w:t>
      </w:r>
      <w:r>
        <w:t>all</w:t>
      </w:r>
      <w:r>
        <w:rPr>
          <w:spacing w:val="-10"/>
        </w:rPr>
        <w:t xml:space="preserve"> </w:t>
      </w:r>
      <w:r>
        <w:t>system</w:t>
      </w:r>
      <w:r>
        <w:rPr>
          <w:spacing w:val="-8"/>
        </w:rPr>
        <w:t xml:space="preserve"> </w:t>
      </w:r>
      <w:r>
        <w:t>documentation</w:t>
      </w:r>
      <w:r>
        <w:rPr>
          <w:spacing w:val="-8"/>
        </w:rPr>
        <w:t xml:space="preserve"> </w:t>
      </w:r>
      <w:r>
        <w:t>provided</w:t>
      </w:r>
      <w:r>
        <w:rPr>
          <w:spacing w:val="-9"/>
        </w:rPr>
        <w:t xml:space="preserve"> </w:t>
      </w:r>
      <w:r>
        <w:t>by</w:t>
      </w:r>
      <w:r>
        <w:rPr>
          <w:spacing w:val="-11"/>
        </w:rPr>
        <w:t xml:space="preserve"> </w:t>
      </w:r>
      <w:r>
        <w:t>the</w:t>
      </w:r>
      <w:r>
        <w:rPr>
          <w:spacing w:val="-9"/>
        </w:rPr>
        <w:t xml:space="preserve"> </w:t>
      </w:r>
      <w:r>
        <w:t>EUIPO</w:t>
      </w:r>
      <w:r>
        <w:rPr>
          <w:spacing w:val="-9"/>
        </w:rPr>
        <w:t xml:space="preserve"> </w:t>
      </w:r>
      <w:r>
        <w:t>to</w:t>
      </w:r>
      <w:r>
        <w:rPr>
          <w:spacing w:val="-9"/>
        </w:rPr>
        <w:t xml:space="preserve"> </w:t>
      </w:r>
      <w:r>
        <w:t>the</w:t>
      </w:r>
      <w:r>
        <w:rPr>
          <w:spacing w:val="-12"/>
        </w:rPr>
        <w:t xml:space="preserve"> </w:t>
      </w:r>
      <w:r>
        <w:t>IPO</w:t>
      </w:r>
      <w:r>
        <w:rPr>
          <w:spacing w:val="-9"/>
        </w:rPr>
        <w:t xml:space="preserve"> </w:t>
      </w:r>
      <w:r>
        <w:t>in</w:t>
      </w:r>
      <w:r>
        <w:rPr>
          <w:spacing w:val="-9"/>
        </w:rPr>
        <w:t xml:space="preserve"> </w:t>
      </w:r>
      <w:r>
        <w:t>relation</w:t>
      </w:r>
      <w:r>
        <w:rPr>
          <w:spacing w:val="-9"/>
        </w:rPr>
        <w:t xml:space="preserve"> </w:t>
      </w:r>
      <w:r>
        <w:t>to the</w:t>
      </w:r>
      <w:r>
        <w:rPr>
          <w:spacing w:val="-1"/>
        </w:rPr>
        <w:t xml:space="preserve"> </w:t>
      </w:r>
      <w:proofErr w:type="gramStart"/>
      <w:r>
        <w:t>software;</w:t>
      </w:r>
      <w:proofErr w:type="gramEnd"/>
    </w:p>
    <w:p w14:paraId="1D61BAC6" w14:textId="77777777" w:rsidR="00D757DA" w:rsidRDefault="00D757DA">
      <w:pPr>
        <w:pStyle w:val="Zkladntext"/>
        <w:rPr>
          <w:sz w:val="21"/>
        </w:rPr>
      </w:pPr>
    </w:p>
    <w:p w14:paraId="4946F78D" w14:textId="77777777" w:rsidR="00D757DA" w:rsidRDefault="0033254E">
      <w:pPr>
        <w:pStyle w:val="Odstavecseseznamem"/>
        <w:numPr>
          <w:ilvl w:val="2"/>
          <w:numId w:val="16"/>
        </w:numPr>
        <w:tabs>
          <w:tab w:val="left" w:pos="1254"/>
        </w:tabs>
        <w:ind w:right="1436"/>
        <w:jc w:val="both"/>
      </w:pPr>
      <w:r>
        <w:t xml:space="preserve">Derivative Works refer to the works or software that could be created by the licensee, based upon the Original Work or modifications thereof, including all relevant system documentation. This </w:t>
      </w:r>
      <w:proofErr w:type="spellStart"/>
      <w:r>
        <w:t>licence</w:t>
      </w:r>
      <w:proofErr w:type="spellEnd"/>
      <w:r>
        <w:t xml:space="preserve"> does not define the extent of modification or dependence on the Original Work required in order to classify a work as a Derivative Work; this extent is determined by the applicable copyright </w:t>
      </w:r>
      <w:proofErr w:type="gramStart"/>
      <w:r>
        <w:t>law;</w:t>
      </w:r>
      <w:proofErr w:type="gramEnd"/>
    </w:p>
    <w:p w14:paraId="4293A9D9" w14:textId="77777777" w:rsidR="00D757DA" w:rsidRDefault="00D757DA">
      <w:pPr>
        <w:pStyle w:val="Zkladntext"/>
        <w:spacing w:before="9"/>
        <w:rPr>
          <w:sz w:val="20"/>
        </w:rPr>
      </w:pPr>
    </w:p>
    <w:p w14:paraId="35E7CA91" w14:textId="77777777" w:rsidR="00D757DA" w:rsidRDefault="0033254E">
      <w:pPr>
        <w:pStyle w:val="Odstavecseseznamem"/>
        <w:numPr>
          <w:ilvl w:val="2"/>
          <w:numId w:val="16"/>
        </w:numPr>
        <w:tabs>
          <w:tab w:val="left" w:pos="1253"/>
          <w:tab w:val="left" w:pos="1254"/>
        </w:tabs>
        <w:ind w:hanging="426"/>
      </w:pPr>
      <w:r>
        <w:t>the Work refers to the Original Work and/or its Derivative</w:t>
      </w:r>
      <w:r>
        <w:rPr>
          <w:spacing w:val="-18"/>
        </w:rPr>
        <w:t xml:space="preserve"> </w:t>
      </w:r>
      <w:proofErr w:type="gramStart"/>
      <w:r>
        <w:t>Works;</w:t>
      </w:r>
      <w:proofErr w:type="gramEnd"/>
    </w:p>
    <w:p w14:paraId="1852E343" w14:textId="77777777" w:rsidR="00D757DA" w:rsidRDefault="00D757DA">
      <w:pPr>
        <w:pStyle w:val="Zkladntext"/>
        <w:rPr>
          <w:sz w:val="21"/>
        </w:rPr>
      </w:pPr>
    </w:p>
    <w:p w14:paraId="3EE538DD" w14:textId="77777777" w:rsidR="00D757DA" w:rsidRDefault="0033254E">
      <w:pPr>
        <w:pStyle w:val="Odstavecseseznamem"/>
        <w:numPr>
          <w:ilvl w:val="2"/>
          <w:numId w:val="16"/>
        </w:numPr>
        <w:tabs>
          <w:tab w:val="left" w:pos="1254"/>
        </w:tabs>
        <w:ind w:right="1439"/>
        <w:jc w:val="both"/>
      </w:pPr>
      <w:r>
        <w:t>the</w:t>
      </w:r>
      <w:r>
        <w:rPr>
          <w:spacing w:val="-9"/>
        </w:rPr>
        <w:t xml:space="preserve"> </w:t>
      </w:r>
      <w:r>
        <w:t>Source</w:t>
      </w:r>
      <w:r>
        <w:rPr>
          <w:spacing w:val="-11"/>
        </w:rPr>
        <w:t xml:space="preserve"> </w:t>
      </w:r>
      <w:r>
        <w:t>Code</w:t>
      </w:r>
      <w:r>
        <w:rPr>
          <w:spacing w:val="-9"/>
        </w:rPr>
        <w:t xml:space="preserve"> </w:t>
      </w:r>
      <w:r>
        <w:t>refers</w:t>
      </w:r>
      <w:r>
        <w:rPr>
          <w:spacing w:val="-10"/>
        </w:rPr>
        <w:t xml:space="preserve"> </w:t>
      </w:r>
      <w:r>
        <w:t>to</w:t>
      </w:r>
      <w:r>
        <w:rPr>
          <w:spacing w:val="-9"/>
        </w:rPr>
        <w:t xml:space="preserve"> </w:t>
      </w:r>
      <w:r>
        <w:t>the</w:t>
      </w:r>
      <w:r>
        <w:rPr>
          <w:spacing w:val="-9"/>
        </w:rPr>
        <w:t xml:space="preserve"> </w:t>
      </w:r>
      <w:r>
        <w:t>human-readable</w:t>
      </w:r>
      <w:r>
        <w:rPr>
          <w:spacing w:val="-9"/>
        </w:rPr>
        <w:t xml:space="preserve"> </w:t>
      </w:r>
      <w:r>
        <w:t>form</w:t>
      </w:r>
      <w:r>
        <w:rPr>
          <w:spacing w:val="-8"/>
        </w:rPr>
        <w:t xml:space="preserve"> </w:t>
      </w:r>
      <w:r>
        <w:t>of</w:t>
      </w:r>
      <w:r>
        <w:rPr>
          <w:spacing w:val="-10"/>
        </w:rPr>
        <w:t xml:space="preserve"> </w:t>
      </w:r>
      <w:r>
        <w:t>the</w:t>
      </w:r>
      <w:r>
        <w:rPr>
          <w:spacing w:val="-11"/>
        </w:rPr>
        <w:t xml:space="preserve"> </w:t>
      </w:r>
      <w:r>
        <w:t>Work</w:t>
      </w:r>
      <w:r>
        <w:rPr>
          <w:spacing w:val="-8"/>
        </w:rPr>
        <w:t xml:space="preserve"> </w:t>
      </w:r>
      <w:r>
        <w:t>which</w:t>
      </w:r>
      <w:r>
        <w:rPr>
          <w:spacing w:val="-9"/>
        </w:rPr>
        <w:t xml:space="preserve"> </w:t>
      </w:r>
      <w:r>
        <w:t>is</w:t>
      </w:r>
      <w:r>
        <w:rPr>
          <w:spacing w:val="-11"/>
        </w:rPr>
        <w:t xml:space="preserve"> </w:t>
      </w:r>
      <w:r>
        <w:t>the</w:t>
      </w:r>
      <w:r>
        <w:rPr>
          <w:spacing w:val="-9"/>
        </w:rPr>
        <w:t xml:space="preserve"> </w:t>
      </w:r>
      <w:r>
        <w:t>most convenient for people to study and</w:t>
      </w:r>
      <w:r>
        <w:rPr>
          <w:spacing w:val="-10"/>
        </w:rPr>
        <w:t xml:space="preserve"> </w:t>
      </w:r>
      <w:proofErr w:type="gramStart"/>
      <w:r>
        <w:t>modify;</w:t>
      </w:r>
      <w:proofErr w:type="gramEnd"/>
    </w:p>
    <w:p w14:paraId="7AC3409C" w14:textId="77777777" w:rsidR="00D757DA" w:rsidRDefault="00D757DA">
      <w:pPr>
        <w:jc w:val="both"/>
        <w:sectPr w:rsidR="00D757DA">
          <w:pgSz w:w="11910" w:h="16840"/>
          <w:pgMar w:top="1340" w:right="0" w:bottom="1160" w:left="1320" w:header="0" w:footer="881" w:gutter="0"/>
          <w:cols w:space="708"/>
        </w:sectPr>
      </w:pPr>
    </w:p>
    <w:p w14:paraId="2F92A812" w14:textId="77777777" w:rsidR="00D757DA" w:rsidRDefault="0033254E">
      <w:pPr>
        <w:pStyle w:val="Odstavecseseznamem"/>
        <w:numPr>
          <w:ilvl w:val="2"/>
          <w:numId w:val="16"/>
        </w:numPr>
        <w:tabs>
          <w:tab w:val="left" w:pos="1254"/>
        </w:tabs>
        <w:spacing w:before="81"/>
        <w:ind w:right="1441"/>
        <w:jc w:val="both"/>
      </w:pPr>
      <w:r>
        <w:lastRenderedPageBreak/>
        <w:t xml:space="preserve">the Executable Code refers to any code which has generally been </w:t>
      </w:r>
      <w:proofErr w:type="gramStart"/>
      <w:r>
        <w:t>compiled</w:t>
      </w:r>
      <w:proofErr w:type="gramEnd"/>
      <w:r>
        <w:t xml:space="preserve"> and which is meant to be interpreted by a computer as a</w:t>
      </w:r>
      <w:r>
        <w:rPr>
          <w:spacing w:val="-14"/>
        </w:rPr>
        <w:t xml:space="preserve"> </w:t>
      </w:r>
      <w:r>
        <w:t>program;</w:t>
      </w:r>
    </w:p>
    <w:p w14:paraId="284676B5" w14:textId="77777777" w:rsidR="00D757DA" w:rsidRDefault="00D757DA">
      <w:pPr>
        <w:pStyle w:val="Zkladntext"/>
        <w:rPr>
          <w:sz w:val="21"/>
        </w:rPr>
      </w:pPr>
    </w:p>
    <w:p w14:paraId="3244D220" w14:textId="77777777" w:rsidR="00D757DA" w:rsidRDefault="0033254E">
      <w:pPr>
        <w:pStyle w:val="Odstavecseseznamem"/>
        <w:numPr>
          <w:ilvl w:val="2"/>
          <w:numId w:val="16"/>
        </w:numPr>
        <w:tabs>
          <w:tab w:val="left" w:pos="1254"/>
        </w:tabs>
        <w:ind w:right="1440"/>
        <w:jc w:val="both"/>
      </w:pPr>
      <w:r>
        <w:t>Proprietary third-party source code refers to any copyright protected source code that</w:t>
      </w:r>
      <w:r>
        <w:rPr>
          <w:spacing w:val="-15"/>
        </w:rPr>
        <w:t xml:space="preserve"> </w:t>
      </w:r>
      <w:r>
        <w:t>may</w:t>
      </w:r>
      <w:r>
        <w:rPr>
          <w:spacing w:val="-14"/>
        </w:rPr>
        <w:t xml:space="preserve"> </w:t>
      </w:r>
      <w:r>
        <w:t>be</w:t>
      </w:r>
      <w:r>
        <w:rPr>
          <w:spacing w:val="-14"/>
        </w:rPr>
        <w:t xml:space="preserve"> </w:t>
      </w:r>
      <w:r>
        <w:t>embedded</w:t>
      </w:r>
      <w:r>
        <w:rPr>
          <w:spacing w:val="-14"/>
        </w:rPr>
        <w:t xml:space="preserve"> </w:t>
      </w:r>
      <w:r>
        <w:t>in,</w:t>
      </w:r>
      <w:r>
        <w:rPr>
          <w:spacing w:val="-10"/>
        </w:rPr>
        <w:t xml:space="preserve"> </w:t>
      </w:r>
      <w:r>
        <w:t>or</w:t>
      </w:r>
      <w:r>
        <w:rPr>
          <w:spacing w:val="-12"/>
        </w:rPr>
        <w:t xml:space="preserve"> </w:t>
      </w:r>
      <w:r>
        <w:t>form</w:t>
      </w:r>
      <w:r>
        <w:rPr>
          <w:spacing w:val="-11"/>
        </w:rPr>
        <w:t xml:space="preserve"> </w:t>
      </w:r>
      <w:r>
        <w:t>a</w:t>
      </w:r>
      <w:r>
        <w:rPr>
          <w:spacing w:val="-14"/>
        </w:rPr>
        <w:t xml:space="preserve"> </w:t>
      </w:r>
      <w:r>
        <w:t>part</w:t>
      </w:r>
      <w:r>
        <w:rPr>
          <w:spacing w:val="-12"/>
        </w:rPr>
        <w:t xml:space="preserve"> </w:t>
      </w:r>
      <w:r>
        <w:t>of,</w:t>
      </w:r>
      <w:r>
        <w:rPr>
          <w:spacing w:val="-12"/>
        </w:rPr>
        <w:t xml:space="preserve"> </w:t>
      </w:r>
      <w:r>
        <w:t>the</w:t>
      </w:r>
      <w:r>
        <w:rPr>
          <w:spacing w:val="-14"/>
        </w:rPr>
        <w:t xml:space="preserve"> </w:t>
      </w:r>
      <w:r>
        <w:t>licensor’s</w:t>
      </w:r>
      <w:r>
        <w:rPr>
          <w:spacing w:val="-13"/>
        </w:rPr>
        <w:t xml:space="preserve"> </w:t>
      </w:r>
      <w:r>
        <w:t>Work</w:t>
      </w:r>
      <w:r>
        <w:rPr>
          <w:spacing w:val="-15"/>
        </w:rPr>
        <w:t xml:space="preserve"> </w:t>
      </w:r>
      <w:r>
        <w:t>for</w:t>
      </w:r>
      <w:r>
        <w:rPr>
          <w:spacing w:val="-13"/>
        </w:rPr>
        <w:t xml:space="preserve"> </w:t>
      </w:r>
      <w:r>
        <w:t>which</w:t>
      </w:r>
      <w:r>
        <w:rPr>
          <w:spacing w:val="-14"/>
        </w:rPr>
        <w:t xml:space="preserve"> </w:t>
      </w:r>
      <w:r>
        <w:t>the</w:t>
      </w:r>
      <w:r>
        <w:rPr>
          <w:spacing w:val="-14"/>
        </w:rPr>
        <w:t xml:space="preserve"> </w:t>
      </w:r>
      <w:r>
        <w:t>rights are held by a third-party and not the</w:t>
      </w:r>
      <w:r>
        <w:rPr>
          <w:spacing w:val="-10"/>
        </w:rPr>
        <w:t xml:space="preserve"> </w:t>
      </w:r>
      <w:proofErr w:type="gramStart"/>
      <w:r>
        <w:t>licensor;</w:t>
      </w:r>
      <w:proofErr w:type="gramEnd"/>
    </w:p>
    <w:p w14:paraId="153DDD56" w14:textId="77777777" w:rsidR="00D757DA" w:rsidRDefault="00D757DA">
      <w:pPr>
        <w:pStyle w:val="Zkladntext"/>
        <w:spacing w:before="9"/>
        <w:rPr>
          <w:sz w:val="20"/>
        </w:rPr>
      </w:pPr>
    </w:p>
    <w:p w14:paraId="0160D934" w14:textId="77777777" w:rsidR="00D757DA" w:rsidRDefault="0033254E">
      <w:pPr>
        <w:pStyle w:val="Odstavecseseznamem"/>
        <w:numPr>
          <w:ilvl w:val="2"/>
          <w:numId w:val="16"/>
        </w:numPr>
        <w:tabs>
          <w:tab w:val="left" w:pos="1254"/>
        </w:tabs>
        <w:ind w:right="1442"/>
        <w:jc w:val="both"/>
      </w:pPr>
      <w:r>
        <w:t xml:space="preserve">Contributor(s) refers to any natural or legal person who modifies the Work under the </w:t>
      </w:r>
      <w:proofErr w:type="spellStart"/>
      <w:r>
        <w:t>licence</w:t>
      </w:r>
      <w:proofErr w:type="spellEnd"/>
      <w:r>
        <w:t>, or otherwise contributes to the creation of a Derivative</w:t>
      </w:r>
      <w:r>
        <w:rPr>
          <w:spacing w:val="-22"/>
        </w:rPr>
        <w:t xml:space="preserve"> </w:t>
      </w:r>
      <w:proofErr w:type="gramStart"/>
      <w:r>
        <w:t>Work;</w:t>
      </w:r>
      <w:proofErr w:type="gramEnd"/>
    </w:p>
    <w:p w14:paraId="7B7952C3" w14:textId="77777777" w:rsidR="00D757DA" w:rsidRDefault="00D757DA">
      <w:pPr>
        <w:pStyle w:val="Zkladntext"/>
        <w:spacing w:before="10"/>
        <w:rPr>
          <w:sz w:val="20"/>
        </w:rPr>
      </w:pPr>
    </w:p>
    <w:p w14:paraId="78690FDA" w14:textId="77777777" w:rsidR="00D757DA" w:rsidRDefault="0033254E">
      <w:pPr>
        <w:pStyle w:val="Odstavecseseznamem"/>
        <w:numPr>
          <w:ilvl w:val="2"/>
          <w:numId w:val="16"/>
        </w:numPr>
        <w:tabs>
          <w:tab w:val="left" w:pos="1253"/>
          <w:tab w:val="left" w:pos="1254"/>
        </w:tabs>
        <w:spacing w:before="1"/>
        <w:ind w:hanging="426"/>
      </w:pPr>
      <w:r>
        <w:t>The Parties refers to the licensor and the</w:t>
      </w:r>
      <w:r>
        <w:rPr>
          <w:spacing w:val="-13"/>
        </w:rPr>
        <w:t xml:space="preserve"> </w:t>
      </w:r>
      <w:r>
        <w:t>licensee.</w:t>
      </w:r>
    </w:p>
    <w:p w14:paraId="71922417" w14:textId="77777777" w:rsidR="00D757DA" w:rsidRDefault="00D757DA">
      <w:pPr>
        <w:pStyle w:val="Zkladntext"/>
        <w:spacing w:before="9"/>
        <w:rPr>
          <w:sz w:val="20"/>
        </w:rPr>
      </w:pPr>
    </w:p>
    <w:p w14:paraId="0E7F76FA" w14:textId="77777777" w:rsidR="00D757DA" w:rsidRDefault="0033254E">
      <w:pPr>
        <w:pStyle w:val="Odstavecseseznamem"/>
        <w:numPr>
          <w:ilvl w:val="1"/>
          <w:numId w:val="16"/>
        </w:numPr>
        <w:tabs>
          <w:tab w:val="left" w:pos="752"/>
        </w:tabs>
        <w:ind w:right="1437" w:firstLine="0"/>
        <w:jc w:val="both"/>
      </w:pPr>
      <w:proofErr w:type="gramStart"/>
      <w:r>
        <w:t>For the purpose of</w:t>
      </w:r>
      <w:proofErr w:type="gramEnd"/>
      <w:r>
        <w:t xml:space="preserve"> this Agreement, the </w:t>
      </w:r>
      <w:proofErr w:type="spellStart"/>
      <w:r>
        <w:t>licence</w:t>
      </w:r>
      <w:proofErr w:type="spellEnd"/>
      <w:r>
        <w:t xml:space="preserve"> is granted for the duration of copyright vested in the Original Work to do the</w:t>
      </w:r>
      <w:r>
        <w:rPr>
          <w:spacing w:val="-11"/>
        </w:rPr>
        <w:t xml:space="preserve"> </w:t>
      </w:r>
      <w:r>
        <w:t>following:</w:t>
      </w:r>
    </w:p>
    <w:p w14:paraId="4B040898" w14:textId="77777777" w:rsidR="00D757DA" w:rsidRDefault="00D757DA">
      <w:pPr>
        <w:pStyle w:val="Zkladntext"/>
        <w:spacing w:before="11"/>
        <w:rPr>
          <w:sz w:val="20"/>
        </w:rPr>
      </w:pPr>
    </w:p>
    <w:p w14:paraId="74CA9CC3" w14:textId="77777777" w:rsidR="00D757DA" w:rsidRDefault="0033254E">
      <w:pPr>
        <w:pStyle w:val="Odstavecseseznamem"/>
        <w:numPr>
          <w:ilvl w:val="2"/>
          <w:numId w:val="16"/>
        </w:numPr>
        <w:tabs>
          <w:tab w:val="left" w:pos="1253"/>
          <w:tab w:val="left" w:pos="1254"/>
        </w:tabs>
        <w:ind w:hanging="426"/>
      </w:pPr>
      <w:r>
        <w:t>use the Work in any circumstance and for all</w:t>
      </w:r>
      <w:r>
        <w:rPr>
          <w:spacing w:val="-9"/>
        </w:rPr>
        <w:t xml:space="preserve"> </w:t>
      </w:r>
      <w:proofErr w:type="gramStart"/>
      <w:r>
        <w:t>usage;</w:t>
      </w:r>
      <w:proofErr w:type="gramEnd"/>
    </w:p>
    <w:p w14:paraId="1BECD41C" w14:textId="77777777" w:rsidR="00D757DA" w:rsidRDefault="00D757DA">
      <w:pPr>
        <w:pStyle w:val="Zkladntext"/>
        <w:spacing w:before="9"/>
        <w:rPr>
          <w:sz w:val="20"/>
        </w:rPr>
      </w:pPr>
    </w:p>
    <w:p w14:paraId="679205F8" w14:textId="77777777" w:rsidR="00D757DA" w:rsidRDefault="0033254E">
      <w:pPr>
        <w:pStyle w:val="Odstavecseseznamem"/>
        <w:numPr>
          <w:ilvl w:val="2"/>
          <w:numId w:val="16"/>
        </w:numPr>
        <w:tabs>
          <w:tab w:val="left" w:pos="1253"/>
          <w:tab w:val="left" w:pos="1254"/>
        </w:tabs>
        <w:ind w:hanging="426"/>
      </w:pPr>
      <w:r>
        <w:t>reproduce the</w:t>
      </w:r>
      <w:r>
        <w:rPr>
          <w:spacing w:val="-5"/>
        </w:rPr>
        <w:t xml:space="preserve"> </w:t>
      </w:r>
      <w:proofErr w:type="gramStart"/>
      <w:r>
        <w:t>Work;</w:t>
      </w:r>
      <w:proofErr w:type="gramEnd"/>
    </w:p>
    <w:p w14:paraId="67FBE617" w14:textId="77777777" w:rsidR="00D757DA" w:rsidRDefault="00D757DA">
      <w:pPr>
        <w:pStyle w:val="Zkladntext"/>
        <w:rPr>
          <w:sz w:val="21"/>
        </w:rPr>
      </w:pPr>
    </w:p>
    <w:p w14:paraId="45B6E8E1" w14:textId="77777777" w:rsidR="00D757DA" w:rsidRDefault="0033254E">
      <w:pPr>
        <w:pStyle w:val="Odstavecseseznamem"/>
        <w:numPr>
          <w:ilvl w:val="2"/>
          <w:numId w:val="16"/>
        </w:numPr>
        <w:tabs>
          <w:tab w:val="left" w:pos="1254"/>
        </w:tabs>
        <w:ind w:right="1440"/>
        <w:jc w:val="both"/>
      </w:pPr>
      <w:r>
        <w:t xml:space="preserve">modify the Original Work, and make Derivative Works based upon the Work, </w:t>
      </w:r>
      <w:proofErr w:type="gramStart"/>
      <w:r>
        <w:t>in particular with</w:t>
      </w:r>
      <w:proofErr w:type="gramEnd"/>
      <w:r>
        <w:t xml:space="preserve"> a view to improve, enhance and/or adapt the existing work and/or correct defects or</w:t>
      </w:r>
      <w:r>
        <w:rPr>
          <w:spacing w:val="1"/>
        </w:rPr>
        <w:t xml:space="preserve"> </w:t>
      </w:r>
      <w:r>
        <w:t>“bugs”.</w:t>
      </w:r>
    </w:p>
    <w:p w14:paraId="1510E87E" w14:textId="77777777" w:rsidR="00D757DA" w:rsidRDefault="00D757DA">
      <w:pPr>
        <w:pStyle w:val="Zkladntext"/>
        <w:spacing w:before="9"/>
        <w:rPr>
          <w:sz w:val="20"/>
        </w:rPr>
      </w:pPr>
    </w:p>
    <w:p w14:paraId="44B3DAB4" w14:textId="77777777" w:rsidR="00D757DA" w:rsidRDefault="0033254E">
      <w:pPr>
        <w:pStyle w:val="Odstavecseseznamem"/>
        <w:numPr>
          <w:ilvl w:val="1"/>
          <w:numId w:val="16"/>
        </w:numPr>
        <w:tabs>
          <w:tab w:val="left" w:pos="829"/>
        </w:tabs>
        <w:ind w:right="1435" w:firstLine="0"/>
        <w:jc w:val="both"/>
      </w:pPr>
      <w:r>
        <w:t>Those rights can be exercised on any media, supports and formats, whether now known or developed later, as far as the applicable law</w:t>
      </w:r>
      <w:r>
        <w:rPr>
          <w:spacing w:val="-13"/>
        </w:rPr>
        <w:t xml:space="preserve"> </w:t>
      </w:r>
      <w:r>
        <w:t>permits.</w:t>
      </w:r>
    </w:p>
    <w:p w14:paraId="42D9F652" w14:textId="77777777" w:rsidR="00D757DA" w:rsidRDefault="00D757DA">
      <w:pPr>
        <w:pStyle w:val="Zkladntext"/>
        <w:spacing w:before="10"/>
        <w:rPr>
          <w:sz w:val="20"/>
        </w:rPr>
      </w:pPr>
    </w:p>
    <w:p w14:paraId="3ECB73D7" w14:textId="77777777" w:rsidR="00D757DA" w:rsidRDefault="0033254E">
      <w:pPr>
        <w:pStyle w:val="Odstavecseseznamem"/>
        <w:numPr>
          <w:ilvl w:val="1"/>
          <w:numId w:val="16"/>
        </w:numPr>
        <w:tabs>
          <w:tab w:val="left" w:pos="829"/>
        </w:tabs>
        <w:spacing w:before="1"/>
        <w:ind w:right="1430" w:firstLine="0"/>
        <w:jc w:val="both"/>
      </w:pPr>
      <w:r>
        <w:t>The licensor may provide the Work either in its Source Code form, or as Executable Code.</w:t>
      </w:r>
      <w:r>
        <w:rPr>
          <w:spacing w:val="-16"/>
        </w:rPr>
        <w:t xml:space="preserve"> </w:t>
      </w:r>
      <w:r>
        <w:t>If</w:t>
      </w:r>
      <w:r>
        <w:rPr>
          <w:spacing w:val="-17"/>
        </w:rPr>
        <w:t xml:space="preserve"> </w:t>
      </w:r>
      <w:r>
        <w:t>the</w:t>
      </w:r>
      <w:r>
        <w:rPr>
          <w:spacing w:val="-17"/>
        </w:rPr>
        <w:t xml:space="preserve"> </w:t>
      </w:r>
      <w:r>
        <w:t>Work</w:t>
      </w:r>
      <w:r>
        <w:rPr>
          <w:spacing w:val="-16"/>
        </w:rPr>
        <w:t xml:space="preserve"> </w:t>
      </w:r>
      <w:r>
        <w:t>is</w:t>
      </w:r>
      <w:r>
        <w:rPr>
          <w:spacing w:val="-17"/>
        </w:rPr>
        <w:t xml:space="preserve"> </w:t>
      </w:r>
      <w:r>
        <w:t>provided</w:t>
      </w:r>
      <w:r>
        <w:rPr>
          <w:spacing w:val="-14"/>
        </w:rPr>
        <w:t xml:space="preserve"> </w:t>
      </w:r>
      <w:r>
        <w:t>as</w:t>
      </w:r>
      <w:r>
        <w:rPr>
          <w:spacing w:val="-17"/>
        </w:rPr>
        <w:t xml:space="preserve"> </w:t>
      </w:r>
      <w:r>
        <w:t>Executable</w:t>
      </w:r>
      <w:r>
        <w:rPr>
          <w:spacing w:val="-14"/>
        </w:rPr>
        <w:t xml:space="preserve"> </w:t>
      </w:r>
      <w:r>
        <w:t>Code,</w:t>
      </w:r>
      <w:r>
        <w:rPr>
          <w:spacing w:val="-16"/>
        </w:rPr>
        <w:t xml:space="preserve"> </w:t>
      </w:r>
      <w:r>
        <w:t>the</w:t>
      </w:r>
      <w:r>
        <w:rPr>
          <w:spacing w:val="-16"/>
        </w:rPr>
        <w:t xml:space="preserve"> </w:t>
      </w:r>
      <w:r>
        <w:t>licensor</w:t>
      </w:r>
      <w:r>
        <w:rPr>
          <w:spacing w:val="-14"/>
        </w:rPr>
        <w:t xml:space="preserve"> </w:t>
      </w:r>
      <w:r>
        <w:t>provides</w:t>
      </w:r>
      <w:r>
        <w:rPr>
          <w:spacing w:val="-17"/>
        </w:rPr>
        <w:t xml:space="preserve"> </w:t>
      </w:r>
      <w:r>
        <w:t>in</w:t>
      </w:r>
      <w:r>
        <w:rPr>
          <w:spacing w:val="-14"/>
        </w:rPr>
        <w:t xml:space="preserve"> </w:t>
      </w:r>
      <w:r>
        <w:t>addition</w:t>
      </w:r>
      <w:r>
        <w:rPr>
          <w:spacing w:val="-15"/>
        </w:rPr>
        <w:t xml:space="preserve"> </w:t>
      </w:r>
      <w:r>
        <w:t>a</w:t>
      </w:r>
      <w:r>
        <w:rPr>
          <w:spacing w:val="-16"/>
        </w:rPr>
        <w:t xml:space="preserve"> </w:t>
      </w:r>
      <w:r>
        <w:t>machine- readable copy of the Source Code of the Work. Along with each copy of the Work that the licensor</w:t>
      </w:r>
      <w:r>
        <w:rPr>
          <w:spacing w:val="-12"/>
        </w:rPr>
        <w:t xml:space="preserve"> </w:t>
      </w:r>
      <w:r>
        <w:t>distributes</w:t>
      </w:r>
      <w:r>
        <w:rPr>
          <w:spacing w:val="-15"/>
        </w:rPr>
        <w:t xml:space="preserve"> </w:t>
      </w:r>
      <w:r>
        <w:t>or</w:t>
      </w:r>
      <w:r>
        <w:rPr>
          <w:spacing w:val="-11"/>
        </w:rPr>
        <w:t xml:space="preserve"> </w:t>
      </w:r>
      <w:r>
        <w:t>indicates,</w:t>
      </w:r>
      <w:r>
        <w:rPr>
          <w:spacing w:val="-13"/>
        </w:rPr>
        <w:t xml:space="preserve"> </w:t>
      </w:r>
      <w:r>
        <w:t>in</w:t>
      </w:r>
      <w:r>
        <w:rPr>
          <w:spacing w:val="-15"/>
        </w:rPr>
        <w:t xml:space="preserve"> </w:t>
      </w:r>
      <w:r>
        <w:t>a</w:t>
      </w:r>
      <w:r>
        <w:rPr>
          <w:spacing w:val="-15"/>
        </w:rPr>
        <w:t xml:space="preserve"> </w:t>
      </w:r>
      <w:r>
        <w:t>notice</w:t>
      </w:r>
      <w:r>
        <w:rPr>
          <w:spacing w:val="-15"/>
        </w:rPr>
        <w:t xml:space="preserve"> </w:t>
      </w:r>
      <w:r>
        <w:t>following</w:t>
      </w:r>
      <w:r>
        <w:rPr>
          <w:spacing w:val="-13"/>
        </w:rPr>
        <w:t xml:space="preserve"> </w:t>
      </w:r>
      <w:r>
        <w:t>the</w:t>
      </w:r>
      <w:r>
        <w:rPr>
          <w:spacing w:val="-15"/>
        </w:rPr>
        <w:t xml:space="preserve"> </w:t>
      </w:r>
      <w:r>
        <w:t>copyright</w:t>
      </w:r>
      <w:r>
        <w:rPr>
          <w:spacing w:val="-13"/>
        </w:rPr>
        <w:t xml:space="preserve"> </w:t>
      </w:r>
      <w:r>
        <w:t>notice</w:t>
      </w:r>
      <w:r>
        <w:rPr>
          <w:spacing w:val="-12"/>
        </w:rPr>
        <w:t xml:space="preserve"> </w:t>
      </w:r>
      <w:r>
        <w:t>attached</w:t>
      </w:r>
      <w:r>
        <w:rPr>
          <w:spacing w:val="-15"/>
        </w:rPr>
        <w:t xml:space="preserve"> </w:t>
      </w:r>
      <w:r>
        <w:t>to</w:t>
      </w:r>
      <w:r>
        <w:rPr>
          <w:spacing w:val="-15"/>
        </w:rPr>
        <w:t xml:space="preserve"> </w:t>
      </w:r>
      <w:r>
        <w:t>the</w:t>
      </w:r>
      <w:r>
        <w:rPr>
          <w:spacing w:val="-15"/>
        </w:rPr>
        <w:t xml:space="preserve"> </w:t>
      </w:r>
      <w:r>
        <w:t>Work, a</w:t>
      </w:r>
      <w:r>
        <w:rPr>
          <w:spacing w:val="-5"/>
        </w:rPr>
        <w:t xml:space="preserve"> </w:t>
      </w:r>
      <w:r>
        <w:t>repository</w:t>
      </w:r>
      <w:r>
        <w:rPr>
          <w:spacing w:val="-4"/>
        </w:rPr>
        <w:t xml:space="preserve"> </w:t>
      </w:r>
      <w:r>
        <w:t>where</w:t>
      </w:r>
      <w:r>
        <w:rPr>
          <w:spacing w:val="-6"/>
        </w:rPr>
        <w:t xml:space="preserve"> </w:t>
      </w:r>
      <w:r>
        <w:t>the</w:t>
      </w:r>
      <w:r>
        <w:rPr>
          <w:spacing w:val="-4"/>
        </w:rPr>
        <w:t xml:space="preserve"> </w:t>
      </w:r>
      <w:r>
        <w:t>Source</w:t>
      </w:r>
      <w:r>
        <w:rPr>
          <w:spacing w:val="-4"/>
        </w:rPr>
        <w:t xml:space="preserve"> </w:t>
      </w:r>
      <w:r>
        <w:t>Code</w:t>
      </w:r>
      <w:r>
        <w:rPr>
          <w:spacing w:val="-4"/>
        </w:rPr>
        <w:t xml:space="preserve"> </w:t>
      </w:r>
      <w:r>
        <w:t>is</w:t>
      </w:r>
      <w:r>
        <w:rPr>
          <w:spacing w:val="-4"/>
        </w:rPr>
        <w:t xml:space="preserve"> </w:t>
      </w:r>
      <w:r>
        <w:t>easily</w:t>
      </w:r>
      <w:r>
        <w:rPr>
          <w:spacing w:val="-5"/>
        </w:rPr>
        <w:t xml:space="preserve"> </w:t>
      </w:r>
      <w:r>
        <w:t>and</w:t>
      </w:r>
      <w:r>
        <w:rPr>
          <w:spacing w:val="-6"/>
        </w:rPr>
        <w:t xml:space="preserve"> </w:t>
      </w:r>
      <w:r>
        <w:t>freely</w:t>
      </w:r>
      <w:r>
        <w:rPr>
          <w:spacing w:val="-4"/>
        </w:rPr>
        <w:t xml:space="preserve"> </w:t>
      </w:r>
      <w:r>
        <w:t>accessible</w:t>
      </w:r>
      <w:r>
        <w:rPr>
          <w:spacing w:val="-4"/>
        </w:rPr>
        <w:t xml:space="preserve"> </w:t>
      </w:r>
      <w:r>
        <w:t>for</w:t>
      </w:r>
      <w:r>
        <w:rPr>
          <w:spacing w:val="-3"/>
        </w:rPr>
        <w:t xml:space="preserve"> </w:t>
      </w:r>
      <w:r>
        <w:t>as</w:t>
      </w:r>
      <w:r>
        <w:rPr>
          <w:spacing w:val="-4"/>
        </w:rPr>
        <w:t xml:space="preserve"> </w:t>
      </w:r>
      <w:r>
        <w:t>long</w:t>
      </w:r>
      <w:r>
        <w:rPr>
          <w:spacing w:val="-5"/>
        </w:rPr>
        <w:t xml:space="preserve"> </w:t>
      </w:r>
      <w:r>
        <w:t>as</w:t>
      </w:r>
      <w:r>
        <w:rPr>
          <w:spacing w:val="-4"/>
        </w:rPr>
        <w:t xml:space="preserve"> </w:t>
      </w:r>
      <w:r>
        <w:t>the</w:t>
      </w:r>
      <w:r>
        <w:rPr>
          <w:spacing w:val="-4"/>
        </w:rPr>
        <w:t xml:space="preserve"> </w:t>
      </w:r>
      <w:r>
        <w:t>licensor continues to distribute and/or communicate the</w:t>
      </w:r>
      <w:r>
        <w:rPr>
          <w:spacing w:val="-11"/>
        </w:rPr>
        <w:t xml:space="preserve"> </w:t>
      </w:r>
      <w:r>
        <w:t>Work.</w:t>
      </w:r>
    </w:p>
    <w:p w14:paraId="1E27E6F5" w14:textId="77777777" w:rsidR="00D757DA" w:rsidRDefault="00D757DA">
      <w:pPr>
        <w:pStyle w:val="Zkladntext"/>
        <w:spacing w:before="9"/>
        <w:rPr>
          <w:sz w:val="20"/>
        </w:rPr>
      </w:pPr>
    </w:p>
    <w:p w14:paraId="7BD41566" w14:textId="77777777" w:rsidR="00D757DA" w:rsidRDefault="0033254E">
      <w:pPr>
        <w:pStyle w:val="Odstavecseseznamem"/>
        <w:numPr>
          <w:ilvl w:val="1"/>
          <w:numId w:val="16"/>
        </w:numPr>
        <w:tabs>
          <w:tab w:val="left" w:pos="829"/>
        </w:tabs>
        <w:ind w:right="1441" w:firstLine="0"/>
        <w:jc w:val="both"/>
      </w:pPr>
      <w:r>
        <w:t xml:space="preserve">Nothing in this </w:t>
      </w:r>
      <w:proofErr w:type="spellStart"/>
      <w:r>
        <w:t>licence</w:t>
      </w:r>
      <w:proofErr w:type="spellEnd"/>
      <w:r>
        <w:t xml:space="preserve"> is intended to deprive the licensee of the benefits from any exception or limitation to the exclusive rights of the owners in the Original Work or Software rights, of the exhaustion of those rights or of other applicable limitations</w:t>
      </w:r>
      <w:r>
        <w:rPr>
          <w:spacing w:val="-23"/>
        </w:rPr>
        <w:t xml:space="preserve"> </w:t>
      </w:r>
      <w:r>
        <w:t>thereto.</w:t>
      </w:r>
    </w:p>
    <w:p w14:paraId="1245E670" w14:textId="77777777" w:rsidR="00D757DA" w:rsidRDefault="00D757DA">
      <w:pPr>
        <w:pStyle w:val="Zkladntext"/>
        <w:rPr>
          <w:sz w:val="21"/>
        </w:rPr>
      </w:pPr>
    </w:p>
    <w:p w14:paraId="1EA61E3F" w14:textId="77777777" w:rsidR="00D757DA" w:rsidRDefault="0033254E">
      <w:pPr>
        <w:pStyle w:val="Odstavecseseznamem"/>
        <w:numPr>
          <w:ilvl w:val="1"/>
          <w:numId w:val="16"/>
        </w:numPr>
        <w:tabs>
          <w:tab w:val="left" w:pos="829"/>
        </w:tabs>
        <w:ind w:right="1441" w:firstLine="0"/>
        <w:jc w:val="both"/>
      </w:pPr>
      <w:r>
        <w:t>The</w:t>
      </w:r>
      <w:r>
        <w:rPr>
          <w:spacing w:val="-7"/>
        </w:rPr>
        <w:t xml:space="preserve"> </w:t>
      </w:r>
      <w:r>
        <w:t>grant</w:t>
      </w:r>
      <w:r>
        <w:rPr>
          <w:spacing w:val="-7"/>
        </w:rPr>
        <w:t xml:space="preserve"> </w:t>
      </w:r>
      <w:r>
        <w:t>of</w:t>
      </w:r>
      <w:r>
        <w:rPr>
          <w:spacing w:val="-11"/>
        </w:rPr>
        <w:t xml:space="preserve"> </w:t>
      </w:r>
      <w:r>
        <w:t>the</w:t>
      </w:r>
      <w:r>
        <w:rPr>
          <w:spacing w:val="-9"/>
        </w:rPr>
        <w:t xml:space="preserve"> </w:t>
      </w:r>
      <w:r>
        <w:t>rights</w:t>
      </w:r>
      <w:r>
        <w:rPr>
          <w:spacing w:val="-11"/>
        </w:rPr>
        <w:t xml:space="preserve"> </w:t>
      </w:r>
      <w:r>
        <w:t>mentioned</w:t>
      </w:r>
      <w:r>
        <w:rPr>
          <w:spacing w:val="-8"/>
        </w:rPr>
        <w:t xml:space="preserve"> </w:t>
      </w:r>
      <w:r>
        <w:t>above</w:t>
      </w:r>
      <w:r>
        <w:rPr>
          <w:spacing w:val="-9"/>
        </w:rPr>
        <w:t xml:space="preserve"> </w:t>
      </w:r>
      <w:r>
        <w:t>is</w:t>
      </w:r>
      <w:r>
        <w:rPr>
          <w:spacing w:val="-9"/>
        </w:rPr>
        <w:t xml:space="preserve"> </w:t>
      </w:r>
      <w:r>
        <w:t>subject</w:t>
      </w:r>
      <w:r>
        <w:rPr>
          <w:spacing w:val="-7"/>
        </w:rPr>
        <w:t xml:space="preserve"> </w:t>
      </w:r>
      <w:r>
        <w:t>to</w:t>
      </w:r>
      <w:r>
        <w:rPr>
          <w:spacing w:val="-10"/>
        </w:rPr>
        <w:t xml:space="preserve"> </w:t>
      </w:r>
      <w:r>
        <w:t>some</w:t>
      </w:r>
      <w:r>
        <w:rPr>
          <w:spacing w:val="-9"/>
        </w:rPr>
        <w:t xml:space="preserve"> </w:t>
      </w:r>
      <w:r>
        <w:t>restrictions</w:t>
      </w:r>
      <w:r>
        <w:rPr>
          <w:spacing w:val="-8"/>
        </w:rPr>
        <w:t xml:space="preserve"> </w:t>
      </w:r>
      <w:r>
        <w:t>and</w:t>
      </w:r>
      <w:r>
        <w:rPr>
          <w:spacing w:val="-10"/>
        </w:rPr>
        <w:t xml:space="preserve"> </w:t>
      </w:r>
      <w:r>
        <w:t>obligations imposed on the licensee. They are the</w:t>
      </w:r>
      <w:r>
        <w:rPr>
          <w:spacing w:val="-11"/>
        </w:rPr>
        <w:t xml:space="preserve"> </w:t>
      </w:r>
      <w:r>
        <w:t>following:</w:t>
      </w:r>
    </w:p>
    <w:p w14:paraId="65E31C45" w14:textId="77777777" w:rsidR="00D757DA" w:rsidRDefault="00D757DA">
      <w:pPr>
        <w:pStyle w:val="Zkladntext"/>
        <w:spacing w:before="8"/>
        <w:rPr>
          <w:sz w:val="20"/>
        </w:rPr>
      </w:pPr>
    </w:p>
    <w:p w14:paraId="54C0648C" w14:textId="77777777" w:rsidR="00D757DA" w:rsidRDefault="0033254E">
      <w:pPr>
        <w:pStyle w:val="Odstavecseseznamem"/>
        <w:numPr>
          <w:ilvl w:val="2"/>
          <w:numId w:val="16"/>
        </w:numPr>
        <w:tabs>
          <w:tab w:val="left" w:pos="1254"/>
        </w:tabs>
        <w:spacing w:line="242" w:lineRule="auto"/>
        <w:ind w:right="1438"/>
        <w:jc w:val="both"/>
      </w:pPr>
      <w:r>
        <w:t>the licensee shall support the strategic objective of establishing a European IP Network.</w:t>
      </w:r>
    </w:p>
    <w:p w14:paraId="73DE34C2" w14:textId="77777777" w:rsidR="00D757DA" w:rsidRDefault="00D757DA">
      <w:pPr>
        <w:pStyle w:val="Zkladntext"/>
        <w:spacing w:before="6"/>
        <w:rPr>
          <w:sz w:val="20"/>
        </w:rPr>
      </w:pPr>
    </w:p>
    <w:p w14:paraId="2E9AF7E1" w14:textId="77777777" w:rsidR="00D757DA" w:rsidRDefault="0033254E">
      <w:pPr>
        <w:pStyle w:val="Odstavecseseznamem"/>
        <w:numPr>
          <w:ilvl w:val="2"/>
          <w:numId w:val="16"/>
        </w:numPr>
        <w:tabs>
          <w:tab w:val="left" w:pos="1254"/>
        </w:tabs>
        <w:ind w:right="1438"/>
        <w:jc w:val="both"/>
      </w:pPr>
      <w:r>
        <w:t xml:space="preserve">the licensor shall be granted by the IPO a world-wide, royalty-free, non-exclusive and sublicensable </w:t>
      </w:r>
      <w:proofErr w:type="spellStart"/>
      <w:r>
        <w:t>licence</w:t>
      </w:r>
      <w:proofErr w:type="spellEnd"/>
      <w:r>
        <w:t xml:space="preserve"> for </w:t>
      </w:r>
      <w:proofErr w:type="gramStart"/>
      <w:r>
        <w:t>any and all</w:t>
      </w:r>
      <w:proofErr w:type="gramEnd"/>
      <w:r>
        <w:t xml:space="preserve"> modifications of the Original Work, and for any and all Derivative Works based upon the Work, made by or for the IPO. The licensor shall be granted the same rights in the Derivative Works as those granted to the</w:t>
      </w:r>
      <w:r>
        <w:rPr>
          <w:spacing w:val="-7"/>
        </w:rPr>
        <w:t xml:space="preserve"> </w:t>
      </w:r>
      <w:r>
        <w:t>IPO.</w:t>
      </w:r>
    </w:p>
    <w:p w14:paraId="0A2440E4" w14:textId="77777777" w:rsidR="00D757DA" w:rsidRDefault="00D757DA">
      <w:pPr>
        <w:pStyle w:val="Zkladntext"/>
        <w:spacing w:before="10"/>
        <w:rPr>
          <w:sz w:val="20"/>
        </w:rPr>
      </w:pPr>
    </w:p>
    <w:p w14:paraId="2BDA2F9D" w14:textId="77777777" w:rsidR="00D757DA" w:rsidRDefault="0033254E">
      <w:pPr>
        <w:pStyle w:val="Odstavecseseznamem"/>
        <w:numPr>
          <w:ilvl w:val="2"/>
          <w:numId w:val="16"/>
        </w:numPr>
        <w:tabs>
          <w:tab w:val="left" w:pos="1254"/>
        </w:tabs>
        <w:ind w:right="1438"/>
        <w:jc w:val="both"/>
      </w:pPr>
      <w:r>
        <w:t xml:space="preserve">the licensee shall keep intact all copyright, patent or </w:t>
      </w:r>
      <w:proofErr w:type="spellStart"/>
      <w:proofErr w:type="gramStart"/>
      <w:r>
        <w:t>trade marks</w:t>
      </w:r>
      <w:proofErr w:type="spellEnd"/>
      <w:proofErr w:type="gramEnd"/>
      <w:r>
        <w:t xml:space="preserve"> notices and all notices that refer to the </w:t>
      </w:r>
      <w:proofErr w:type="spellStart"/>
      <w:r>
        <w:t>licence</w:t>
      </w:r>
      <w:proofErr w:type="spellEnd"/>
      <w:r>
        <w:t xml:space="preserve"> and to the disclaimer of warranties. The licensee must include a copy of such notices and a copy of the </w:t>
      </w:r>
      <w:proofErr w:type="spellStart"/>
      <w:r>
        <w:t>licence</w:t>
      </w:r>
      <w:proofErr w:type="spellEnd"/>
      <w:r>
        <w:t xml:space="preserve"> with every copy of the Work he/she distributes and/or communicates. The licensee must cause any Derivative Work to carry prominent notices stating that the Work has been modified and the date of</w:t>
      </w:r>
      <w:r>
        <w:rPr>
          <w:spacing w:val="-10"/>
        </w:rPr>
        <w:t xml:space="preserve"> </w:t>
      </w:r>
      <w:r>
        <w:t>modification.</w:t>
      </w:r>
    </w:p>
    <w:p w14:paraId="6C616A22" w14:textId="77777777" w:rsidR="00D757DA" w:rsidRDefault="00D757DA">
      <w:pPr>
        <w:jc w:val="both"/>
        <w:sectPr w:rsidR="00D757DA">
          <w:pgSz w:w="11910" w:h="16840"/>
          <w:pgMar w:top="1340" w:right="0" w:bottom="1160" w:left="1320" w:header="0" w:footer="881" w:gutter="0"/>
          <w:cols w:space="708"/>
        </w:sectPr>
      </w:pPr>
    </w:p>
    <w:p w14:paraId="70317ADB" w14:textId="77777777" w:rsidR="00D757DA" w:rsidRDefault="0033254E">
      <w:pPr>
        <w:pStyle w:val="Odstavecseseznamem"/>
        <w:numPr>
          <w:ilvl w:val="2"/>
          <w:numId w:val="16"/>
        </w:numPr>
        <w:tabs>
          <w:tab w:val="left" w:pos="1254"/>
        </w:tabs>
        <w:spacing w:before="81"/>
        <w:ind w:right="1438"/>
        <w:jc w:val="both"/>
      </w:pPr>
      <w:r>
        <w:lastRenderedPageBreak/>
        <w:t>the</w:t>
      </w:r>
      <w:r>
        <w:rPr>
          <w:spacing w:val="-15"/>
        </w:rPr>
        <w:t xml:space="preserve"> </w:t>
      </w:r>
      <w:proofErr w:type="spellStart"/>
      <w:r>
        <w:t>licence</w:t>
      </w:r>
      <w:proofErr w:type="spellEnd"/>
      <w:r>
        <w:rPr>
          <w:spacing w:val="-16"/>
        </w:rPr>
        <w:t xml:space="preserve"> </w:t>
      </w:r>
      <w:r>
        <w:t>does</w:t>
      </w:r>
      <w:r>
        <w:rPr>
          <w:spacing w:val="-16"/>
        </w:rPr>
        <w:t xml:space="preserve"> </w:t>
      </w:r>
      <w:r>
        <w:t>not</w:t>
      </w:r>
      <w:r>
        <w:rPr>
          <w:spacing w:val="-13"/>
        </w:rPr>
        <w:t xml:space="preserve"> </w:t>
      </w:r>
      <w:r>
        <w:t>grant</w:t>
      </w:r>
      <w:r>
        <w:rPr>
          <w:spacing w:val="-12"/>
        </w:rPr>
        <w:t xml:space="preserve"> </w:t>
      </w:r>
      <w:r>
        <w:t>permission</w:t>
      </w:r>
      <w:r>
        <w:rPr>
          <w:spacing w:val="-16"/>
        </w:rPr>
        <w:t xml:space="preserve"> </w:t>
      </w:r>
      <w:r>
        <w:t>to</w:t>
      </w:r>
      <w:r>
        <w:rPr>
          <w:spacing w:val="-15"/>
        </w:rPr>
        <w:t xml:space="preserve"> </w:t>
      </w:r>
      <w:r>
        <w:t>use</w:t>
      </w:r>
      <w:r>
        <w:rPr>
          <w:spacing w:val="-16"/>
        </w:rPr>
        <w:t xml:space="preserve"> </w:t>
      </w:r>
      <w:r>
        <w:t>the</w:t>
      </w:r>
      <w:r>
        <w:rPr>
          <w:spacing w:val="-16"/>
        </w:rPr>
        <w:t xml:space="preserve"> </w:t>
      </w:r>
      <w:r>
        <w:t>trade</w:t>
      </w:r>
      <w:r>
        <w:rPr>
          <w:spacing w:val="-14"/>
        </w:rPr>
        <w:t xml:space="preserve"> </w:t>
      </w:r>
      <w:r>
        <w:t>names,</w:t>
      </w:r>
      <w:r>
        <w:rPr>
          <w:spacing w:val="-18"/>
        </w:rPr>
        <w:t xml:space="preserve"> </w:t>
      </w:r>
      <w:proofErr w:type="spellStart"/>
      <w:proofErr w:type="gramStart"/>
      <w:r>
        <w:t>trade</w:t>
      </w:r>
      <w:r>
        <w:rPr>
          <w:spacing w:val="-19"/>
        </w:rPr>
        <w:t xml:space="preserve"> </w:t>
      </w:r>
      <w:r>
        <w:t>marks</w:t>
      </w:r>
      <w:proofErr w:type="spellEnd"/>
      <w:proofErr w:type="gramEnd"/>
      <w:r>
        <w:t>,</w:t>
      </w:r>
      <w:r>
        <w:rPr>
          <w:spacing w:val="-17"/>
        </w:rPr>
        <w:t xml:space="preserve"> </w:t>
      </w:r>
      <w:r>
        <w:t>service marks,</w:t>
      </w:r>
      <w:r>
        <w:rPr>
          <w:spacing w:val="-8"/>
        </w:rPr>
        <w:t xml:space="preserve"> </w:t>
      </w:r>
      <w:r>
        <w:t>or</w:t>
      </w:r>
      <w:r>
        <w:rPr>
          <w:spacing w:val="-9"/>
        </w:rPr>
        <w:t xml:space="preserve"> </w:t>
      </w:r>
      <w:r>
        <w:t>names</w:t>
      </w:r>
      <w:r>
        <w:rPr>
          <w:spacing w:val="-9"/>
        </w:rPr>
        <w:t xml:space="preserve"> </w:t>
      </w:r>
      <w:r>
        <w:t>of</w:t>
      </w:r>
      <w:r>
        <w:rPr>
          <w:spacing w:val="-10"/>
        </w:rPr>
        <w:t xml:space="preserve"> </w:t>
      </w:r>
      <w:r>
        <w:t>the</w:t>
      </w:r>
      <w:r>
        <w:rPr>
          <w:spacing w:val="-10"/>
        </w:rPr>
        <w:t xml:space="preserve"> </w:t>
      </w:r>
      <w:r>
        <w:t>licensor,</w:t>
      </w:r>
      <w:r>
        <w:rPr>
          <w:spacing w:val="-9"/>
        </w:rPr>
        <w:t xml:space="preserve"> </w:t>
      </w:r>
      <w:r>
        <w:t>except</w:t>
      </w:r>
      <w:r>
        <w:rPr>
          <w:spacing w:val="-8"/>
        </w:rPr>
        <w:t xml:space="preserve"> </w:t>
      </w:r>
      <w:r>
        <w:t>as</w:t>
      </w:r>
      <w:r>
        <w:rPr>
          <w:spacing w:val="-11"/>
        </w:rPr>
        <w:t xml:space="preserve"> </w:t>
      </w:r>
      <w:r>
        <w:t>required</w:t>
      </w:r>
      <w:r>
        <w:rPr>
          <w:spacing w:val="-10"/>
        </w:rPr>
        <w:t xml:space="preserve"> </w:t>
      </w:r>
      <w:r>
        <w:t>for</w:t>
      </w:r>
      <w:r>
        <w:rPr>
          <w:spacing w:val="-10"/>
        </w:rPr>
        <w:t xml:space="preserve"> </w:t>
      </w:r>
      <w:r>
        <w:t>reasonable</w:t>
      </w:r>
      <w:r>
        <w:rPr>
          <w:spacing w:val="-10"/>
        </w:rPr>
        <w:t xml:space="preserve"> </w:t>
      </w:r>
      <w:r>
        <w:t>and</w:t>
      </w:r>
      <w:r>
        <w:rPr>
          <w:spacing w:val="-11"/>
        </w:rPr>
        <w:t xml:space="preserve"> </w:t>
      </w:r>
      <w:r>
        <w:t>customary use in describing the origin of the Work and reproducing the content of the copyright</w:t>
      </w:r>
      <w:r>
        <w:rPr>
          <w:spacing w:val="-2"/>
        </w:rPr>
        <w:t xml:space="preserve"> </w:t>
      </w:r>
      <w:r>
        <w:t>notice.</w:t>
      </w:r>
    </w:p>
    <w:p w14:paraId="354321F7" w14:textId="77777777" w:rsidR="00D757DA" w:rsidRDefault="00D757DA">
      <w:pPr>
        <w:pStyle w:val="Zkladntext"/>
        <w:rPr>
          <w:sz w:val="21"/>
        </w:rPr>
      </w:pPr>
    </w:p>
    <w:p w14:paraId="6B7AC4B0" w14:textId="77777777" w:rsidR="00D757DA" w:rsidRDefault="0033254E">
      <w:pPr>
        <w:pStyle w:val="Odstavecseseznamem"/>
        <w:numPr>
          <w:ilvl w:val="2"/>
          <w:numId w:val="16"/>
        </w:numPr>
        <w:tabs>
          <w:tab w:val="left" w:pos="1254"/>
        </w:tabs>
        <w:ind w:right="1432"/>
        <w:jc w:val="both"/>
      </w:pPr>
      <w:r>
        <w:t>articles</w:t>
      </w:r>
      <w:r>
        <w:rPr>
          <w:spacing w:val="-9"/>
        </w:rPr>
        <w:t xml:space="preserve"> </w:t>
      </w:r>
      <w:r>
        <w:t>36.3</w:t>
      </w:r>
      <w:r>
        <w:rPr>
          <w:spacing w:val="-10"/>
        </w:rPr>
        <w:t xml:space="preserve"> </w:t>
      </w:r>
      <w:r>
        <w:t>and</w:t>
      </w:r>
      <w:r>
        <w:rPr>
          <w:spacing w:val="-8"/>
        </w:rPr>
        <w:t xml:space="preserve"> </w:t>
      </w:r>
      <w:r>
        <w:t>36.4</w:t>
      </w:r>
      <w:r>
        <w:rPr>
          <w:spacing w:val="-11"/>
        </w:rPr>
        <w:t xml:space="preserve"> </w:t>
      </w:r>
      <w:r>
        <w:t>shall</w:t>
      </w:r>
      <w:r>
        <w:rPr>
          <w:spacing w:val="-9"/>
        </w:rPr>
        <w:t xml:space="preserve"> </w:t>
      </w:r>
      <w:r>
        <w:t>not</w:t>
      </w:r>
      <w:r>
        <w:rPr>
          <w:spacing w:val="-6"/>
        </w:rPr>
        <w:t xml:space="preserve"> </w:t>
      </w:r>
      <w:r>
        <w:t>be</w:t>
      </w:r>
      <w:r>
        <w:rPr>
          <w:spacing w:val="-9"/>
        </w:rPr>
        <w:t xml:space="preserve"> </w:t>
      </w:r>
      <w:r>
        <w:t>applicable</w:t>
      </w:r>
      <w:r>
        <w:rPr>
          <w:spacing w:val="-8"/>
        </w:rPr>
        <w:t xml:space="preserve"> </w:t>
      </w:r>
      <w:r>
        <w:t>to</w:t>
      </w:r>
      <w:r>
        <w:rPr>
          <w:spacing w:val="-9"/>
        </w:rPr>
        <w:t xml:space="preserve"> </w:t>
      </w:r>
      <w:r>
        <w:t>any</w:t>
      </w:r>
      <w:r>
        <w:rPr>
          <w:spacing w:val="-7"/>
        </w:rPr>
        <w:t xml:space="preserve"> </w:t>
      </w:r>
      <w:r>
        <w:t>of</w:t>
      </w:r>
      <w:r>
        <w:rPr>
          <w:spacing w:val="-9"/>
        </w:rPr>
        <w:t xml:space="preserve"> </w:t>
      </w:r>
      <w:r>
        <w:t>the</w:t>
      </w:r>
      <w:r>
        <w:rPr>
          <w:spacing w:val="-9"/>
        </w:rPr>
        <w:t xml:space="preserve"> </w:t>
      </w:r>
      <w:r>
        <w:t>source</w:t>
      </w:r>
      <w:r>
        <w:rPr>
          <w:spacing w:val="-8"/>
        </w:rPr>
        <w:t xml:space="preserve"> </w:t>
      </w:r>
      <w:r>
        <w:t>codes</w:t>
      </w:r>
      <w:r>
        <w:rPr>
          <w:spacing w:val="-8"/>
        </w:rPr>
        <w:t xml:space="preserve"> </w:t>
      </w:r>
      <w:r>
        <w:t>owned</w:t>
      </w:r>
      <w:r>
        <w:rPr>
          <w:spacing w:val="-9"/>
        </w:rPr>
        <w:t xml:space="preserve"> </w:t>
      </w:r>
      <w:r>
        <w:t>by third</w:t>
      </w:r>
      <w:r>
        <w:rPr>
          <w:spacing w:val="-6"/>
        </w:rPr>
        <w:t xml:space="preserve"> </w:t>
      </w:r>
      <w:r>
        <w:t>parties</w:t>
      </w:r>
      <w:r>
        <w:rPr>
          <w:spacing w:val="-10"/>
        </w:rPr>
        <w:t xml:space="preserve"> </w:t>
      </w:r>
      <w:r>
        <w:t>that</w:t>
      </w:r>
      <w:r>
        <w:rPr>
          <w:spacing w:val="-10"/>
        </w:rPr>
        <w:t xml:space="preserve"> </w:t>
      </w:r>
      <w:r>
        <w:t>may</w:t>
      </w:r>
      <w:r>
        <w:rPr>
          <w:spacing w:val="-8"/>
        </w:rPr>
        <w:t xml:space="preserve"> </w:t>
      </w:r>
      <w:r>
        <w:t>be</w:t>
      </w:r>
      <w:r>
        <w:rPr>
          <w:spacing w:val="-9"/>
        </w:rPr>
        <w:t xml:space="preserve"> </w:t>
      </w:r>
      <w:r>
        <w:t>embedded</w:t>
      </w:r>
      <w:r>
        <w:rPr>
          <w:spacing w:val="-8"/>
        </w:rPr>
        <w:t xml:space="preserve"> </w:t>
      </w:r>
      <w:r>
        <w:t>in,</w:t>
      </w:r>
      <w:r>
        <w:rPr>
          <w:spacing w:val="-7"/>
        </w:rPr>
        <w:t xml:space="preserve"> </w:t>
      </w:r>
      <w:r>
        <w:t>or</w:t>
      </w:r>
      <w:r>
        <w:rPr>
          <w:spacing w:val="-8"/>
        </w:rPr>
        <w:t xml:space="preserve"> </w:t>
      </w:r>
      <w:r>
        <w:t>form</w:t>
      </w:r>
      <w:r>
        <w:rPr>
          <w:spacing w:val="-7"/>
        </w:rPr>
        <w:t xml:space="preserve"> </w:t>
      </w:r>
      <w:r>
        <w:t>a</w:t>
      </w:r>
      <w:r>
        <w:rPr>
          <w:spacing w:val="-9"/>
        </w:rPr>
        <w:t xml:space="preserve"> </w:t>
      </w:r>
      <w:r>
        <w:t>part</w:t>
      </w:r>
      <w:r>
        <w:rPr>
          <w:spacing w:val="-6"/>
        </w:rPr>
        <w:t xml:space="preserve"> </w:t>
      </w:r>
      <w:r>
        <w:t>of,</w:t>
      </w:r>
      <w:r>
        <w:rPr>
          <w:spacing w:val="-7"/>
        </w:rPr>
        <w:t xml:space="preserve"> </w:t>
      </w:r>
      <w:r>
        <w:t>the</w:t>
      </w:r>
      <w:r>
        <w:rPr>
          <w:spacing w:val="-8"/>
        </w:rPr>
        <w:t xml:space="preserve"> </w:t>
      </w:r>
      <w:r>
        <w:t>licensor</w:t>
      </w:r>
      <w:r>
        <w:rPr>
          <w:spacing w:val="-7"/>
        </w:rPr>
        <w:t xml:space="preserve"> </w:t>
      </w:r>
      <w:r>
        <w:t>’s</w:t>
      </w:r>
      <w:r>
        <w:rPr>
          <w:spacing w:val="-8"/>
        </w:rPr>
        <w:t xml:space="preserve"> </w:t>
      </w:r>
      <w:r>
        <w:t>Work.</w:t>
      </w:r>
      <w:r>
        <w:rPr>
          <w:spacing w:val="49"/>
        </w:rPr>
        <w:t xml:space="preserve"> </w:t>
      </w:r>
      <w:r>
        <w:t>The licensee</w:t>
      </w:r>
      <w:r>
        <w:rPr>
          <w:spacing w:val="-7"/>
        </w:rPr>
        <w:t xml:space="preserve"> </w:t>
      </w:r>
      <w:r>
        <w:t>is</w:t>
      </w:r>
      <w:r>
        <w:rPr>
          <w:spacing w:val="-6"/>
        </w:rPr>
        <w:t xml:space="preserve"> </w:t>
      </w:r>
      <w:r>
        <w:t>prohibited</w:t>
      </w:r>
      <w:r>
        <w:rPr>
          <w:spacing w:val="-7"/>
        </w:rPr>
        <w:t xml:space="preserve"> </w:t>
      </w:r>
      <w:r>
        <w:t>from</w:t>
      </w:r>
      <w:r>
        <w:rPr>
          <w:spacing w:val="-5"/>
        </w:rPr>
        <w:t xml:space="preserve"> </w:t>
      </w:r>
      <w:r>
        <w:t>using</w:t>
      </w:r>
      <w:r>
        <w:rPr>
          <w:spacing w:val="-7"/>
        </w:rPr>
        <w:t xml:space="preserve"> </w:t>
      </w:r>
      <w:r>
        <w:t>such</w:t>
      </w:r>
      <w:r>
        <w:rPr>
          <w:spacing w:val="-7"/>
        </w:rPr>
        <w:t xml:space="preserve"> </w:t>
      </w:r>
      <w:r>
        <w:t>proprietary</w:t>
      </w:r>
      <w:r>
        <w:rPr>
          <w:spacing w:val="-8"/>
        </w:rPr>
        <w:t xml:space="preserve"> </w:t>
      </w:r>
      <w:r>
        <w:t>third-party</w:t>
      </w:r>
      <w:r>
        <w:rPr>
          <w:spacing w:val="-8"/>
        </w:rPr>
        <w:t xml:space="preserve"> </w:t>
      </w:r>
      <w:r>
        <w:t>source</w:t>
      </w:r>
      <w:r>
        <w:rPr>
          <w:spacing w:val="-9"/>
        </w:rPr>
        <w:t xml:space="preserve"> </w:t>
      </w:r>
      <w:r>
        <w:t>codes</w:t>
      </w:r>
      <w:r>
        <w:rPr>
          <w:spacing w:val="-8"/>
        </w:rPr>
        <w:t xml:space="preserve"> </w:t>
      </w:r>
      <w:r>
        <w:t>for</w:t>
      </w:r>
      <w:r>
        <w:rPr>
          <w:spacing w:val="-6"/>
        </w:rPr>
        <w:t xml:space="preserve"> </w:t>
      </w:r>
      <w:r>
        <w:t>any use other than his/her implementation and operation of the software and tools covered by this Agreement. The licensee shall not use any such proprietary third- party source code for the development of any Derivative Works or further applications. The licensee is prohibited from distributing and/or communicating any proprietary third-party source code to any other</w:t>
      </w:r>
      <w:r>
        <w:rPr>
          <w:spacing w:val="-10"/>
        </w:rPr>
        <w:t xml:space="preserve"> </w:t>
      </w:r>
      <w:r>
        <w:t>parties.</w:t>
      </w:r>
    </w:p>
    <w:p w14:paraId="5FD88A79" w14:textId="77777777" w:rsidR="00D757DA" w:rsidRDefault="00D757DA">
      <w:pPr>
        <w:pStyle w:val="Zkladntext"/>
        <w:spacing w:before="10"/>
        <w:rPr>
          <w:sz w:val="20"/>
        </w:rPr>
      </w:pPr>
    </w:p>
    <w:p w14:paraId="11452B96" w14:textId="77777777" w:rsidR="00D757DA" w:rsidRDefault="0033254E">
      <w:pPr>
        <w:pStyle w:val="Odstavecseseznamem"/>
        <w:numPr>
          <w:ilvl w:val="1"/>
          <w:numId w:val="16"/>
        </w:numPr>
        <w:tabs>
          <w:tab w:val="left" w:pos="829"/>
        </w:tabs>
        <w:ind w:right="1431" w:firstLine="0"/>
        <w:jc w:val="both"/>
      </w:pPr>
      <w:r>
        <w:t>The</w:t>
      </w:r>
      <w:r>
        <w:rPr>
          <w:spacing w:val="-17"/>
        </w:rPr>
        <w:t xml:space="preserve"> </w:t>
      </w:r>
      <w:r>
        <w:t>original</w:t>
      </w:r>
      <w:r>
        <w:rPr>
          <w:spacing w:val="-18"/>
        </w:rPr>
        <w:t xml:space="preserve"> </w:t>
      </w:r>
      <w:r>
        <w:t>licensor</w:t>
      </w:r>
      <w:r>
        <w:rPr>
          <w:spacing w:val="-16"/>
        </w:rPr>
        <w:t xml:space="preserve"> </w:t>
      </w:r>
      <w:r>
        <w:t>warrants</w:t>
      </w:r>
      <w:r>
        <w:rPr>
          <w:spacing w:val="-19"/>
        </w:rPr>
        <w:t xml:space="preserve"> </w:t>
      </w:r>
      <w:r>
        <w:t>that</w:t>
      </w:r>
      <w:r>
        <w:rPr>
          <w:spacing w:val="-17"/>
        </w:rPr>
        <w:t xml:space="preserve"> </w:t>
      </w:r>
      <w:r>
        <w:t>the</w:t>
      </w:r>
      <w:r>
        <w:rPr>
          <w:spacing w:val="-20"/>
        </w:rPr>
        <w:t xml:space="preserve"> </w:t>
      </w:r>
      <w:r>
        <w:t>copyright</w:t>
      </w:r>
      <w:r>
        <w:rPr>
          <w:spacing w:val="-16"/>
        </w:rPr>
        <w:t xml:space="preserve"> </w:t>
      </w:r>
      <w:r>
        <w:t>in</w:t>
      </w:r>
      <w:r>
        <w:rPr>
          <w:spacing w:val="-19"/>
        </w:rPr>
        <w:t xml:space="preserve"> </w:t>
      </w:r>
      <w:r>
        <w:t>the</w:t>
      </w:r>
      <w:r>
        <w:rPr>
          <w:spacing w:val="-16"/>
        </w:rPr>
        <w:t xml:space="preserve"> </w:t>
      </w:r>
      <w:r>
        <w:t>Original</w:t>
      </w:r>
      <w:r>
        <w:rPr>
          <w:spacing w:val="-18"/>
        </w:rPr>
        <w:t xml:space="preserve"> </w:t>
      </w:r>
      <w:r>
        <w:t>Work</w:t>
      </w:r>
      <w:r>
        <w:rPr>
          <w:spacing w:val="-19"/>
        </w:rPr>
        <w:t xml:space="preserve"> </w:t>
      </w:r>
      <w:r>
        <w:t>granted</w:t>
      </w:r>
      <w:r>
        <w:rPr>
          <w:spacing w:val="-20"/>
        </w:rPr>
        <w:t xml:space="preserve"> </w:t>
      </w:r>
      <w:r>
        <w:t xml:space="preserve">hereunder is owned by him/her or licensed to him/her and that he/she has the power and authority to grant the </w:t>
      </w:r>
      <w:proofErr w:type="spellStart"/>
      <w:r>
        <w:t>licence</w:t>
      </w:r>
      <w:proofErr w:type="spellEnd"/>
      <w:r>
        <w:t xml:space="preserve"> and/or permit the use of the Work in accordance with the restrictions expressed in Article 36, item</w:t>
      </w:r>
      <w:r>
        <w:rPr>
          <w:spacing w:val="-5"/>
        </w:rPr>
        <w:t xml:space="preserve"> </w:t>
      </w:r>
      <w:r>
        <w:t>7.e).</w:t>
      </w:r>
    </w:p>
    <w:p w14:paraId="25A5D4FD" w14:textId="77777777" w:rsidR="00D757DA" w:rsidRDefault="00D757DA">
      <w:pPr>
        <w:pStyle w:val="Zkladntext"/>
        <w:spacing w:before="11"/>
        <w:rPr>
          <w:sz w:val="20"/>
        </w:rPr>
      </w:pPr>
    </w:p>
    <w:p w14:paraId="65E8A9ED" w14:textId="77777777" w:rsidR="00D757DA" w:rsidRDefault="0033254E">
      <w:pPr>
        <w:pStyle w:val="Odstavecseseznamem"/>
        <w:numPr>
          <w:ilvl w:val="1"/>
          <w:numId w:val="16"/>
        </w:numPr>
        <w:tabs>
          <w:tab w:val="left" w:pos="829"/>
        </w:tabs>
        <w:ind w:right="1437" w:firstLine="0"/>
        <w:jc w:val="both"/>
      </w:pPr>
      <w:r>
        <w:t xml:space="preserve">Each contributor warrants that the copyright in the modifications he/she brings to </w:t>
      </w:r>
      <w:proofErr w:type="gramStart"/>
      <w:r>
        <w:t>the Work</w:t>
      </w:r>
      <w:proofErr w:type="gramEnd"/>
      <w:r>
        <w:rPr>
          <w:spacing w:val="-14"/>
        </w:rPr>
        <w:t xml:space="preserve"> </w:t>
      </w:r>
      <w:r>
        <w:t>are</w:t>
      </w:r>
      <w:r>
        <w:rPr>
          <w:spacing w:val="-14"/>
        </w:rPr>
        <w:t xml:space="preserve"> </w:t>
      </w:r>
      <w:r>
        <w:t>owned</w:t>
      </w:r>
      <w:r>
        <w:rPr>
          <w:spacing w:val="-14"/>
        </w:rPr>
        <w:t xml:space="preserve"> </w:t>
      </w:r>
      <w:r>
        <w:t>by</w:t>
      </w:r>
      <w:r>
        <w:rPr>
          <w:spacing w:val="-13"/>
        </w:rPr>
        <w:t xml:space="preserve"> </w:t>
      </w:r>
      <w:r>
        <w:t>him/her</w:t>
      </w:r>
      <w:r>
        <w:rPr>
          <w:spacing w:val="-13"/>
        </w:rPr>
        <w:t xml:space="preserve"> </w:t>
      </w:r>
      <w:r>
        <w:t>or</w:t>
      </w:r>
      <w:r>
        <w:rPr>
          <w:spacing w:val="-15"/>
        </w:rPr>
        <w:t xml:space="preserve"> </w:t>
      </w:r>
      <w:r>
        <w:t>licensed</w:t>
      </w:r>
      <w:r>
        <w:rPr>
          <w:spacing w:val="-14"/>
        </w:rPr>
        <w:t xml:space="preserve"> </w:t>
      </w:r>
      <w:r>
        <w:t>to</w:t>
      </w:r>
      <w:r>
        <w:rPr>
          <w:spacing w:val="-14"/>
        </w:rPr>
        <w:t xml:space="preserve"> </w:t>
      </w:r>
      <w:r>
        <w:t>him/her</w:t>
      </w:r>
      <w:r>
        <w:rPr>
          <w:spacing w:val="-15"/>
        </w:rPr>
        <w:t xml:space="preserve"> </w:t>
      </w:r>
      <w:r>
        <w:t>and</w:t>
      </w:r>
      <w:r>
        <w:rPr>
          <w:spacing w:val="-14"/>
        </w:rPr>
        <w:t xml:space="preserve"> </w:t>
      </w:r>
      <w:r>
        <w:t>that</w:t>
      </w:r>
      <w:r>
        <w:rPr>
          <w:spacing w:val="-14"/>
        </w:rPr>
        <w:t xml:space="preserve"> </w:t>
      </w:r>
      <w:r>
        <w:t>he/she</w:t>
      </w:r>
      <w:r>
        <w:rPr>
          <w:spacing w:val="-16"/>
        </w:rPr>
        <w:t xml:space="preserve"> </w:t>
      </w:r>
      <w:r>
        <w:t>has</w:t>
      </w:r>
      <w:r>
        <w:rPr>
          <w:spacing w:val="-16"/>
        </w:rPr>
        <w:t xml:space="preserve"> </w:t>
      </w:r>
      <w:r>
        <w:t>the</w:t>
      </w:r>
      <w:r>
        <w:rPr>
          <w:spacing w:val="-14"/>
        </w:rPr>
        <w:t xml:space="preserve"> </w:t>
      </w:r>
      <w:r>
        <w:t>power</w:t>
      </w:r>
      <w:r>
        <w:rPr>
          <w:spacing w:val="-13"/>
        </w:rPr>
        <w:t xml:space="preserve"> </w:t>
      </w:r>
      <w:r>
        <w:t>and</w:t>
      </w:r>
      <w:r>
        <w:rPr>
          <w:spacing w:val="-14"/>
        </w:rPr>
        <w:t xml:space="preserve"> </w:t>
      </w:r>
      <w:r>
        <w:t>authority to grant the</w:t>
      </w:r>
      <w:r>
        <w:rPr>
          <w:spacing w:val="-4"/>
        </w:rPr>
        <w:t xml:space="preserve"> </w:t>
      </w:r>
      <w:proofErr w:type="spellStart"/>
      <w:r>
        <w:t>licence</w:t>
      </w:r>
      <w:proofErr w:type="spellEnd"/>
      <w:r>
        <w:t>.</w:t>
      </w:r>
    </w:p>
    <w:p w14:paraId="29CBD5E5" w14:textId="77777777" w:rsidR="00D757DA" w:rsidRDefault="00D757DA">
      <w:pPr>
        <w:pStyle w:val="Zkladntext"/>
        <w:spacing w:before="9"/>
        <w:rPr>
          <w:sz w:val="20"/>
        </w:rPr>
      </w:pPr>
    </w:p>
    <w:p w14:paraId="0BD98225" w14:textId="77777777" w:rsidR="00D757DA" w:rsidRDefault="0033254E">
      <w:pPr>
        <w:pStyle w:val="Odstavecseseznamem"/>
        <w:numPr>
          <w:ilvl w:val="1"/>
          <w:numId w:val="16"/>
        </w:numPr>
        <w:tabs>
          <w:tab w:val="left" w:pos="829"/>
        </w:tabs>
        <w:spacing w:before="1"/>
        <w:ind w:right="1432" w:firstLine="0"/>
        <w:jc w:val="both"/>
      </w:pPr>
      <w:r>
        <w:t>The</w:t>
      </w:r>
      <w:r>
        <w:rPr>
          <w:spacing w:val="-10"/>
        </w:rPr>
        <w:t xml:space="preserve"> </w:t>
      </w:r>
      <w:r>
        <w:t>Work</w:t>
      </w:r>
      <w:r>
        <w:rPr>
          <w:spacing w:val="-11"/>
        </w:rPr>
        <w:t xml:space="preserve"> </w:t>
      </w:r>
      <w:r>
        <w:t>may</w:t>
      </w:r>
      <w:r>
        <w:rPr>
          <w:spacing w:val="-12"/>
        </w:rPr>
        <w:t xml:space="preserve"> </w:t>
      </w:r>
      <w:r>
        <w:t>contain</w:t>
      </w:r>
      <w:r>
        <w:rPr>
          <w:spacing w:val="-9"/>
        </w:rPr>
        <w:t xml:space="preserve"> </w:t>
      </w:r>
      <w:r>
        <w:t>defects</w:t>
      </w:r>
      <w:r>
        <w:rPr>
          <w:spacing w:val="-11"/>
        </w:rPr>
        <w:t xml:space="preserve"> </w:t>
      </w:r>
      <w:r>
        <w:t>or</w:t>
      </w:r>
      <w:r>
        <w:rPr>
          <w:spacing w:val="-11"/>
        </w:rPr>
        <w:t xml:space="preserve"> </w:t>
      </w:r>
      <w:r>
        <w:t>“bugs”</w:t>
      </w:r>
      <w:r>
        <w:rPr>
          <w:spacing w:val="-10"/>
        </w:rPr>
        <w:t xml:space="preserve"> </w:t>
      </w:r>
      <w:r>
        <w:t>inherent</w:t>
      </w:r>
      <w:r>
        <w:rPr>
          <w:spacing w:val="-10"/>
        </w:rPr>
        <w:t xml:space="preserve"> </w:t>
      </w:r>
      <w:r>
        <w:t>to</w:t>
      </w:r>
      <w:r>
        <w:rPr>
          <w:spacing w:val="-12"/>
        </w:rPr>
        <w:t xml:space="preserve"> </w:t>
      </w:r>
      <w:r>
        <w:t>this</w:t>
      </w:r>
      <w:r>
        <w:rPr>
          <w:spacing w:val="-11"/>
        </w:rPr>
        <w:t xml:space="preserve"> </w:t>
      </w:r>
      <w:r>
        <w:t>type</w:t>
      </w:r>
      <w:r>
        <w:rPr>
          <w:spacing w:val="-9"/>
        </w:rPr>
        <w:t xml:space="preserve"> </w:t>
      </w:r>
      <w:r>
        <w:t>of</w:t>
      </w:r>
      <w:r>
        <w:rPr>
          <w:spacing w:val="-11"/>
        </w:rPr>
        <w:t xml:space="preserve"> </w:t>
      </w:r>
      <w:r>
        <w:t>software</w:t>
      </w:r>
      <w:r>
        <w:rPr>
          <w:spacing w:val="-11"/>
        </w:rPr>
        <w:t xml:space="preserve"> </w:t>
      </w:r>
      <w:r>
        <w:t>development. Further,</w:t>
      </w:r>
      <w:r>
        <w:rPr>
          <w:spacing w:val="-16"/>
        </w:rPr>
        <w:t xml:space="preserve"> </w:t>
      </w:r>
      <w:r>
        <w:t>the</w:t>
      </w:r>
      <w:r>
        <w:rPr>
          <w:spacing w:val="-14"/>
        </w:rPr>
        <w:t xml:space="preserve"> </w:t>
      </w:r>
      <w:r>
        <w:t>documentation</w:t>
      </w:r>
      <w:r>
        <w:rPr>
          <w:spacing w:val="-15"/>
        </w:rPr>
        <w:t xml:space="preserve"> </w:t>
      </w:r>
      <w:r>
        <w:t>concerning</w:t>
      </w:r>
      <w:r>
        <w:rPr>
          <w:spacing w:val="-14"/>
        </w:rPr>
        <w:t xml:space="preserve"> </w:t>
      </w:r>
      <w:r>
        <w:t>the</w:t>
      </w:r>
      <w:r>
        <w:rPr>
          <w:spacing w:val="-15"/>
        </w:rPr>
        <w:t xml:space="preserve"> </w:t>
      </w:r>
      <w:r>
        <w:t>software</w:t>
      </w:r>
      <w:r>
        <w:rPr>
          <w:spacing w:val="-14"/>
        </w:rPr>
        <w:t xml:space="preserve"> </w:t>
      </w:r>
      <w:r>
        <w:t>may</w:t>
      </w:r>
      <w:r>
        <w:rPr>
          <w:spacing w:val="-16"/>
        </w:rPr>
        <w:t xml:space="preserve"> </w:t>
      </w:r>
      <w:r>
        <w:t>not</w:t>
      </w:r>
      <w:r>
        <w:rPr>
          <w:spacing w:val="-13"/>
        </w:rPr>
        <w:t xml:space="preserve"> </w:t>
      </w:r>
      <w:r>
        <w:t>be</w:t>
      </w:r>
      <w:r>
        <w:rPr>
          <w:spacing w:val="-16"/>
        </w:rPr>
        <w:t xml:space="preserve"> </w:t>
      </w:r>
      <w:r>
        <w:t>uniform</w:t>
      </w:r>
      <w:r>
        <w:rPr>
          <w:spacing w:val="-14"/>
        </w:rPr>
        <w:t xml:space="preserve"> </w:t>
      </w:r>
      <w:r>
        <w:t>in</w:t>
      </w:r>
      <w:r>
        <w:rPr>
          <w:spacing w:val="-16"/>
        </w:rPr>
        <w:t xml:space="preserve"> </w:t>
      </w:r>
      <w:r>
        <w:t>nature</w:t>
      </w:r>
      <w:r>
        <w:rPr>
          <w:spacing w:val="-14"/>
        </w:rPr>
        <w:t xml:space="preserve"> </w:t>
      </w:r>
      <w:r>
        <w:t>or</w:t>
      </w:r>
      <w:r>
        <w:rPr>
          <w:spacing w:val="-13"/>
        </w:rPr>
        <w:t xml:space="preserve"> </w:t>
      </w:r>
      <w:r>
        <w:t xml:space="preserve">complete. For these reasons, the Work is provided under the </w:t>
      </w:r>
      <w:proofErr w:type="spellStart"/>
      <w:r>
        <w:t>licence</w:t>
      </w:r>
      <w:proofErr w:type="spellEnd"/>
      <w:r>
        <w:t xml:space="preserve"> on an “as is” basis and without warranties of any kind concerning the Work, including without limitation merchantability, fitness for a particular purpose, absence of defects or errors, accuracy, completeness, non- infringement of IP rights other than copyright. This disclaimer of warranty is an essential part of the </w:t>
      </w:r>
      <w:proofErr w:type="spellStart"/>
      <w:r>
        <w:t>licence</w:t>
      </w:r>
      <w:proofErr w:type="spellEnd"/>
      <w:r>
        <w:t xml:space="preserve"> and a condition for the grant of any rights to the</w:t>
      </w:r>
      <w:r>
        <w:rPr>
          <w:spacing w:val="-21"/>
        </w:rPr>
        <w:t xml:space="preserve"> </w:t>
      </w:r>
      <w:r>
        <w:t>Work.</w:t>
      </w:r>
    </w:p>
    <w:p w14:paraId="326271A6" w14:textId="77777777" w:rsidR="00D757DA" w:rsidRDefault="00D757DA">
      <w:pPr>
        <w:pStyle w:val="Zkladntext"/>
        <w:spacing w:before="10"/>
        <w:rPr>
          <w:sz w:val="20"/>
        </w:rPr>
      </w:pPr>
    </w:p>
    <w:p w14:paraId="05AECD97" w14:textId="77777777" w:rsidR="00D757DA" w:rsidRDefault="0033254E">
      <w:pPr>
        <w:pStyle w:val="Odstavecseseznamem"/>
        <w:numPr>
          <w:ilvl w:val="1"/>
          <w:numId w:val="16"/>
        </w:numPr>
        <w:tabs>
          <w:tab w:val="left" w:pos="829"/>
        </w:tabs>
        <w:ind w:right="1434" w:firstLine="0"/>
        <w:jc w:val="both"/>
      </w:pPr>
      <w:r>
        <w:t>Except</w:t>
      </w:r>
      <w:r>
        <w:rPr>
          <w:spacing w:val="-16"/>
        </w:rPr>
        <w:t xml:space="preserve"> </w:t>
      </w:r>
      <w:r>
        <w:t>in</w:t>
      </w:r>
      <w:r>
        <w:rPr>
          <w:spacing w:val="-19"/>
        </w:rPr>
        <w:t xml:space="preserve"> </w:t>
      </w:r>
      <w:r>
        <w:t>the</w:t>
      </w:r>
      <w:r>
        <w:rPr>
          <w:spacing w:val="-19"/>
        </w:rPr>
        <w:t xml:space="preserve"> </w:t>
      </w:r>
      <w:r>
        <w:t>cases</w:t>
      </w:r>
      <w:r>
        <w:rPr>
          <w:spacing w:val="-17"/>
        </w:rPr>
        <w:t xml:space="preserve"> </w:t>
      </w:r>
      <w:r>
        <w:t>of</w:t>
      </w:r>
      <w:r>
        <w:rPr>
          <w:spacing w:val="-17"/>
        </w:rPr>
        <w:t xml:space="preserve"> </w:t>
      </w:r>
      <w:proofErr w:type="spellStart"/>
      <w:r>
        <w:t>wilful</w:t>
      </w:r>
      <w:proofErr w:type="spellEnd"/>
      <w:r>
        <w:rPr>
          <w:spacing w:val="-19"/>
        </w:rPr>
        <w:t xml:space="preserve"> </w:t>
      </w:r>
      <w:r>
        <w:t>misconduct</w:t>
      </w:r>
      <w:r>
        <w:rPr>
          <w:spacing w:val="-18"/>
        </w:rPr>
        <w:t xml:space="preserve"> </w:t>
      </w:r>
      <w:r>
        <w:t>or</w:t>
      </w:r>
      <w:r>
        <w:rPr>
          <w:spacing w:val="-15"/>
        </w:rPr>
        <w:t xml:space="preserve"> </w:t>
      </w:r>
      <w:r>
        <w:t>damages</w:t>
      </w:r>
      <w:r>
        <w:rPr>
          <w:spacing w:val="-17"/>
        </w:rPr>
        <w:t xml:space="preserve"> </w:t>
      </w:r>
      <w:r>
        <w:t>directly</w:t>
      </w:r>
      <w:r>
        <w:rPr>
          <w:spacing w:val="-16"/>
        </w:rPr>
        <w:t xml:space="preserve"> </w:t>
      </w:r>
      <w:r>
        <w:t>caused</w:t>
      </w:r>
      <w:r>
        <w:rPr>
          <w:spacing w:val="-19"/>
        </w:rPr>
        <w:t xml:space="preserve"> </w:t>
      </w:r>
      <w:r>
        <w:t>to</w:t>
      </w:r>
      <w:r>
        <w:rPr>
          <w:spacing w:val="-20"/>
        </w:rPr>
        <w:t xml:space="preserve"> </w:t>
      </w:r>
      <w:r>
        <w:t>natural</w:t>
      </w:r>
      <w:r>
        <w:rPr>
          <w:spacing w:val="-17"/>
        </w:rPr>
        <w:t xml:space="preserve"> </w:t>
      </w:r>
      <w:r>
        <w:t xml:space="preserve">persons, the licensor will in no event be liable for any direct or indirect, material or moral, damages of any kind, arising out of the </w:t>
      </w:r>
      <w:proofErr w:type="spellStart"/>
      <w:r>
        <w:t>licence</w:t>
      </w:r>
      <w:proofErr w:type="spellEnd"/>
      <w:r>
        <w:t xml:space="preserve"> or of the use of the Work, including without limitation, damages for loss of goodwill, work stoppage, computer failure or malfunction, loss of data or any commercial damage, even if the licensor has been advised of the possibility of such damage. However, the licensor will be liable under statutory pro</w:t>
      </w:r>
      <w:r>
        <w:t>duct liability laws as far as such laws apply to the</w:t>
      </w:r>
      <w:r>
        <w:rPr>
          <w:spacing w:val="-6"/>
        </w:rPr>
        <w:t xml:space="preserve"> </w:t>
      </w:r>
      <w:r>
        <w:t>Work.</w:t>
      </w:r>
    </w:p>
    <w:p w14:paraId="1E11DCFE" w14:textId="77777777" w:rsidR="00D757DA" w:rsidRDefault="00D757DA">
      <w:pPr>
        <w:pStyle w:val="Zkladntext"/>
        <w:spacing w:before="8"/>
        <w:rPr>
          <w:sz w:val="20"/>
        </w:rPr>
      </w:pPr>
    </w:p>
    <w:p w14:paraId="2E57CC86" w14:textId="77777777" w:rsidR="00D757DA" w:rsidRDefault="0033254E">
      <w:pPr>
        <w:pStyle w:val="Odstavecseseznamem"/>
        <w:numPr>
          <w:ilvl w:val="1"/>
          <w:numId w:val="16"/>
        </w:numPr>
        <w:tabs>
          <w:tab w:val="left" w:pos="829"/>
        </w:tabs>
        <w:ind w:right="1433" w:firstLine="0"/>
        <w:jc w:val="both"/>
      </w:pPr>
      <w:r>
        <w:t>Furthermore, the licensor shall in no event be liable for any commercial or other damages arising from the licensee’s failure to of use and/or lack of entitlement to use additional software (e.g. database server, application server) which is necessary to make the Original Work into a workable</w:t>
      </w:r>
      <w:r>
        <w:rPr>
          <w:spacing w:val="-4"/>
        </w:rPr>
        <w:t xml:space="preserve"> </w:t>
      </w:r>
      <w:r>
        <w:t>system.</w:t>
      </w:r>
    </w:p>
    <w:p w14:paraId="794DF8C2" w14:textId="77777777" w:rsidR="00D757DA" w:rsidRDefault="00D757DA">
      <w:pPr>
        <w:pStyle w:val="Zkladntext"/>
        <w:rPr>
          <w:sz w:val="21"/>
        </w:rPr>
      </w:pPr>
    </w:p>
    <w:p w14:paraId="3F4D20A4" w14:textId="77777777" w:rsidR="00D757DA" w:rsidRDefault="0033254E">
      <w:pPr>
        <w:pStyle w:val="Odstavecseseznamem"/>
        <w:numPr>
          <w:ilvl w:val="1"/>
          <w:numId w:val="16"/>
        </w:numPr>
        <w:tabs>
          <w:tab w:val="left" w:pos="829"/>
        </w:tabs>
        <w:ind w:right="1441" w:firstLine="0"/>
        <w:jc w:val="both"/>
      </w:pPr>
      <w:r>
        <w:t xml:space="preserve">The </w:t>
      </w:r>
      <w:proofErr w:type="spellStart"/>
      <w:r>
        <w:t>licence</w:t>
      </w:r>
      <w:proofErr w:type="spellEnd"/>
      <w:r>
        <w:t xml:space="preserve"> and the rights granted hereunder will terminate automatically upon any breach by the licensee of the terms of the</w:t>
      </w:r>
      <w:r>
        <w:rPr>
          <w:spacing w:val="-12"/>
        </w:rPr>
        <w:t xml:space="preserve"> </w:t>
      </w:r>
      <w:proofErr w:type="spellStart"/>
      <w:r>
        <w:t>licence</w:t>
      </w:r>
      <w:proofErr w:type="spellEnd"/>
      <w:r>
        <w:t>.</w:t>
      </w:r>
    </w:p>
    <w:p w14:paraId="0CE9F84A" w14:textId="77777777" w:rsidR="00D757DA" w:rsidRDefault="00D757DA">
      <w:pPr>
        <w:pStyle w:val="Zkladntext"/>
        <w:spacing w:before="11"/>
        <w:rPr>
          <w:sz w:val="20"/>
        </w:rPr>
      </w:pPr>
    </w:p>
    <w:p w14:paraId="06E6F804" w14:textId="77777777" w:rsidR="00D757DA" w:rsidRDefault="0033254E">
      <w:pPr>
        <w:pStyle w:val="Odstavecseseznamem"/>
        <w:numPr>
          <w:ilvl w:val="1"/>
          <w:numId w:val="16"/>
        </w:numPr>
        <w:tabs>
          <w:tab w:val="left" w:pos="829"/>
        </w:tabs>
        <w:ind w:right="1441" w:firstLine="0"/>
        <w:jc w:val="both"/>
      </w:pPr>
      <w:r>
        <w:t xml:space="preserve">Without prejudice to the possibility to complete additional agreements, the </w:t>
      </w:r>
      <w:proofErr w:type="spellStart"/>
      <w:r>
        <w:t>licence</w:t>
      </w:r>
      <w:proofErr w:type="spellEnd"/>
      <w:r>
        <w:t xml:space="preserve"> represents the complete agreement between the Parties as to the Work licensed hereunder. This </w:t>
      </w:r>
      <w:proofErr w:type="spellStart"/>
      <w:r>
        <w:t>licence</w:t>
      </w:r>
      <w:proofErr w:type="spellEnd"/>
      <w:r>
        <w:t xml:space="preserve"> may be extended upon the written consent of both</w:t>
      </w:r>
      <w:r>
        <w:rPr>
          <w:spacing w:val="-9"/>
        </w:rPr>
        <w:t xml:space="preserve"> </w:t>
      </w:r>
      <w:r>
        <w:t>Parties.</w:t>
      </w:r>
    </w:p>
    <w:p w14:paraId="65C56FB7" w14:textId="77777777" w:rsidR="00D757DA" w:rsidRDefault="00D757DA">
      <w:pPr>
        <w:pStyle w:val="Zkladntext"/>
        <w:spacing w:before="9"/>
        <w:rPr>
          <w:sz w:val="20"/>
        </w:rPr>
      </w:pPr>
    </w:p>
    <w:p w14:paraId="625BBD82" w14:textId="77777777" w:rsidR="00D757DA" w:rsidRDefault="0033254E">
      <w:pPr>
        <w:pStyle w:val="Odstavecseseznamem"/>
        <w:numPr>
          <w:ilvl w:val="1"/>
          <w:numId w:val="16"/>
        </w:numPr>
        <w:tabs>
          <w:tab w:val="left" w:pos="829"/>
        </w:tabs>
        <w:ind w:right="1436" w:firstLine="0"/>
        <w:jc w:val="both"/>
      </w:pPr>
      <w:r>
        <w:t>If</w:t>
      </w:r>
      <w:r>
        <w:rPr>
          <w:spacing w:val="-7"/>
        </w:rPr>
        <w:t xml:space="preserve"> </w:t>
      </w:r>
      <w:r>
        <w:t>any</w:t>
      </w:r>
      <w:r>
        <w:rPr>
          <w:spacing w:val="-5"/>
        </w:rPr>
        <w:t xml:space="preserve"> </w:t>
      </w:r>
      <w:r>
        <w:t>provision</w:t>
      </w:r>
      <w:r>
        <w:rPr>
          <w:spacing w:val="-5"/>
        </w:rPr>
        <w:t xml:space="preserve"> </w:t>
      </w:r>
      <w:r>
        <w:t>of</w:t>
      </w:r>
      <w:r>
        <w:rPr>
          <w:spacing w:val="-6"/>
        </w:rPr>
        <w:t xml:space="preserve"> </w:t>
      </w:r>
      <w:r>
        <w:t>the</w:t>
      </w:r>
      <w:r>
        <w:rPr>
          <w:spacing w:val="-5"/>
        </w:rPr>
        <w:t xml:space="preserve"> </w:t>
      </w:r>
      <w:proofErr w:type="spellStart"/>
      <w:r>
        <w:t>licence</w:t>
      </w:r>
      <w:proofErr w:type="spellEnd"/>
      <w:r>
        <w:rPr>
          <w:spacing w:val="-6"/>
        </w:rPr>
        <w:t xml:space="preserve"> </w:t>
      </w:r>
      <w:r>
        <w:t>is</w:t>
      </w:r>
      <w:r>
        <w:rPr>
          <w:spacing w:val="-5"/>
        </w:rPr>
        <w:t xml:space="preserve"> </w:t>
      </w:r>
      <w:r>
        <w:t>invalid</w:t>
      </w:r>
      <w:r>
        <w:rPr>
          <w:spacing w:val="-5"/>
        </w:rPr>
        <w:t xml:space="preserve"> </w:t>
      </w:r>
      <w:r>
        <w:t>or</w:t>
      </w:r>
      <w:r>
        <w:rPr>
          <w:spacing w:val="-7"/>
        </w:rPr>
        <w:t xml:space="preserve"> </w:t>
      </w:r>
      <w:r>
        <w:t>unenforceable</w:t>
      </w:r>
      <w:r>
        <w:rPr>
          <w:spacing w:val="-5"/>
        </w:rPr>
        <w:t xml:space="preserve"> </w:t>
      </w:r>
      <w:r>
        <w:t>under</w:t>
      </w:r>
      <w:r>
        <w:rPr>
          <w:spacing w:val="-7"/>
        </w:rPr>
        <w:t xml:space="preserve"> </w:t>
      </w:r>
      <w:r>
        <w:t>the</w:t>
      </w:r>
      <w:r>
        <w:rPr>
          <w:spacing w:val="-8"/>
        </w:rPr>
        <w:t xml:space="preserve"> </w:t>
      </w:r>
      <w:r>
        <w:t>applicable</w:t>
      </w:r>
      <w:r>
        <w:rPr>
          <w:spacing w:val="-5"/>
        </w:rPr>
        <w:t xml:space="preserve"> </w:t>
      </w:r>
      <w:r>
        <w:t>law,</w:t>
      </w:r>
      <w:r>
        <w:rPr>
          <w:spacing w:val="-4"/>
        </w:rPr>
        <w:t xml:space="preserve"> </w:t>
      </w:r>
      <w:r>
        <w:t xml:space="preserve">this will not affect the validity or enforceability of the </w:t>
      </w:r>
      <w:proofErr w:type="spellStart"/>
      <w:r>
        <w:t>Licence</w:t>
      </w:r>
      <w:proofErr w:type="spellEnd"/>
      <w:r>
        <w:t xml:space="preserve"> as a whole. Such provision will be construed and/or reformed as necessary to make it valid and</w:t>
      </w:r>
      <w:r>
        <w:rPr>
          <w:spacing w:val="-16"/>
        </w:rPr>
        <w:t xml:space="preserve"> </w:t>
      </w:r>
      <w:r>
        <w:t>enforceable.</w:t>
      </w:r>
    </w:p>
    <w:p w14:paraId="748211FE" w14:textId="77777777" w:rsidR="00D757DA" w:rsidRDefault="00D757DA">
      <w:pPr>
        <w:jc w:val="both"/>
        <w:sectPr w:rsidR="00D757DA">
          <w:pgSz w:w="11910" w:h="16840"/>
          <w:pgMar w:top="1340" w:right="0" w:bottom="1160" w:left="1320" w:header="0" w:footer="881" w:gutter="0"/>
          <w:cols w:space="708"/>
        </w:sectPr>
      </w:pPr>
    </w:p>
    <w:p w14:paraId="3CF94173" w14:textId="77777777" w:rsidR="00D757DA" w:rsidRDefault="0033254E">
      <w:pPr>
        <w:pStyle w:val="Odstavecseseznamem"/>
        <w:numPr>
          <w:ilvl w:val="1"/>
          <w:numId w:val="16"/>
        </w:numPr>
        <w:tabs>
          <w:tab w:val="left" w:pos="829"/>
        </w:tabs>
        <w:spacing w:before="81"/>
        <w:ind w:left="828" w:hanging="709"/>
        <w:jc w:val="both"/>
      </w:pPr>
      <w:r>
        <w:lastRenderedPageBreak/>
        <w:t xml:space="preserve">The </w:t>
      </w:r>
      <w:proofErr w:type="spellStart"/>
      <w:r>
        <w:t>Licence</w:t>
      </w:r>
      <w:proofErr w:type="spellEnd"/>
      <w:r>
        <w:t xml:space="preserve"> shall be governed by the law of</w:t>
      </w:r>
      <w:r>
        <w:rPr>
          <w:spacing w:val="-10"/>
        </w:rPr>
        <w:t xml:space="preserve"> </w:t>
      </w:r>
      <w:r>
        <w:t>Spain.</w:t>
      </w:r>
    </w:p>
    <w:p w14:paraId="41509C23" w14:textId="77777777" w:rsidR="00D757DA" w:rsidRDefault="00D757DA">
      <w:pPr>
        <w:pStyle w:val="Zkladntext"/>
        <w:spacing w:before="3"/>
        <w:rPr>
          <w:sz w:val="31"/>
        </w:rPr>
      </w:pPr>
    </w:p>
    <w:p w14:paraId="4C82CFDE" w14:textId="77777777" w:rsidR="00D757DA" w:rsidRDefault="0033254E">
      <w:pPr>
        <w:pStyle w:val="Nadpis3"/>
      </w:pPr>
      <w:bookmarkStart w:id="48" w:name="ARTICLE_37_-_PARTICIPATION_IN_EU_FUNDED_"/>
      <w:bookmarkEnd w:id="48"/>
      <w:r>
        <w:t>ARTICLE 37 - PARTICIPATION IN EU FUNDED PROJECTS IN THIRD COUNTRIES</w:t>
      </w:r>
    </w:p>
    <w:p w14:paraId="516D59BB" w14:textId="77777777" w:rsidR="00D757DA" w:rsidRDefault="00D757DA">
      <w:pPr>
        <w:pStyle w:val="Zkladntext"/>
        <w:rPr>
          <w:b/>
          <w:sz w:val="21"/>
        </w:rPr>
      </w:pPr>
    </w:p>
    <w:p w14:paraId="6B182BDB" w14:textId="77777777" w:rsidR="00D757DA" w:rsidRDefault="0033254E">
      <w:pPr>
        <w:pStyle w:val="Odstavecseseznamem"/>
        <w:numPr>
          <w:ilvl w:val="1"/>
          <w:numId w:val="15"/>
        </w:numPr>
        <w:tabs>
          <w:tab w:val="left" w:pos="841"/>
        </w:tabs>
        <w:ind w:right="1440" w:firstLine="0"/>
        <w:jc w:val="both"/>
      </w:pPr>
      <w:r>
        <w:t>The IPO agrees to collaborate with the EUIPO, upon request by the latter and on a voluntary basis, in implementing joint actions where the IPO can share its knowledge, skills and</w:t>
      </w:r>
      <w:r>
        <w:rPr>
          <w:spacing w:val="-1"/>
        </w:rPr>
        <w:t xml:space="preserve"> </w:t>
      </w:r>
      <w:r>
        <w:t>expertise.</w:t>
      </w:r>
    </w:p>
    <w:p w14:paraId="195750FE" w14:textId="77777777" w:rsidR="00D757DA" w:rsidRDefault="0033254E">
      <w:pPr>
        <w:pStyle w:val="Odstavecseseznamem"/>
        <w:numPr>
          <w:ilvl w:val="1"/>
          <w:numId w:val="15"/>
        </w:numPr>
        <w:tabs>
          <w:tab w:val="left" w:pos="841"/>
        </w:tabs>
        <w:ind w:right="1434" w:firstLine="0"/>
        <w:jc w:val="both"/>
      </w:pPr>
      <w:r>
        <w:t>Following the definition of periodical Annual Work Plans and after agreement with the European Commission, the EUIPO will contact, if applicable, the interested IPO providing specific</w:t>
      </w:r>
      <w:r>
        <w:rPr>
          <w:spacing w:val="-5"/>
        </w:rPr>
        <w:t xml:space="preserve"> </w:t>
      </w:r>
      <w:r>
        <w:t>information</w:t>
      </w:r>
      <w:r>
        <w:rPr>
          <w:spacing w:val="-6"/>
        </w:rPr>
        <w:t xml:space="preserve"> </w:t>
      </w:r>
      <w:r>
        <w:t>on</w:t>
      </w:r>
      <w:r>
        <w:rPr>
          <w:spacing w:val="-7"/>
        </w:rPr>
        <w:t xml:space="preserve"> </w:t>
      </w:r>
      <w:r>
        <w:t>the</w:t>
      </w:r>
      <w:r>
        <w:rPr>
          <w:spacing w:val="-4"/>
        </w:rPr>
        <w:t xml:space="preserve"> </w:t>
      </w:r>
      <w:r>
        <w:t>task</w:t>
      </w:r>
      <w:r>
        <w:rPr>
          <w:spacing w:val="-7"/>
        </w:rPr>
        <w:t xml:space="preserve"> </w:t>
      </w:r>
      <w:r>
        <w:t>to</w:t>
      </w:r>
      <w:r>
        <w:rPr>
          <w:spacing w:val="-6"/>
        </w:rPr>
        <w:t xml:space="preserve"> </w:t>
      </w:r>
      <w:r>
        <w:t>be</w:t>
      </w:r>
      <w:r>
        <w:rPr>
          <w:spacing w:val="-7"/>
        </w:rPr>
        <w:t xml:space="preserve"> </w:t>
      </w:r>
      <w:r>
        <w:t>performed,</w:t>
      </w:r>
      <w:r>
        <w:rPr>
          <w:spacing w:val="-5"/>
        </w:rPr>
        <w:t xml:space="preserve"> </w:t>
      </w:r>
      <w:r>
        <w:t>deliverables</w:t>
      </w:r>
      <w:r>
        <w:rPr>
          <w:spacing w:val="-5"/>
        </w:rPr>
        <w:t xml:space="preserve"> </w:t>
      </w:r>
      <w:r>
        <w:t>and</w:t>
      </w:r>
      <w:r>
        <w:rPr>
          <w:spacing w:val="-6"/>
        </w:rPr>
        <w:t xml:space="preserve"> </w:t>
      </w:r>
      <w:r>
        <w:t>the</w:t>
      </w:r>
      <w:r>
        <w:rPr>
          <w:spacing w:val="-9"/>
        </w:rPr>
        <w:t xml:space="preserve"> </w:t>
      </w:r>
      <w:r>
        <w:t>IPO</w:t>
      </w:r>
      <w:r>
        <w:rPr>
          <w:spacing w:val="-7"/>
        </w:rPr>
        <w:t xml:space="preserve"> </w:t>
      </w:r>
      <w:r>
        <w:t>Expert´s</w:t>
      </w:r>
      <w:r>
        <w:rPr>
          <w:spacing w:val="-6"/>
        </w:rPr>
        <w:t xml:space="preserve"> </w:t>
      </w:r>
      <w:r>
        <w:t>rights</w:t>
      </w:r>
      <w:r>
        <w:rPr>
          <w:spacing w:val="-7"/>
        </w:rPr>
        <w:t xml:space="preserve"> </w:t>
      </w:r>
      <w:r>
        <w:t>and obligations.</w:t>
      </w:r>
    </w:p>
    <w:p w14:paraId="45CAF16C" w14:textId="77777777" w:rsidR="00D757DA" w:rsidRDefault="00D757DA">
      <w:pPr>
        <w:pStyle w:val="Zkladntext"/>
        <w:spacing w:before="11"/>
        <w:rPr>
          <w:sz w:val="21"/>
        </w:rPr>
      </w:pPr>
    </w:p>
    <w:p w14:paraId="159C8B36" w14:textId="77777777" w:rsidR="00D757DA" w:rsidRDefault="0033254E">
      <w:pPr>
        <w:pStyle w:val="Odstavecseseznamem"/>
        <w:numPr>
          <w:ilvl w:val="1"/>
          <w:numId w:val="15"/>
        </w:numPr>
        <w:tabs>
          <w:tab w:val="left" w:pos="841"/>
        </w:tabs>
        <w:ind w:right="1436" w:firstLine="0"/>
        <w:jc w:val="both"/>
      </w:pPr>
      <w:r>
        <w:t>The IPO shall confirm the availability of the IPO Expert within five calendar days. A specific agreement shall be endorsed by the IPO and the EUIPO for this</w:t>
      </w:r>
      <w:r>
        <w:rPr>
          <w:spacing w:val="-21"/>
        </w:rPr>
        <w:t xml:space="preserve"> </w:t>
      </w:r>
      <w:r>
        <w:t>purpose.</w:t>
      </w:r>
    </w:p>
    <w:p w14:paraId="31955B54" w14:textId="77777777" w:rsidR="00D757DA" w:rsidRDefault="00D757DA">
      <w:pPr>
        <w:pStyle w:val="Zkladntext"/>
      </w:pPr>
    </w:p>
    <w:p w14:paraId="49DD6EA5" w14:textId="77777777" w:rsidR="00D757DA" w:rsidRDefault="0033254E">
      <w:pPr>
        <w:pStyle w:val="Odstavecseseznamem"/>
        <w:numPr>
          <w:ilvl w:val="1"/>
          <w:numId w:val="15"/>
        </w:numPr>
        <w:tabs>
          <w:tab w:val="left" w:pos="841"/>
        </w:tabs>
        <w:ind w:right="1434" w:firstLine="0"/>
        <w:jc w:val="both"/>
      </w:pPr>
      <w:r>
        <w:t xml:space="preserve">The cost of the IPO Expert´s participation including, </w:t>
      </w:r>
      <w:r>
        <w:rPr>
          <w:i/>
        </w:rPr>
        <w:t>inter alia</w:t>
      </w:r>
      <w:r>
        <w:t>, per diems, travel, local transport,</w:t>
      </w:r>
      <w:r>
        <w:rPr>
          <w:spacing w:val="-7"/>
        </w:rPr>
        <w:t xml:space="preserve"> </w:t>
      </w:r>
      <w:r>
        <w:t>visa</w:t>
      </w:r>
      <w:r>
        <w:rPr>
          <w:spacing w:val="-9"/>
        </w:rPr>
        <w:t xml:space="preserve"> </w:t>
      </w:r>
      <w:r>
        <w:t>costs,</w:t>
      </w:r>
      <w:r>
        <w:rPr>
          <w:spacing w:val="-8"/>
        </w:rPr>
        <w:t xml:space="preserve"> </w:t>
      </w:r>
      <w:r>
        <w:t>additional</w:t>
      </w:r>
      <w:r>
        <w:rPr>
          <w:spacing w:val="-8"/>
        </w:rPr>
        <w:t xml:space="preserve"> </w:t>
      </w:r>
      <w:r>
        <w:t>insurance</w:t>
      </w:r>
      <w:r>
        <w:rPr>
          <w:spacing w:val="-7"/>
        </w:rPr>
        <w:t xml:space="preserve"> </w:t>
      </w:r>
      <w:r>
        <w:t>for</w:t>
      </w:r>
      <w:r>
        <w:rPr>
          <w:spacing w:val="-6"/>
        </w:rPr>
        <w:t xml:space="preserve"> </w:t>
      </w:r>
      <w:r>
        <w:t>non-EU</w:t>
      </w:r>
      <w:r>
        <w:rPr>
          <w:spacing w:val="-8"/>
        </w:rPr>
        <w:t xml:space="preserve"> </w:t>
      </w:r>
      <w:r>
        <w:t>countries,</w:t>
      </w:r>
      <w:r>
        <w:rPr>
          <w:spacing w:val="-6"/>
        </w:rPr>
        <w:t xml:space="preserve"> </w:t>
      </w:r>
      <w:r>
        <w:t>and</w:t>
      </w:r>
      <w:r>
        <w:rPr>
          <w:spacing w:val="-10"/>
        </w:rPr>
        <w:t xml:space="preserve"> </w:t>
      </w:r>
      <w:r>
        <w:t>any</w:t>
      </w:r>
      <w:r>
        <w:rPr>
          <w:spacing w:val="-7"/>
        </w:rPr>
        <w:t xml:space="preserve"> </w:t>
      </w:r>
      <w:r>
        <w:t>other</w:t>
      </w:r>
      <w:r>
        <w:rPr>
          <w:spacing w:val="-6"/>
        </w:rPr>
        <w:t xml:space="preserve"> </w:t>
      </w:r>
      <w:r>
        <w:t>cost</w:t>
      </w:r>
      <w:r>
        <w:rPr>
          <w:spacing w:val="-6"/>
        </w:rPr>
        <w:t xml:space="preserve"> </w:t>
      </w:r>
      <w:r>
        <w:t>agreed</w:t>
      </w:r>
      <w:r>
        <w:rPr>
          <w:spacing w:val="-7"/>
        </w:rPr>
        <w:t xml:space="preserve"> </w:t>
      </w:r>
      <w:r>
        <w:t xml:space="preserve">by the Parties by separate specific agreement shall be disbursed directly to the IPO Expert </w:t>
      </w:r>
      <w:r>
        <w:rPr>
          <w:spacing w:val="-3"/>
        </w:rPr>
        <w:t xml:space="preserve">by </w:t>
      </w:r>
      <w:r>
        <w:t>the EUIPO adhering to the applicable</w:t>
      </w:r>
      <w:r>
        <w:rPr>
          <w:spacing w:val="-4"/>
        </w:rPr>
        <w:t xml:space="preserve"> </w:t>
      </w:r>
      <w:r>
        <w:t>provisions.</w:t>
      </w:r>
    </w:p>
    <w:p w14:paraId="4EEA9492" w14:textId="77777777" w:rsidR="00D757DA" w:rsidRDefault="00D757DA">
      <w:pPr>
        <w:pStyle w:val="Zkladntext"/>
      </w:pPr>
    </w:p>
    <w:p w14:paraId="18527CB5" w14:textId="77777777" w:rsidR="00D757DA" w:rsidRDefault="0033254E">
      <w:pPr>
        <w:pStyle w:val="Odstavecseseznamem"/>
        <w:numPr>
          <w:ilvl w:val="1"/>
          <w:numId w:val="15"/>
        </w:numPr>
        <w:tabs>
          <w:tab w:val="left" w:pos="841"/>
        </w:tabs>
        <w:ind w:right="1436" w:firstLine="0"/>
        <w:jc w:val="both"/>
      </w:pPr>
      <w:r>
        <w:t>The proportional monthly salary is an eligible cost for reimbursement to the IPO. The payment</w:t>
      </w:r>
      <w:r>
        <w:rPr>
          <w:spacing w:val="-8"/>
        </w:rPr>
        <w:t xml:space="preserve"> </w:t>
      </w:r>
      <w:r>
        <w:t>will</w:t>
      </w:r>
      <w:r>
        <w:rPr>
          <w:spacing w:val="-7"/>
        </w:rPr>
        <w:t xml:space="preserve"> </w:t>
      </w:r>
      <w:r>
        <w:t>be</w:t>
      </w:r>
      <w:r>
        <w:rPr>
          <w:spacing w:val="-7"/>
        </w:rPr>
        <w:t xml:space="preserve"> </w:t>
      </w:r>
      <w:r>
        <w:t>based</w:t>
      </w:r>
      <w:r>
        <w:rPr>
          <w:spacing w:val="-7"/>
        </w:rPr>
        <w:t xml:space="preserve"> </w:t>
      </w:r>
      <w:r>
        <w:t>on</w:t>
      </w:r>
      <w:r>
        <w:rPr>
          <w:spacing w:val="-7"/>
        </w:rPr>
        <w:t xml:space="preserve"> </w:t>
      </w:r>
      <w:r>
        <w:t>the</w:t>
      </w:r>
      <w:r>
        <w:rPr>
          <w:spacing w:val="-7"/>
        </w:rPr>
        <w:t xml:space="preserve"> </w:t>
      </w:r>
      <w:r>
        <w:t>IP</w:t>
      </w:r>
      <w:r>
        <w:rPr>
          <w:spacing w:val="-9"/>
        </w:rPr>
        <w:t xml:space="preserve"> </w:t>
      </w:r>
      <w:r>
        <w:t>Expert´s</w:t>
      </w:r>
      <w:r>
        <w:rPr>
          <w:spacing w:val="-8"/>
        </w:rPr>
        <w:t xml:space="preserve"> </w:t>
      </w:r>
      <w:r>
        <w:t>monthly</w:t>
      </w:r>
      <w:r>
        <w:rPr>
          <w:spacing w:val="-6"/>
        </w:rPr>
        <w:t xml:space="preserve"> </w:t>
      </w:r>
      <w:proofErr w:type="spellStart"/>
      <w:r>
        <w:t>payslips</w:t>
      </w:r>
      <w:proofErr w:type="spellEnd"/>
      <w:r>
        <w:rPr>
          <w:spacing w:val="-6"/>
        </w:rPr>
        <w:t xml:space="preserve"> </w:t>
      </w:r>
      <w:r>
        <w:t>and</w:t>
      </w:r>
      <w:r>
        <w:rPr>
          <w:spacing w:val="-6"/>
        </w:rPr>
        <w:t xml:space="preserve"> </w:t>
      </w:r>
      <w:r>
        <w:t>will</w:t>
      </w:r>
      <w:r>
        <w:rPr>
          <w:spacing w:val="-7"/>
        </w:rPr>
        <w:t xml:space="preserve"> </w:t>
      </w:r>
      <w:r>
        <w:t>be</w:t>
      </w:r>
      <w:r>
        <w:rPr>
          <w:spacing w:val="-8"/>
        </w:rPr>
        <w:t xml:space="preserve"> </w:t>
      </w:r>
      <w:r>
        <w:t>disbursed</w:t>
      </w:r>
      <w:r>
        <w:rPr>
          <w:spacing w:val="-6"/>
        </w:rPr>
        <w:t xml:space="preserve"> </w:t>
      </w:r>
      <w:r>
        <w:t>following</w:t>
      </w:r>
      <w:r>
        <w:rPr>
          <w:spacing w:val="-7"/>
        </w:rPr>
        <w:t xml:space="preserve"> </w:t>
      </w:r>
      <w:r>
        <w:t>the presentation of relevant supporting</w:t>
      </w:r>
      <w:r>
        <w:rPr>
          <w:spacing w:val="-4"/>
        </w:rPr>
        <w:t xml:space="preserve"> </w:t>
      </w:r>
      <w:r>
        <w:t>documents.</w:t>
      </w:r>
    </w:p>
    <w:p w14:paraId="2F86F329" w14:textId="77777777" w:rsidR="00D757DA" w:rsidRDefault="00D757DA">
      <w:pPr>
        <w:jc w:val="both"/>
        <w:sectPr w:rsidR="00D757DA">
          <w:pgSz w:w="11910" w:h="16840"/>
          <w:pgMar w:top="1340" w:right="0" w:bottom="1160" w:left="1320" w:header="0" w:footer="881" w:gutter="0"/>
          <w:cols w:space="708"/>
        </w:sectPr>
      </w:pPr>
    </w:p>
    <w:p w14:paraId="672B49B4" w14:textId="77777777" w:rsidR="00D757DA" w:rsidRDefault="0033254E">
      <w:pPr>
        <w:spacing w:before="62" w:line="368" w:lineRule="exact"/>
        <w:ind w:left="120"/>
        <w:jc w:val="both"/>
        <w:rPr>
          <w:b/>
          <w:sz w:val="32"/>
        </w:rPr>
      </w:pPr>
      <w:bookmarkStart w:id="49" w:name="Annex_III_-_Activity_Specifications,_inc"/>
      <w:bookmarkEnd w:id="49"/>
      <w:r>
        <w:rPr>
          <w:b/>
          <w:sz w:val="32"/>
        </w:rPr>
        <w:lastRenderedPageBreak/>
        <w:t>A</w:t>
      </w:r>
      <w:r>
        <w:rPr>
          <w:b/>
          <w:sz w:val="26"/>
        </w:rPr>
        <w:t xml:space="preserve">NNEX   </w:t>
      </w:r>
      <w:proofErr w:type="gramStart"/>
      <w:r>
        <w:rPr>
          <w:b/>
          <w:sz w:val="32"/>
        </w:rPr>
        <w:t>III  -</w:t>
      </w:r>
      <w:proofErr w:type="gramEnd"/>
      <w:r>
        <w:rPr>
          <w:b/>
          <w:sz w:val="32"/>
        </w:rPr>
        <w:t xml:space="preserve">  A</w:t>
      </w:r>
      <w:r>
        <w:rPr>
          <w:b/>
          <w:sz w:val="26"/>
        </w:rPr>
        <w:t xml:space="preserve">CTIVITY   </w:t>
      </w:r>
      <w:r>
        <w:rPr>
          <w:b/>
          <w:sz w:val="32"/>
        </w:rPr>
        <w:t>S</w:t>
      </w:r>
      <w:r>
        <w:rPr>
          <w:b/>
          <w:sz w:val="26"/>
        </w:rPr>
        <w:t>PECIFICATIONS</w:t>
      </w:r>
      <w:r>
        <w:rPr>
          <w:b/>
          <w:sz w:val="32"/>
        </w:rPr>
        <w:t xml:space="preserve">,  </w:t>
      </w:r>
      <w:r>
        <w:rPr>
          <w:b/>
          <w:sz w:val="26"/>
        </w:rPr>
        <w:t xml:space="preserve">INCLUDING  </w:t>
      </w:r>
      <w:r>
        <w:rPr>
          <w:b/>
          <w:spacing w:val="16"/>
          <w:sz w:val="26"/>
        </w:rPr>
        <w:t xml:space="preserve"> </w:t>
      </w:r>
      <w:r>
        <w:rPr>
          <w:b/>
          <w:sz w:val="32"/>
        </w:rPr>
        <w:t>RESULTS</w:t>
      </w:r>
    </w:p>
    <w:p w14:paraId="02B7681E" w14:textId="77777777" w:rsidR="00D757DA" w:rsidRDefault="0033254E">
      <w:pPr>
        <w:spacing w:line="368" w:lineRule="exact"/>
        <w:ind w:left="120"/>
        <w:jc w:val="both"/>
        <w:rPr>
          <w:b/>
          <w:sz w:val="26"/>
        </w:rPr>
      </w:pPr>
      <w:r>
        <w:rPr>
          <w:b/>
          <w:sz w:val="26"/>
        </w:rPr>
        <w:t>AND</w:t>
      </w:r>
      <w:r>
        <w:rPr>
          <w:b/>
          <w:sz w:val="32"/>
        </w:rPr>
        <w:t>/</w:t>
      </w:r>
      <w:r>
        <w:rPr>
          <w:b/>
          <w:sz w:val="26"/>
        </w:rPr>
        <w:t>OR</w:t>
      </w:r>
      <w:r>
        <w:rPr>
          <w:b/>
          <w:spacing w:val="-18"/>
          <w:sz w:val="26"/>
        </w:rPr>
        <w:t xml:space="preserve"> </w:t>
      </w:r>
      <w:r>
        <w:rPr>
          <w:b/>
          <w:sz w:val="32"/>
        </w:rPr>
        <w:t>KPI</w:t>
      </w:r>
      <w:r>
        <w:rPr>
          <w:b/>
          <w:sz w:val="26"/>
        </w:rPr>
        <w:t>S</w:t>
      </w:r>
      <w:r>
        <w:rPr>
          <w:b/>
          <w:spacing w:val="-19"/>
          <w:sz w:val="26"/>
        </w:rPr>
        <w:t xml:space="preserve"> </w:t>
      </w:r>
      <w:r>
        <w:rPr>
          <w:b/>
          <w:sz w:val="26"/>
        </w:rPr>
        <w:t>GENERATED</w:t>
      </w:r>
      <w:r>
        <w:rPr>
          <w:b/>
          <w:spacing w:val="-19"/>
          <w:sz w:val="26"/>
        </w:rPr>
        <w:t xml:space="preserve"> </w:t>
      </w:r>
      <w:r>
        <w:rPr>
          <w:b/>
          <w:sz w:val="26"/>
        </w:rPr>
        <w:t>THROUGH</w:t>
      </w:r>
      <w:r>
        <w:rPr>
          <w:b/>
          <w:spacing w:val="-17"/>
          <w:sz w:val="26"/>
        </w:rPr>
        <w:t xml:space="preserve"> </w:t>
      </w:r>
      <w:r>
        <w:rPr>
          <w:b/>
          <w:sz w:val="26"/>
        </w:rPr>
        <w:t>THE</w:t>
      </w:r>
      <w:r>
        <w:rPr>
          <w:b/>
          <w:spacing w:val="-17"/>
          <w:sz w:val="26"/>
        </w:rPr>
        <w:t xml:space="preserve"> </w:t>
      </w:r>
      <w:r>
        <w:rPr>
          <w:b/>
          <w:sz w:val="32"/>
        </w:rPr>
        <w:t>C</w:t>
      </w:r>
      <w:r>
        <w:rPr>
          <w:b/>
          <w:sz w:val="26"/>
        </w:rPr>
        <w:t>OOPERATION</w:t>
      </w:r>
      <w:r>
        <w:rPr>
          <w:b/>
          <w:spacing w:val="-19"/>
          <w:sz w:val="26"/>
        </w:rPr>
        <w:t xml:space="preserve"> </w:t>
      </w:r>
      <w:r>
        <w:rPr>
          <w:b/>
          <w:sz w:val="32"/>
        </w:rPr>
        <w:t>P</w:t>
      </w:r>
      <w:r>
        <w:rPr>
          <w:b/>
          <w:sz w:val="26"/>
        </w:rPr>
        <w:t>LATFORM</w:t>
      </w:r>
    </w:p>
    <w:p w14:paraId="512205B0" w14:textId="77777777" w:rsidR="00D757DA" w:rsidRDefault="0033254E">
      <w:pPr>
        <w:pStyle w:val="Nadpis3"/>
        <w:spacing w:before="241"/>
        <w:jc w:val="both"/>
      </w:pPr>
      <w:bookmarkStart w:id="50" w:name="ARTICLE_38-_MILESTONES_AND_KPIs"/>
      <w:bookmarkEnd w:id="50"/>
      <w:r>
        <w:t>ARTICLE 38- MILESTONES AND KPIs</w:t>
      </w:r>
    </w:p>
    <w:p w14:paraId="21411306" w14:textId="77777777" w:rsidR="00D757DA" w:rsidRDefault="00D757DA">
      <w:pPr>
        <w:pStyle w:val="Zkladntext"/>
        <w:spacing w:before="9"/>
        <w:rPr>
          <w:b/>
          <w:sz w:val="20"/>
        </w:rPr>
      </w:pPr>
    </w:p>
    <w:p w14:paraId="58838EBE" w14:textId="77777777" w:rsidR="00D757DA" w:rsidRDefault="0033254E">
      <w:pPr>
        <w:pStyle w:val="Zkladntext"/>
        <w:ind w:left="120" w:right="1436"/>
        <w:jc w:val="both"/>
      </w:pPr>
      <w:r>
        <w:t>The IPO shall achieve the results measured by reference to the milestones and/or key performance</w:t>
      </w:r>
      <w:r>
        <w:rPr>
          <w:spacing w:val="-8"/>
        </w:rPr>
        <w:t xml:space="preserve"> </w:t>
      </w:r>
      <w:r>
        <w:t>indicators</w:t>
      </w:r>
      <w:r>
        <w:rPr>
          <w:spacing w:val="-7"/>
        </w:rPr>
        <w:t xml:space="preserve"> </w:t>
      </w:r>
      <w:r>
        <w:t>incorporated</w:t>
      </w:r>
      <w:r>
        <w:rPr>
          <w:spacing w:val="-5"/>
        </w:rPr>
        <w:t xml:space="preserve"> </w:t>
      </w:r>
      <w:r>
        <w:t>in</w:t>
      </w:r>
      <w:r>
        <w:rPr>
          <w:spacing w:val="-8"/>
        </w:rPr>
        <w:t xml:space="preserve"> </w:t>
      </w:r>
      <w:r>
        <w:t>this</w:t>
      </w:r>
      <w:r>
        <w:rPr>
          <w:spacing w:val="-5"/>
        </w:rPr>
        <w:t xml:space="preserve"> </w:t>
      </w:r>
      <w:r>
        <w:t>Annex</w:t>
      </w:r>
      <w:r>
        <w:rPr>
          <w:spacing w:val="-5"/>
        </w:rPr>
        <w:t xml:space="preserve"> </w:t>
      </w:r>
      <w:r>
        <w:t>as</w:t>
      </w:r>
      <w:r>
        <w:rPr>
          <w:spacing w:val="-6"/>
        </w:rPr>
        <w:t xml:space="preserve"> </w:t>
      </w:r>
      <w:r>
        <w:t>generated</w:t>
      </w:r>
      <w:r>
        <w:rPr>
          <w:spacing w:val="-7"/>
        </w:rPr>
        <w:t xml:space="preserve"> </w:t>
      </w:r>
      <w:r>
        <w:t>by</w:t>
      </w:r>
      <w:r>
        <w:rPr>
          <w:spacing w:val="-7"/>
        </w:rPr>
        <w:t xml:space="preserve"> </w:t>
      </w:r>
      <w:r>
        <w:t>the</w:t>
      </w:r>
      <w:r>
        <w:rPr>
          <w:spacing w:val="-5"/>
        </w:rPr>
        <w:t xml:space="preserve"> </w:t>
      </w:r>
      <w:r>
        <w:t>Cooperation</w:t>
      </w:r>
      <w:r>
        <w:rPr>
          <w:spacing w:val="-6"/>
        </w:rPr>
        <w:t xml:space="preserve"> </w:t>
      </w:r>
      <w:r>
        <w:t>Platform. An annex to this provision is added to this</w:t>
      </w:r>
      <w:r>
        <w:rPr>
          <w:spacing w:val="-7"/>
        </w:rPr>
        <w:t xml:space="preserve"> </w:t>
      </w:r>
      <w:r>
        <w:t>end.</w:t>
      </w:r>
    </w:p>
    <w:p w14:paraId="4A07E664" w14:textId="77777777" w:rsidR="00D757DA" w:rsidRDefault="00D757DA">
      <w:pPr>
        <w:jc w:val="both"/>
        <w:sectPr w:rsidR="00D757DA">
          <w:pgSz w:w="11910" w:h="16840"/>
          <w:pgMar w:top="1360" w:right="0" w:bottom="1160" w:left="1320" w:header="0" w:footer="881" w:gutter="0"/>
          <w:cols w:space="708"/>
        </w:sectPr>
      </w:pPr>
    </w:p>
    <w:p w14:paraId="2C1E5C3A" w14:textId="77777777" w:rsidR="00D757DA" w:rsidRDefault="0033254E">
      <w:pPr>
        <w:pStyle w:val="Nadpis1"/>
        <w:spacing w:before="62"/>
      </w:pPr>
      <w:bookmarkStart w:id="51" w:name="Annex_IV_-_IDEAS_POWERED_FOR_BUSINESS_SM"/>
      <w:bookmarkEnd w:id="51"/>
      <w:r>
        <w:lastRenderedPageBreak/>
        <w:t>A</w:t>
      </w:r>
      <w:r>
        <w:rPr>
          <w:sz w:val="26"/>
        </w:rPr>
        <w:t xml:space="preserve">NNEX </w:t>
      </w:r>
      <w:r>
        <w:t>IV - IDEAS POWERED FOR BUSINESS SME FUND</w:t>
      </w:r>
    </w:p>
    <w:p w14:paraId="23C4E501" w14:textId="77777777" w:rsidR="00D757DA" w:rsidRDefault="0033254E">
      <w:pPr>
        <w:pStyle w:val="Nadpis3"/>
        <w:numPr>
          <w:ilvl w:val="0"/>
          <w:numId w:val="14"/>
        </w:numPr>
        <w:tabs>
          <w:tab w:val="left" w:pos="687"/>
        </w:tabs>
        <w:spacing w:before="239"/>
        <w:jc w:val="both"/>
      </w:pPr>
      <w:bookmarkStart w:id="52" w:name="1._Description_of_the_action"/>
      <w:bookmarkEnd w:id="52"/>
      <w:r>
        <w:t>Description of the</w:t>
      </w:r>
      <w:r>
        <w:rPr>
          <w:spacing w:val="-2"/>
        </w:rPr>
        <w:t xml:space="preserve"> </w:t>
      </w:r>
      <w:r>
        <w:t>action</w:t>
      </w:r>
    </w:p>
    <w:p w14:paraId="53921939" w14:textId="77777777" w:rsidR="00D757DA" w:rsidRDefault="00D757DA">
      <w:pPr>
        <w:pStyle w:val="Zkladntext"/>
        <w:spacing w:before="4"/>
        <w:rPr>
          <w:b/>
          <w:sz w:val="24"/>
        </w:rPr>
      </w:pPr>
    </w:p>
    <w:p w14:paraId="26DE92F3" w14:textId="77777777" w:rsidR="00D757DA" w:rsidRDefault="0033254E">
      <w:pPr>
        <w:pStyle w:val="Zkladntext"/>
        <w:ind w:left="120" w:right="1434"/>
        <w:jc w:val="both"/>
      </w:pPr>
      <w:proofErr w:type="gramStart"/>
      <w:r>
        <w:t>As  described</w:t>
      </w:r>
      <w:proofErr w:type="gramEnd"/>
      <w:r>
        <w:t xml:space="preserve"> in Note MBBC/25/S20/4.2  and </w:t>
      </w:r>
      <w:proofErr w:type="spellStart"/>
      <w:r>
        <w:t>authorised</w:t>
      </w:r>
      <w:proofErr w:type="spellEnd"/>
      <w:r>
        <w:t xml:space="preserve"> during the MBBC meeting of 19-  20 November 2025, in 2026 the EUIPO will be launching and implementing, on behalf of the European Commission, a new call for proposals under the multiannual SME Fund (‘the SME Fund’) under the Single Market </w:t>
      </w:r>
      <w:proofErr w:type="spellStart"/>
      <w:r>
        <w:t>Programme</w:t>
      </w:r>
      <w:proofErr w:type="spellEnd"/>
      <w:r>
        <w:t>. The SME fund has been extended following requests from stakeholders to ensure maximum financial support to the largest possible number of SMEs in need of</w:t>
      </w:r>
      <w:r>
        <w:rPr>
          <w:spacing w:val="-8"/>
        </w:rPr>
        <w:t xml:space="preserve"> </w:t>
      </w:r>
      <w:r>
        <w:t>protection.</w:t>
      </w:r>
    </w:p>
    <w:p w14:paraId="43B835B1" w14:textId="77777777" w:rsidR="00D757DA" w:rsidRDefault="00D757DA">
      <w:pPr>
        <w:pStyle w:val="Zkladntext"/>
        <w:spacing w:before="9"/>
        <w:rPr>
          <w:sz w:val="21"/>
        </w:rPr>
      </w:pPr>
    </w:p>
    <w:p w14:paraId="0CF090BC" w14:textId="77777777" w:rsidR="00D757DA" w:rsidRDefault="0033254E">
      <w:pPr>
        <w:pStyle w:val="Zkladntext"/>
        <w:ind w:left="120" w:right="1433"/>
        <w:jc w:val="both"/>
      </w:pPr>
      <w:r>
        <w:t>The objective of the SME Fund initiative is to contribute to the recovery of the EU economy and to bolster the growth of eligible and Ukrainian small and medium-sized enterprises (‘SMEs’), thereby maintaining their competitiveness despite the challenging business environment caused by the COVID-19 pandemic. With the Russian aggression against Ukraine posing new challenges (e.g., food and energy crisis) to the post-COVID-19 global economic recovery, the Commission and the EUIPO have identified several improv</w:t>
      </w:r>
      <w:r>
        <w:t>ements to enhance</w:t>
      </w:r>
      <w:r>
        <w:rPr>
          <w:spacing w:val="-4"/>
        </w:rPr>
        <w:t xml:space="preserve"> </w:t>
      </w:r>
      <w:r>
        <w:t>the</w:t>
      </w:r>
      <w:r>
        <w:rPr>
          <w:spacing w:val="-4"/>
        </w:rPr>
        <w:t xml:space="preserve"> </w:t>
      </w:r>
      <w:r>
        <w:t>support</w:t>
      </w:r>
      <w:r>
        <w:rPr>
          <w:spacing w:val="-2"/>
        </w:rPr>
        <w:t xml:space="preserve"> </w:t>
      </w:r>
      <w:r>
        <w:t>to</w:t>
      </w:r>
      <w:r>
        <w:rPr>
          <w:spacing w:val="-4"/>
        </w:rPr>
        <w:t xml:space="preserve"> </w:t>
      </w:r>
      <w:r>
        <w:t>EU</w:t>
      </w:r>
      <w:r>
        <w:rPr>
          <w:spacing w:val="-2"/>
        </w:rPr>
        <w:t xml:space="preserve"> </w:t>
      </w:r>
      <w:r>
        <w:t>SMEs,</w:t>
      </w:r>
      <w:r>
        <w:rPr>
          <w:spacing w:val="-2"/>
        </w:rPr>
        <w:t xml:space="preserve"> </w:t>
      </w:r>
      <w:r>
        <w:t>mainly</w:t>
      </w:r>
      <w:r>
        <w:rPr>
          <w:spacing w:val="-1"/>
        </w:rPr>
        <w:t xml:space="preserve"> </w:t>
      </w:r>
      <w:proofErr w:type="gramStart"/>
      <w:r>
        <w:t>in</w:t>
      </w:r>
      <w:r>
        <w:rPr>
          <w:spacing w:val="-3"/>
        </w:rPr>
        <w:t xml:space="preserve"> </w:t>
      </w:r>
      <w:r>
        <w:t>the</w:t>
      </w:r>
      <w:r>
        <w:rPr>
          <w:spacing w:val="-4"/>
        </w:rPr>
        <w:t xml:space="preserve"> </w:t>
      </w:r>
      <w:r>
        <w:t>area</w:t>
      </w:r>
      <w:r>
        <w:rPr>
          <w:spacing w:val="-2"/>
        </w:rPr>
        <w:t xml:space="preserve"> </w:t>
      </w:r>
      <w:r>
        <w:t>of</w:t>
      </w:r>
      <w:proofErr w:type="gramEnd"/>
      <w:r>
        <w:rPr>
          <w:spacing w:val="-4"/>
        </w:rPr>
        <w:t xml:space="preserve"> </w:t>
      </w:r>
      <w:r>
        <w:t>IP</w:t>
      </w:r>
      <w:r>
        <w:rPr>
          <w:spacing w:val="-2"/>
        </w:rPr>
        <w:t xml:space="preserve"> </w:t>
      </w:r>
      <w:r>
        <w:t>activities,</w:t>
      </w:r>
      <w:r>
        <w:rPr>
          <w:spacing w:val="-3"/>
        </w:rPr>
        <w:t xml:space="preserve"> </w:t>
      </w:r>
      <w:r>
        <w:t>and</w:t>
      </w:r>
      <w:r>
        <w:rPr>
          <w:spacing w:val="-5"/>
        </w:rPr>
        <w:t xml:space="preserve"> </w:t>
      </w:r>
      <w:r>
        <w:t>to</w:t>
      </w:r>
      <w:r>
        <w:rPr>
          <w:spacing w:val="-4"/>
        </w:rPr>
        <w:t xml:space="preserve"> </w:t>
      </w:r>
      <w:r>
        <w:t>make</w:t>
      </w:r>
      <w:r>
        <w:rPr>
          <w:spacing w:val="-3"/>
        </w:rPr>
        <w:t xml:space="preserve"> </w:t>
      </w:r>
      <w:r>
        <w:t>the</w:t>
      </w:r>
      <w:r>
        <w:rPr>
          <w:spacing w:val="-4"/>
        </w:rPr>
        <w:t xml:space="preserve"> </w:t>
      </w:r>
      <w:r>
        <w:t>support scheme simpler and more flexible to the evolving needs of</w:t>
      </w:r>
      <w:r>
        <w:rPr>
          <w:spacing w:val="-15"/>
        </w:rPr>
        <w:t xml:space="preserve"> </w:t>
      </w:r>
      <w:r>
        <w:t>SMEs.</w:t>
      </w:r>
    </w:p>
    <w:p w14:paraId="03ED3014" w14:textId="77777777" w:rsidR="00D757DA" w:rsidRDefault="00D757DA">
      <w:pPr>
        <w:pStyle w:val="Zkladntext"/>
        <w:spacing w:before="1"/>
      </w:pPr>
    </w:p>
    <w:p w14:paraId="3D5A1016" w14:textId="77777777" w:rsidR="00D757DA" w:rsidRDefault="0033254E">
      <w:pPr>
        <w:pStyle w:val="Zkladntext"/>
        <w:spacing w:before="1"/>
        <w:ind w:left="120" w:right="1435"/>
        <w:jc w:val="both"/>
      </w:pPr>
      <w:r>
        <w:t>The successful implementation of the first four years of the multiannual SME Fund and the strong financial support it has provided to EU SMEs to access the intellectual property right (IPR) system demonstrates the ability of the European Intellectual Property Office (‘EUIPO’) to implement the EU’s IP policy in close collaboration with the members of the EUIPN.</w:t>
      </w:r>
    </w:p>
    <w:p w14:paraId="4327E4E6" w14:textId="77777777" w:rsidR="00D757DA" w:rsidRDefault="00D757DA">
      <w:pPr>
        <w:pStyle w:val="Zkladntext"/>
        <w:spacing w:before="11"/>
        <w:rPr>
          <w:sz w:val="21"/>
        </w:rPr>
      </w:pPr>
    </w:p>
    <w:p w14:paraId="6C851B47" w14:textId="77777777" w:rsidR="00D757DA" w:rsidRDefault="0033254E">
      <w:pPr>
        <w:pStyle w:val="Zkladntext"/>
        <w:ind w:left="120"/>
        <w:jc w:val="both"/>
      </w:pPr>
      <w:r>
        <w:t>The SME Fund 2026 financially supports the eligible EU and Ukrainian SMEs that wish to:</w:t>
      </w:r>
    </w:p>
    <w:p w14:paraId="497456D2" w14:textId="77777777" w:rsidR="00D757DA" w:rsidRDefault="00D757DA">
      <w:pPr>
        <w:pStyle w:val="Zkladntext"/>
        <w:spacing w:before="3"/>
      </w:pPr>
    </w:p>
    <w:p w14:paraId="0F33A303" w14:textId="77777777" w:rsidR="00D757DA" w:rsidRDefault="0033254E">
      <w:pPr>
        <w:pStyle w:val="Odstavecseseznamem"/>
        <w:numPr>
          <w:ilvl w:val="0"/>
          <w:numId w:val="13"/>
        </w:numPr>
        <w:tabs>
          <w:tab w:val="left" w:pos="687"/>
        </w:tabs>
        <w:spacing w:line="268" w:lineRule="exact"/>
      </w:pPr>
      <w:r>
        <w:t>benefit from an IP Scan and/or IP Scan Enforcement</w:t>
      </w:r>
      <w:r>
        <w:rPr>
          <w:spacing w:val="-17"/>
        </w:rPr>
        <w:t xml:space="preserve"> </w:t>
      </w:r>
      <w:r>
        <w:t>and/</w:t>
      </w:r>
      <w:proofErr w:type="gramStart"/>
      <w:r>
        <w:t>or;</w:t>
      </w:r>
      <w:proofErr w:type="gramEnd"/>
    </w:p>
    <w:p w14:paraId="4B017312" w14:textId="77777777" w:rsidR="00D757DA" w:rsidRDefault="0033254E">
      <w:pPr>
        <w:pStyle w:val="Odstavecseseznamem"/>
        <w:numPr>
          <w:ilvl w:val="0"/>
          <w:numId w:val="13"/>
        </w:numPr>
        <w:tabs>
          <w:tab w:val="left" w:pos="687"/>
        </w:tabs>
        <w:spacing w:before="1" w:line="237" w:lineRule="auto"/>
        <w:ind w:right="1437"/>
      </w:pPr>
      <w:r>
        <w:t xml:space="preserve">protect their </w:t>
      </w:r>
      <w:proofErr w:type="spellStart"/>
      <w:proofErr w:type="gramStart"/>
      <w:r>
        <w:t>trade marks</w:t>
      </w:r>
      <w:proofErr w:type="spellEnd"/>
      <w:proofErr w:type="gramEnd"/>
      <w:r>
        <w:t xml:space="preserve"> and designs through national, regional, European or international IP systems,</w:t>
      </w:r>
      <w:r>
        <w:rPr>
          <w:spacing w:val="-4"/>
        </w:rPr>
        <w:t xml:space="preserve"> </w:t>
      </w:r>
      <w:r>
        <w:t>and/or;</w:t>
      </w:r>
    </w:p>
    <w:p w14:paraId="11A8503C" w14:textId="77777777" w:rsidR="00D757DA" w:rsidRDefault="0033254E">
      <w:pPr>
        <w:pStyle w:val="Odstavecseseznamem"/>
        <w:numPr>
          <w:ilvl w:val="0"/>
          <w:numId w:val="13"/>
        </w:numPr>
        <w:tabs>
          <w:tab w:val="left" w:pos="687"/>
        </w:tabs>
        <w:spacing w:before="1"/>
        <w:ind w:right="1433"/>
      </w:pPr>
      <w:r>
        <w:t>protect their patents at national or European level, including prior art search services provided</w:t>
      </w:r>
      <w:r>
        <w:rPr>
          <w:spacing w:val="-5"/>
        </w:rPr>
        <w:t xml:space="preserve"> </w:t>
      </w:r>
      <w:r>
        <w:t>by</w:t>
      </w:r>
      <w:r>
        <w:rPr>
          <w:spacing w:val="-7"/>
        </w:rPr>
        <w:t xml:space="preserve"> </w:t>
      </w:r>
      <w:r>
        <w:t>EU</w:t>
      </w:r>
      <w:r>
        <w:rPr>
          <w:spacing w:val="-8"/>
        </w:rPr>
        <w:t xml:space="preserve"> </w:t>
      </w:r>
      <w:r>
        <w:t>Member</w:t>
      </w:r>
      <w:r>
        <w:rPr>
          <w:spacing w:val="-8"/>
        </w:rPr>
        <w:t xml:space="preserve"> </w:t>
      </w:r>
      <w:r>
        <w:t>States’</w:t>
      </w:r>
      <w:r>
        <w:rPr>
          <w:spacing w:val="-8"/>
        </w:rPr>
        <w:t xml:space="preserve"> </w:t>
      </w:r>
      <w:r>
        <w:t>central</w:t>
      </w:r>
      <w:r>
        <w:rPr>
          <w:spacing w:val="-6"/>
        </w:rPr>
        <w:t xml:space="preserve"> </w:t>
      </w:r>
      <w:r>
        <w:t>industrial</w:t>
      </w:r>
      <w:r>
        <w:rPr>
          <w:spacing w:val="-8"/>
        </w:rPr>
        <w:t xml:space="preserve"> </w:t>
      </w:r>
      <w:r>
        <w:t>property</w:t>
      </w:r>
      <w:r>
        <w:rPr>
          <w:spacing w:val="-6"/>
        </w:rPr>
        <w:t xml:space="preserve"> </w:t>
      </w:r>
      <w:r>
        <w:t>offices</w:t>
      </w:r>
      <w:r>
        <w:rPr>
          <w:spacing w:val="-5"/>
        </w:rPr>
        <w:t xml:space="preserve"> </w:t>
      </w:r>
      <w:r>
        <w:t>of</w:t>
      </w:r>
      <w:r>
        <w:rPr>
          <w:spacing w:val="-9"/>
        </w:rPr>
        <w:t xml:space="preserve"> </w:t>
      </w:r>
      <w:r>
        <w:t>the</w:t>
      </w:r>
      <w:r>
        <w:rPr>
          <w:spacing w:val="-8"/>
        </w:rPr>
        <w:t xml:space="preserve"> </w:t>
      </w:r>
      <w:r>
        <w:t>Member</w:t>
      </w:r>
      <w:r>
        <w:rPr>
          <w:spacing w:val="-5"/>
        </w:rPr>
        <w:t xml:space="preserve"> </w:t>
      </w:r>
      <w:r>
        <w:t>States and the Benelux Office for Intellectual Property (´IPOs´) and the legal costs for the drafting and filing of European Patent applications,</w:t>
      </w:r>
      <w:r>
        <w:rPr>
          <w:spacing w:val="-1"/>
        </w:rPr>
        <w:t xml:space="preserve"> </w:t>
      </w:r>
      <w:r>
        <w:t>and/</w:t>
      </w:r>
      <w:proofErr w:type="gramStart"/>
      <w:r>
        <w:t>or;</w:t>
      </w:r>
      <w:proofErr w:type="gramEnd"/>
    </w:p>
    <w:p w14:paraId="011AC759" w14:textId="77777777" w:rsidR="00D757DA" w:rsidRDefault="0033254E">
      <w:pPr>
        <w:pStyle w:val="Odstavecseseznamem"/>
        <w:numPr>
          <w:ilvl w:val="0"/>
          <w:numId w:val="13"/>
        </w:numPr>
        <w:tabs>
          <w:tab w:val="left" w:pos="687"/>
        </w:tabs>
        <w:spacing w:line="268" w:lineRule="exact"/>
      </w:pPr>
      <w:r>
        <w:t>protect their plant varieties at EU level.</w:t>
      </w:r>
    </w:p>
    <w:p w14:paraId="7B5E419F" w14:textId="77777777" w:rsidR="00D757DA" w:rsidRDefault="00D757DA">
      <w:pPr>
        <w:pStyle w:val="Zkladntext"/>
        <w:spacing w:before="7"/>
        <w:rPr>
          <w:sz w:val="21"/>
        </w:rPr>
      </w:pPr>
    </w:p>
    <w:p w14:paraId="6A087BFA" w14:textId="77777777" w:rsidR="00D757DA" w:rsidRDefault="0033254E">
      <w:pPr>
        <w:pStyle w:val="Zkladntext"/>
        <w:spacing w:before="1"/>
        <w:ind w:left="120" w:right="1434"/>
        <w:jc w:val="both"/>
      </w:pPr>
      <w:r>
        <w:t xml:space="preserve">The SME Fund will support EU and Ukrainian SMEs in their journey to protect intellectual property rights, ensuring that as many EU and Ukrainian SMEs as possible have access to the initiative and that each SME can obtain a fair financial contribution. Financial support will be provided in the form of </w:t>
      </w:r>
      <w:proofErr w:type="gramStart"/>
      <w:r>
        <w:t>vouchers</w:t>
      </w:r>
      <w:proofErr w:type="gramEnd"/>
      <w:r>
        <w:t xml:space="preserve"> and the Fund will be implemented by the EUIPO through grants to EU SMEs in accordance with the EU’s and the EUIPO’s respective Financial Regulations. It will finance the activities described in section 2 of this Annex.</w:t>
      </w:r>
    </w:p>
    <w:p w14:paraId="62891DEE" w14:textId="77777777" w:rsidR="00D757DA" w:rsidRDefault="00D757DA">
      <w:pPr>
        <w:pStyle w:val="Zkladntext"/>
      </w:pPr>
    </w:p>
    <w:p w14:paraId="414E13D2" w14:textId="77777777" w:rsidR="00D757DA" w:rsidRDefault="0033254E">
      <w:pPr>
        <w:pStyle w:val="Zkladntext"/>
        <w:spacing w:before="1"/>
        <w:ind w:left="120" w:right="1433"/>
        <w:jc w:val="both"/>
      </w:pPr>
      <w:r>
        <w:t>The</w:t>
      </w:r>
      <w:r>
        <w:rPr>
          <w:spacing w:val="-7"/>
        </w:rPr>
        <w:t xml:space="preserve"> </w:t>
      </w:r>
      <w:r>
        <w:t>SME</w:t>
      </w:r>
      <w:r>
        <w:rPr>
          <w:spacing w:val="-9"/>
        </w:rPr>
        <w:t xml:space="preserve"> </w:t>
      </w:r>
      <w:r>
        <w:t>Fund</w:t>
      </w:r>
      <w:r>
        <w:rPr>
          <w:spacing w:val="-7"/>
        </w:rPr>
        <w:t xml:space="preserve"> </w:t>
      </w:r>
      <w:r>
        <w:t>call</w:t>
      </w:r>
      <w:r>
        <w:rPr>
          <w:spacing w:val="-10"/>
        </w:rPr>
        <w:t xml:space="preserve"> </w:t>
      </w:r>
      <w:r>
        <w:t>for</w:t>
      </w:r>
      <w:r>
        <w:rPr>
          <w:spacing w:val="-8"/>
        </w:rPr>
        <w:t xml:space="preserve"> </w:t>
      </w:r>
      <w:r>
        <w:t>proposals</w:t>
      </w:r>
      <w:r>
        <w:rPr>
          <w:spacing w:val="-6"/>
        </w:rPr>
        <w:t xml:space="preserve"> </w:t>
      </w:r>
      <w:r>
        <w:t>2026</w:t>
      </w:r>
      <w:r>
        <w:rPr>
          <w:spacing w:val="-6"/>
        </w:rPr>
        <w:t xml:space="preserve"> </w:t>
      </w:r>
      <w:r>
        <w:t>will</w:t>
      </w:r>
      <w:r>
        <w:rPr>
          <w:spacing w:val="-7"/>
        </w:rPr>
        <w:t xml:space="preserve"> </w:t>
      </w:r>
      <w:r>
        <w:t>be</w:t>
      </w:r>
      <w:r>
        <w:rPr>
          <w:spacing w:val="-7"/>
        </w:rPr>
        <w:t xml:space="preserve"> </w:t>
      </w:r>
      <w:r>
        <w:t>launched</w:t>
      </w:r>
      <w:r>
        <w:rPr>
          <w:spacing w:val="-6"/>
        </w:rPr>
        <w:t xml:space="preserve"> </w:t>
      </w:r>
      <w:r>
        <w:t>in</w:t>
      </w:r>
      <w:r>
        <w:rPr>
          <w:spacing w:val="-7"/>
        </w:rPr>
        <w:t xml:space="preserve"> </w:t>
      </w:r>
      <w:r>
        <w:t>February</w:t>
      </w:r>
      <w:r>
        <w:rPr>
          <w:spacing w:val="-8"/>
        </w:rPr>
        <w:t xml:space="preserve"> </w:t>
      </w:r>
      <w:r>
        <w:t>2026</w:t>
      </w:r>
      <w:r>
        <w:rPr>
          <w:spacing w:val="-8"/>
        </w:rPr>
        <w:t xml:space="preserve"> </w:t>
      </w:r>
      <w:r>
        <w:t>and</w:t>
      </w:r>
      <w:r>
        <w:rPr>
          <w:spacing w:val="-7"/>
        </w:rPr>
        <w:t xml:space="preserve"> </w:t>
      </w:r>
      <w:r>
        <w:t>will</w:t>
      </w:r>
      <w:r>
        <w:rPr>
          <w:spacing w:val="-7"/>
        </w:rPr>
        <w:t xml:space="preserve"> </w:t>
      </w:r>
      <w:r>
        <w:t>run</w:t>
      </w:r>
      <w:r>
        <w:rPr>
          <w:spacing w:val="-7"/>
        </w:rPr>
        <w:t xml:space="preserve"> </w:t>
      </w:r>
      <w:r>
        <w:t>until</w:t>
      </w:r>
      <w:r>
        <w:rPr>
          <w:spacing w:val="-7"/>
        </w:rPr>
        <w:t xml:space="preserve"> </w:t>
      </w:r>
      <w:r>
        <w:t>the exhaustion of</w:t>
      </w:r>
      <w:r>
        <w:rPr>
          <w:spacing w:val="-2"/>
        </w:rPr>
        <w:t xml:space="preserve"> </w:t>
      </w:r>
      <w:r>
        <w:t>funds.</w:t>
      </w:r>
    </w:p>
    <w:p w14:paraId="6B5B2964" w14:textId="77777777" w:rsidR="00D757DA" w:rsidRDefault="00D757DA">
      <w:pPr>
        <w:pStyle w:val="Zkladntext"/>
        <w:spacing w:before="10"/>
        <w:rPr>
          <w:sz w:val="21"/>
        </w:rPr>
      </w:pPr>
    </w:p>
    <w:p w14:paraId="234FD3D2" w14:textId="77777777" w:rsidR="00D757DA" w:rsidRDefault="0033254E">
      <w:pPr>
        <w:pStyle w:val="Nadpis3"/>
        <w:numPr>
          <w:ilvl w:val="0"/>
          <w:numId w:val="14"/>
        </w:numPr>
        <w:tabs>
          <w:tab w:val="left" w:pos="687"/>
        </w:tabs>
        <w:spacing w:before="1"/>
        <w:jc w:val="both"/>
      </w:pPr>
      <w:bookmarkStart w:id="53" w:name="2._Activities_covered_by_the_action_and_"/>
      <w:bookmarkEnd w:id="53"/>
      <w:r>
        <w:t>Activities covered by the action and expected</w:t>
      </w:r>
      <w:r>
        <w:rPr>
          <w:spacing w:val="-12"/>
        </w:rPr>
        <w:t xml:space="preserve"> </w:t>
      </w:r>
      <w:r>
        <w:t>benefits</w:t>
      </w:r>
    </w:p>
    <w:p w14:paraId="487DE7BF" w14:textId="77777777" w:rsidR="00D757DA" w:rsidRDefault="00D757DA">
      <w:pPr>
        <w:pStyle w:val="Zkladntext"/>
        <w:spacing w:before="11"/>
        <w:rPr>
          <w:b/>
          <w:sz w:val="20"/>
        </w:rPr>
      </w:pPr>
    </w:p>
    <w:p w14:paraId="213056AA" w14:textId="77777777" w:rsidR="00D757DA" w:rsidRDefault="0033254E">
      <w:pPr>
        <w:pStyle w:val="Zkladntext"/>
        <w:ind w:left="120" w:right="1436"/>
        <w:jc w:val="both"/>
      </w:pPr>
      <w:r>
        <w:t>Financial support under the SME Fund 2026 will be provided through different vouchers, as described below.</w:t>
      </w:r>
    </w:p>
    <w:p w14:paraId="56798E26" w14:textId="77777777" w:rsidR="00D757DA" w:rsidRDefault="00D757DA">
      <w:pPr>
        <w:jc w:val="both"/>
        <w:sectPr w:rsidR="00D757DA">
          <w:pgSz w:w="11910" w:h="16840"/>
          <w:pgMar w:top="1360" w:right="0" w:bottom="1160" w:left="1320" w:header="0" w:footer="881" w:gutter="0"/>
          <w:cols w:space="708"/>
        </w:sectPr>
      </w:pPr>
    </w:p>
    <w:p w14:paraId="104F3235" w14:textId="77777777" w:rsidR="00D757DA" w:rsidRDefault="0033254E">
      <w:pPr>
        <w:pStyle w:val="Nadpis3"/>
        <w:numPr>
          <w:ilvl w:val="1"/>
          <w:numId w:val="14"/>
        </w:numPr>
        <w:tabs>
          <w:tab w:val="left" w:pos="1930"/>
        </w:tabs>
        <w:spacing w:before="81"/>
        <w:jc w:val="left"/>
      </w:pPr>
      <w:bookmarkStart w:id="54" w:name="2.1_Activities_covered_under_voucher_1:_"/>
      <w:bookmarkEnd w:id="54"/>
      <w:r>
        <w:lastRenderedPageBreak/>
        <w:t>Activities covered under voucher 1: IP Scan</w:t>
      </w:r>
      <w:r>
        <w:rPr>
          <w:spacing w:val="-11"/>
        </w:rPr>
        <w:t xml:space="preserve"> </w:t>
      </w:r>
      <w:r>
        <w:t>activities</w:t>
      </w:r>
    </w:p>
    <w:p w14:paraId="4945CC08" w14:textId="77777777" w:rsidR="00D757DA" w:rsidRDefault="00D757DA">
      <w:pPr>
        <w:pStyle w:val="Zkladntext"/>
        <w:spacing w:before="10"/>
        <w:rPr>
          <w:b/>
          <w:sz w:val="20"/>
        </w:rPr>
      </w:pPr>
    </w:p>
    <w:p w14:paraId="15B13244" w14:textId="77777777" w:rsidR="00D757DA" w:rsidRDefault="0033254E">
      <w:pPr>
        <w:pStyle w:val="Zkladntext"/>
        <w:ind w:left="120" w:right="1438"/>
        <w:jc w:val="both"/>
      </w:pPr>
      <w:bookmarkStart w:id="55" w:name="2_vouchers_can_be_requested_per_eligible"/>
      <w:bookmarkEnd w:id="55"/>
      <w:r>
        <w:t>2 vouchers can be requested per eligible SME: one for IP Scan and another for IP Scan Enforcement.</w:t>
      </w:r>
    </w:p>
    <w:p w14:paraId="49E208A2" w14:textId="77777777" w:rsidR="00D757DA" w:rsidRDefault="00D757DA">
      <w:pPr>
        <w:pStyle w:val="Zkladntext"/>
        <w:spacing w:before="10"/>
        <w:rPr>
          <w:sz w:val="20"/>
        </w:rPr>
      </w:pPr>
    </w:p>
    <w:p w14:paraId="7F7215F3" w14:textId="77777777" w:rsidR="00D757DA" w:rsidRDefault="0033254E">
      <w:pPr>
        <w:pStyle w:val="Odstavecseseznamem"/>
        <w:numPr>
          <w:ilvl w:val="0"/>
          <w:numId w:val="12"/>
        </w:numPr>
        <w:tabs>
          <w:tab w:val="left" w:pos="686"/>
          <w:tab w:val="left" w:pos="687"/>
        </w:tabs>
      </w:pPr>
      <w:r>
        <w:t>IP Scan</w:t>
      </w:r>
    </w:p>
    <w:p w14:paraId="56C10915" w14:textId="77777777" w:rsidR="00D757DA" w:rsidRDefault="00D757DA">
      <w:pPr>
        <w:pStyle w:val="Zkladntext"/>
      </w:pPr>
    </w:p>
    <w:p w14:paraId="46864392" w14:textId="77777777" w:rsidR="00D757DA" w:rsidRDefault="0033254E">
      <w:pPr>
        <w:pStyle w:val="Zkladntext"/>
        <w:spacing w:before="1"/>
        <w:ind w:left="120" w:right="1433"/>
        <w:jc w:val="both"/>
      </w:pPr>
      <w:r>
        <w:t>IP</w:t>
      </w:r>
      <w:r>
        <w:rPr>
          <w:spacing w:val="-4"/>
        </w:rPr>
        <w:t xml:space="preserve"> </w:t>
      </w:r>
      <w:r>
        <w:t>Scan</w:t>
      </w:r>
      <w:r>
        <w:rPr>
          <w:spacing w:val="-7"/>
        </w:rPr>
        <w:t xml:space="preserve"> </w:t>
      </w:r>
      <w:r>
        <w:t>aims</w:t>
      </w:r>
      <w:r>
        <w:rPr>
          <w:spacing w:val="-8"/>
        </w:rPr>
        <w:t xml:space="preserve"> </w:t>
      </w:r>
      <w:r>
        <w:t>to</w:t>
      </w:r>
      <w:r>
        <w:rPr>
          <w:spacing w:val="-5"/>
        </w:rPr>
        <w:t xml:space="preserve"> </w:t>
      </w:r>
      <w:r>
        <w:t>guide</w:t>
      </w:r>
      <w:r>
        <w:rPr>
          <w:spacing w:val="-4"/>
        </w:rPr>
        <w:t xml:space="preserve"> </w:t>
      </w:r>
      <w:r>
        <w:t>EU</w:t>
      </w:r>
      <w:r>
        <w:rPr>
          <w:spacing w:val="-5"/>
        </w:rPr>
        <w:t xml:space="preserve"> </w:t>
      </w:r>
      <w:r>
        <w:t>SMEs</w:t>
      </w:r>
      <w:r>
        <w:rPr>
          <w:spacing w:val="-6"/>
        </w:rPr>
        <w:t xml:space="preserve"> </w:t>
      </w:r>
      <w:r>
        <w:t>on</w:t>
      </w:r>
      <w:r>
        <w:rPr>
          <w:spacing w:val="-6"/>
        </w:rPr>
        <w:t xml:space="preserve"> </w:t>
      </w:r>
      <w:r>
        <w:t>the</w:t>
      </w:r>
      <w:r>
        <w:rPr>
          <w:spacing w:val="-7"/>
        </w:rPr>
        <w:t xml:space="preserve"> </w:t>
      </w:r>
      <w:r>
        <w:t>potential</w:t>
      </w:r>
      <w:r>
        <w:rPr>
          <w:spacing w:val="-7"/>
        </w:rPr>
        <w:t xml:space="preserve"> </w:t>
      </w:r>
      <w:r>
        <w:t>of</w:t>
      </w:r>
      <w:r>
        <w:rPr>
          <w:spacing w:val="-5"/>
        </w:rPr>
        <w:t xml:space="preserve"> </w:t>
      </w:r>
      <w:r>
        <w:t>IP</w:t>
      </w:r>
      <w:r>
        <w:rPr>
          <w:spacing w:val="-6"/>
        </w:rPr>
        <w:t xml:space="preserve"> </w:t>
      </w:r>
      <w:r>
        <w:t>to</w:t>
      </w:r>
      <w:r>
        <w:rPr>
          <w:spacing w:val="-6"/>
        </w:rPr>
        <w:t xml:space="preserve"> </w:t>
      </w:r>
      <w:r>
        <w:t>develop</w:t>
      </w:r>
      <w:r>
        <w:rPr>
          <w:spacing w:val="-7"/>
        </w:rPr>
        <w:t xml:space="preserve"> </w:t>
      </w:r>
      <w:r>
        <w:t>their</w:t>
      </w:r>
      <w:r>
        <w:rPr>
          <w:spacing w:val="-4"/>
        </w:rPr>
        <w:t xml:space="preserve"> </w:t>
      </w:r>
      <w:r>
        <w:t>businesses,</w:t>
      </w:r>
      <w:r>
        <w:rPr>
          <w:spacing w:val="-2"/>
        </w:rPr>
        <w:t xml:space="preserve"> </w:t>
      </w:r>
      <w:r>
        <w:t>identifying the</w:t>
      </w:r>
      <w:r>
        <w:rPr>
          <w:spacing w:val="-7"/>
        </w:rPr>
        <w:t xml:space="preserve"> </w:t>
      </w:r>
      <w:r>
        <w:t>types</w:t>
      </w:r>
      <w:r>
        <w:rPr>
          <w:spacing w:val="-5"/>
        </w:rPr>
        <w:t xml:space="preserve"> </w:t>
      </w:r>
      <w:r>
        <w:t>of</w:t>
      </w:r>
      <w:r>
        <w:rPr>
          <w:spacing w:val="-8"/>
        </w:rPr>
        <w:t xml:space="preserve"> </w:t>
      </w:r>
      <w:r>
        <w:t>IP</w:t>
      </w:r>
      <w:r>
        <w:rPr>
          <w:spacing w:val="-8"/>
        </w:rPr>
        <w:t xml:space="preserve"> </w:t>
      </w:r>
      <w:r>
        <w:t>that</w:t>
      </w:r>
      <w:r>
        <w:rPr>
          <w:spacing w:val="-7"/>
        </w:rPr>
        <w:t xml:space="preserve"> </w:t>
      </w:r>
      <w:r>
        <w:t>may</w:t>
      </w:r>
      <w:r>
        <w:rPr>
          <w:spacing w:val="-10"/>
        </w:rPr>
        <w:t xml:space="preserve"> </w:t>
      </w:r>
      <w:r>
        <w:t>be</w:t>
      </w:r>
      <w:r>
        <w:rPr>
          <w:spacing w:val="-6"/>
        </w:rPr>
        <w:t xml:space="preserve"> </w:t>
      </w:r>
      <w:r>
        <w:t>valuable</w:t>
      </w:r>
      <w:r>
        <w:rPr>
          <w:spacing w:val="-6"/>
        </w:rPr>
        <w:t xml:space="preserve"> </w:t>
      </w:r>
      <w:r>
        <w:t>and</w:t>
      </w:r>
      <w:r>
        <w:rPr>
          <w:spacing w:val="-5"/>
        </w:rPr>
        <w:t xml:space="preserve"> </w:t>
      </w:r>
      <w:r>
        <w:t>should</w:t>
      </w:r>
      <w:r>
        <w:rPr>
          <w:spacing w:val="-6"/>
        </w:rPr>
        <w:t xml:space="preserve"> </w:t>
      </w:r>
      <w:r>
        <w:t>be</w:t>
      </w:r>
      <w:r>
        <w:rPr>
          <w:spacing w:val="-6"/>
        </w:rPr>
        <w:t xml:space="preserve"> </w:t>
      </w:r>
      <w:r>
        <w:t>protected.</w:t>
      </w:r>
      <w:r>
        <w:rPr>
          <w:spacing w:val="-4"/>
        </w:rPr>
        <w:t xml:space="preserve"> </w:t>
      </w:r>
      <w:r>
        <w:t>They</w:t>
      </w:r>
      <w:r>
        <w:rPr>
          <w:spacing w:val="-6"/>
        </w:rPr>
        <w:t xml:space="preserve"> </w:t>
      </w:r>
      <w:r>
        <w:t>also</w:t>
      </w:r>
      <w:r>
        <w:rPr>
          <w:spacing w:val="-5"/>
        </w:rPr>
        <w:t xml:space="preserve"> </w:t>
      </w:r>
      <w:r>
        <w:t>aim</w:t>
      </w:r>
      <w:r>
        <w:rPr>
          <w:spacing w:val="-5"/>
        </w:rPr>
        <w:t xml:space="preserve"> </w:t>
      </w:r>
      <w:r>
        <w:t>to</w:t>
      </w:r>
      <w:r>
        <w:rPr>
          <w:spacing w:val="-8"/>
        </w:rPr>
        <w:t xml:space="preserve"> </w:t>
      </w:r>
      <w:r>
        <w:t>identify</w:t>
      </w:r>
      <w:r>
        <w:rPr>
          <w:spacing w:val="-5"/>
        </w:rPr>
        <w:t xml:space="preserve"> </w:t>
      </w:r>
      <w:r>
        <w:t>any</w:t>
      </w:r>
      <w:r>
        <w:rPr>
          <w:spacing w:val="-5"/>
        </w:rPr>
        <w:t xml:space="preserve"> </w:t>
      </w:r>
      <w:r>
        <w:t>IP that is already protected and that could be further exploited to gain additional benefits to support the growth of their</w:t>
      </w:r>
      <w:r>
        <w:rPr>
          <w:spacing w:val="-4"/>
        </w:rPr>
        <w:t xml:space="preserve"> </w:t>
      </w:r>
      <w:r>
        <w:t>business.</w:t>
      </w:r>
    </w:p>
    <w:p w14:paraId="27DB02D2" w14:textId="77777777" w:rsidR="00D757DA" w:rsidRDefault="00D757DA">
      <w:pPr>
        <w:pStyle w:val="Zkladntext"/>
        <w:spacing w:before="11"/>
        <w:rPr>
          <w:sz w:val="21"/>
        </w:rPr>
      </w:pPr>
    </w:p>
    <w:p w14:paraId="1807F068" w14:textId="77777777" w:rsidR="00D757DA" w:rsidRDefault="0033254E">
      <w:pPr>
        <w:pStyle w:val="Zkladntext"/>
        <w:ind w:left="120" w:right="1440"/>
        <w:jc w:val="both"/>
      </w:pPr>
      <w:r>
        <w:rPr>
          <w:b/>
        </w:rPr>
        <w:t xml:space="preserve">Up to EUR 1 620 </w:t>
      </w:r>
      <w:r>
        <w:t>is available per beneficiary for IP Scan services, according to the financial ceiling set up for each country under the SME Fund framework.</w:t>
      </w:r>
    </w:p>
    <w:p w14:paraId="039E8F84" w14:textId="77777777" w:rsidR="00D757DA" w:rsidRDefault="00D757DA">
      <w:pPr>
        <w:pStyle w:val="Zkladntext"/>
      </w:pPr>
    </w:p>
    <w:p w14:paraId="74F4643C" w14:textId="77777777" w:rsidR="00D757DA" w:rsidRDefault="0033254E">
      <w:pPr>
        <w:pStyle w:val="Odstavecseseznamem"/>
        <w:numPr>
          <w:ilvl w:val="0"/>
          <w:numId w:val="12"/>
        </w:numPr>
        <w:tabs>
          <w:tab w:val="left" w:pos="686"/>
          <w:tab w:val="left" w:pos="687"/>
        </w:tabs>
      </w:pPr>
      <w:r>
        <w:t>IP Scan</w:t>
      </w:r>
      <w:r>
        <w:rPr>
          <w:spacing w:val="-1"/>
        </w:rPr>
        <w:t xml:space="preserve"> </w:t>
      </w:r>
      <w:r>
        <w:t>Enforcement</w:t>
      </w:r>
    </w:p>
    <w:p w14:paraId="5EB65538" w14:textId="77777777" w:rsidR="00D757DA" w:rsidRDefault="00D757DA">
      <w:pPr>
        <w:pStyle w:val="Zkladntext"/>
      </w:pPr>
    </w:p>
    <w:p w14:paraId="13F03644" w14:textId="77777777" w:rsidR="00D757DA" w:rsidRDefault="0033254E">
      <w:pPr>
        <w:pStyle w:val="Zkladntext"/>
        <w:spacing w:before="1"/>
        <w:ind w:left="120" w:right="1433"/>
        <w:jc w:val="both"/>
      </w:pPr>
      <w:r>
        <w:t>IP Scan Enforcement aims to inform EU SME IP rights holders on enforcement-related matters. It helps them detect and prevent risks relating to the infringement of IPRs through, among</w:t>
      </w:r>
      <w:r>
        <w:rPr>
          <w:spacing w:val="-15"/>
        </w:rPr>
        <w:t xml:space="preserve"> </w:t>
      </w:r>
      <w:r>
        <w:t>others,</w:t>
      </w:r>
      <w:r>
        <w:rPr>
          <w:spacing w:val="-12"/>
        </w:rPr>
        <w:t xml:space="preserve"> </w:t>
      </w:r>
      <w:r>
        <w:t>counterfeiting</w:t>
      </w:r>
      <w:r>
        <w:rPr>
          <w:spacing w:val="-15"/>
        </w:rPr>
        <w:t xml:space="preserve"> </w:t>
      </w:r>
      <w:r>
        <w:t>and</w:t>
      </w:r>
      <w:r>
        <w:rPr>
          <w:spacing w:val="-14"/>
        </w:rPr>
        <w:t xml:space="preserve"> </w:t>
      </w:r>
      <w:r>
        <w:t>piracy,</w:t>
      </w:r>
      <w:r>
        <w:rPr>
          <w:spacing w:val="-13"/>
        </w:rPr>
        <w:t xml:space="preserve"> </w:t>
      </w:r>
      <w:r>
        <w:t>which</w:t>
      </w:r>
      <w:r>
        <w:rPr>
          <w:spacing w:val="-13"/>
        </w:rPr>
        <w:t xml:space="preserve"> </w:t>
      </w:r>
      <w:r>
        <w:t>create</w:t>
      </w:r>
      <w:r>
        <w:rPr>
          <w:spacing w:val="-13"/>
        </w:rPr>
        <w:t xml:space="preserve"> </w:t>
      </w:r>
      <w:r>
        <w:t>substantial</w:t>
      </w:r>
      <w:r>
        <w:rPr>
          <w:spacing w:val="-16"/>
        </w:rPr>
        <w:t xml:space="preserve"> </w:t>
      </w:r>
      <w:r>
        <w:t>losses</w:t>
      </w:r>
      <w:r>
        <w:rPr>
          <w:spacing w:val="-16"/>
        </w:rPr>
        <w:t xml:space="preserve"> </w:t>
      </w:r>
      <w:r>
        <w:t>to</w:t>
      </w:r>
      <w:r>
        <w:rPr>
          <w:spacing w:val="-16"/>
        </w:rPr>
        <w:t xml:space="preserve"> </w:t>
      </w:r>
      <w:r>
        <w:t>EU</w:t>
      </w:r>
      <w:r>
        <w:rPr>
          <w:spacing w:val="-15"/>
        </w:rPr>
        <w:t xml:space="preserve"> </w:t>
      </w:r>
      <w:r>
        <w:t>SMEs.</w:t>
      </w:r>
      <w:r>
        <w:rPr>
          <w:spacing w:val="-15"/>
        </w:rPr>
        <w:t xml:space="preserve"> </w:t>
      </w:r>
      <w:r>
        <w:t>IP</w:t>
      </w:r>
      <w:r>
        <w:rPr>
          <w:spacing w:val="-14"/>
        </w:rPr>
        <w:t xml:space="preserve"> </w:t>
      </w:r>
      <w:r>
        <w:t>Scan Enforcement</w:t>
      </w:r>
      <w:r>
        <w:rPr>
          <w:spacing w:val="-10"/>
        </w:rPr>
        <w:t xml:space="preserve"> </w:t>
      </w:r>
      <w:r>
        <w:t>services</w:t>
      </w:r>
      <w:r>
        <w:rPr>
          <w:spacing w:val="-7"/>
        </w:rPr>
        <w:t xml:space="preserve"> </w:t>
      </w:r>
      <w:r>
        <w:t>are</w:t>
      </w:r>
      <w:r>
        <w:rPr>
          <w:spacing w:val="-8"/>
        </w:rPr>
        <w:t xml:space="preserve"> </w:t>
      </w:r>
      <w:r>
        <w:t>addressed</w:t>
      </w:r>
      <w:r>
        <w:rPr>
          <w:spacing w:val="-11"/>
        </w:rPr>
        <w:t xml:space="preserve"> </w:t>
      </w:r>
      <w:r>
        <w:t>to</w:t>
      </w:r>
      <w:r>
        <w:rPr>
          <w:spacing w:val="-8"/>
        </w:rPr>
        <w:t xml:space="preserve"> </w:t>
      </w:r>
      <w:r>
        <w:t>EU</w:t>
      </w:r>
      <w:r>
        <w:rPr>
          <w:spacing w:val="-9"/>
        </w:rPr>
        <w:t xml:space="preserve"> </w:t>
      </w:r>
      <w:r>
        <w:t>SMEs</w:t>
      </w:r>
      <w:r>
        <w:rPr>
          <w:spacing w:val="-10"/>
        </w:rPr>
        <w:t xml:space="preserve"> </w:t>
      </w:r>
      <w:r>
        <w:t>whose</w:t>
      </w:r>
      <w:r>
        <w:rPr>
          <w:spacing w:val="-9"/>
        </w:rPr>
        <w:t xml:space="preserve"> </w:t>
      </w:r>
      <w:r>
        <w:t>IPRs</w:t>
      </w:r>
      <w:r>
        <w:rPr>
          <w:spacing w:val="-10"/>
        </w:rPr>
        <w:t xml:space="preserve"> </w:t>
      </w:r>
      <w:r>
        <w:t>might</w:t>
      </w:r>
      <w:r>
        <w:rPr>
          <w:spacing w:val="-6"/>
        </w:rPr>
        <w:t xml:space="preserve"> </w:t>
      </w:r>
      <w:r>
        <w:t>have</w:t>
      </w:r>
      <w:r>
        <w:rPr>
          <w:spacing w:val="-10"/>
        </w:rPr>
        <w:t xml:space="preserve"> </w:t>
      </w:r>
      <w:r>
        <w:t>been</w:t>
      </w:r>
      <w:r>
        <w:rPr>
          <w:spacing w:val="-8"/>
        </w:rPr>
        <w:t xml:space="preserve"> </w:t>
      </w:r>
      <w:r>
        <w:t>(or</w:t>
      </w:r>
      <w:r>
        <w:rPr>
          <w:spacing w:val="-7"/>
        </w:rPr>
        <w:t xml:space="preserve"> </w:t>
      </w:r>
      <w:r>
        <w:t>are</w:t>
      </w:r>
      <w:r>
        <w:rPr>
          <w:spacing w:val="-9"/>
        </w:rPr>
        <w:t xml:space="preserve"> </w:t>
      </w:r>
      <w:r>
        <w:t>at</w:t>
      </w:r>
      <w:r>
        <w:rPr>
          <w:spacing w:val="-6"/>
        </w:rPr>
        <w:t xml:space="preserve"> </w:t>
      </w:r>
      <w:r>
        <w:t>risk of being) infringed, or whose activities might infringe IPRs of other rights holders, and to recommend lines of action to enforce those</w:t>
      </w:r>
      <w:r>
        <w:rPr>
          <w:spacing w:val="-10"/>
        </w:rPr>
        <w:t xml:space="preserve"> </w:t>
      </w:r>
      <w:r>
        <w:t>rights.</w:t>
      </w:r>
    </w:p>
    <w:p w14:paraId="015E77EB" w14:textId="77777777" w:rsidR="00D757DA" w:rsidRDefault="00D757DA">
      <w:pPr>
        <w:pStyle w:val="Zkladntext"/>
      </w:pPr>
    </w:p>
    <w:p w14:paraId="202B221A" w14:textId="77777777" w:rsidR="00D757DA" w:rsidRDefault="0033254E">
      <w:pPr>
        <w:pStyle w:val="Zkladntext"/>
        <w:ind w:left="120" w:right="1441"/>
        <w:jc w:val="both"/>
      </w:pPr>
      <w:r>
        <w:rPr>
          <w:b/>
        </w:rPr>
        <w:t xml:space="preserve">Up to EUR 1 620 </w:t>
      </w:r>
      <w:r>
        <w:t>is available per beneficiary for IP Scan enforcement services, according to the financial ceiling set up for each country under the SME Fund framework.</w:t>
      </w:r>
    </w:p>
    <w:p w14:paraId="31C80DF9" w14:textId="77777777" w:rsidR="00D757DA" w:rsidRDefault="00D757DA">
      <w:pPr>
        <w:pStyle w:val="Zkladntext"/>
      </w:pPr>
    </w:p>
    <w:p w14:paraId="62CCD638" w14:textId="77777777" w:rsidR="00D757DA" w:rsidRDefault="0033254E">
      <w:pPr>
        <w:pStyle w:val="Zkladntext"/>
        <w:ind w:left="120" w:right="1433"/>
        <w:jc w:val="both"/>
      </w:pPr>
      <w:r>
        <w:t>IP</w:t>
      </w:r>
      <w:r>
        <w:rPr>
          <w:spacing w:val="-7"/>
        </w:rPr>
        <w:t xml:space="preserve"> </w:t>
      </w:r>
      <w:r>
        <w:t>Scan</w:t>
      </w:r>
      <w:r>
        <w:rPr>
          <w:spacing w:val="-7"/>
        </w:rPr>
        <w:t xml:space="preserve"> </w:t>
      </w:r>
      <w:r>
        <w:t>and</w:t>
      </w:r>
      <w:r>
        <w:rPr>
          <w:spacing w:val="-9"/>
        </w:rPr>
        <w:t xml:space="preserve"> </w:t>
      </w:r>
      <w:r>
        <w:t>IP</w:t>
      </w:r>
      <w:r>
        <w:rPr>
          <w:spacing w:val="-7"/>
        </w:rPr>
        <w:t xml:space="preserve"> </w:t>
      </w:r>
      <w:r>
        <w:t>Scan</w:t>
      </w:r>
      <w:r>
        <w:rPr>
          <w:spacing w:val="-8"/>
        </w:rPr>
        <w:t xml:space="preserve"> </w:t>
      </w:r>
      <w:r>
        <w:t>Enforcement</w:t>
      </w:r>
      <w:r>
        <w:rPr>
          <w:spacing w:val="-5"/>
        </w:rPr>
        <w:t xml:space="preserve"> </w:t>
      </w:r>
      <w:r>
        <w:t>are</w:t>
      </w:r>
      <w:r>
        <w:rPr>
          <w:spacing w:val="-6"/>
        </w:rPr>
        <w:t xml:space="preserve"> </w:t>
      </w:r>
      <w:r>
        <w:t>offered</w:t>
      </w:r>
      <w:r>
        <w:rPr>
          <w:spacing w:val="-7"/>
        </w:rPr>
        <w:t xml:space="preserve"> </w:t>
      </w:r>
      <w:r>
        <w:t>by</w:t>
      </w:r>
      <w:r>
        <w:rPr>
          <w:spacing w:val="-9"/>
        </w:rPr>
        <w:t xml:space="preserve"> </w:t>
      </w:r>
      <w:r>
        <w:t>experts</w:t>
      </w:r>
      <w:r>
        <w:rPr>
          <w:spacing w:val="-8"/>
        </w:rPr>
        <w:t xml:space="preserve"> </w:t>
      </w:r>
      <w:r>
        <w:t>appointed</w:t>
      </w:r>
      <w:r>
        <w:rPr>
          <w:spacing w:val="-5"/>
        </w:rPr>
        <w:t xml:space="preserve"> </w:t>
      </w:r>
      <w:r>
        <w:t>by</w:t>
      </w:r>
      <w:r>
        <w:rPr>
          <w:spacing w:val="-9"/>
        </w:rPr>
        <w:t xml:space="preserve"> </w:t>
      </w:r>
      <w:r>
        <w:t>the</w:t>
      </w:r>
      <w:r>
        <w:rPr>
          <w:spacing w:val="-12"/>
        </w:rPr>
        <w:t xml:space="preserve"> </w:t>
      </w:r>
      <w:r>
        <w:t>participating</w:t>
      </w:r>
      <w:r>
        <w:rPr>
          <w:spacing w:val="-9"/>
        </w:rPr>
        <w:t xml:space="preserve"> </w:t>
      </w:r>
      <w:r>
        <w:t>IPOs, under</w:t>
      </w:r>
      <w:r>
        <w:rPr>
          <w:spacing w:val="-15"/>
        </w:rPr>
        <w:t xml:space="preserve"> </w:t>
      </w:r>
      <w:r>
        <w:t>their</w:t>
      </w:r>
      <w:r>
        <w:rPr>
          <w:spacing w:val="-14"/>
        </w:rPr>
        <w:t xml:space="preserve"> </w:t>
      </w:r>
      <w:r>
        <w:t>coordination.</w:t>
      </w:r>
      <w:r>
        <w:rPr>
          <w:spacing w:val="-17"/>
        </w:rPr>
        <w:t xml:space="preserve"> </w:t>
      </w:r>
      <w:r>
        <w:t>For</w:t>
      </w:r>
      <w:r>
        <w:rPr>
          <w:spacing w:val="-14"/>
        </w:rPr>
        <w:t xml:space="preserve"> </w:t>
      </w:r>
      <w:r>
        <w:t>IP</w:t>
      </w:r>
      <w:r>
        <w:rPr>
          <w:spacing w:val="-16"/>
        </w:rPr>
        <w:t xml:space="preserve"> </w:t>
      </w:r>
      <w:r>
        <w:t>Scan</w:t>
      </w:r>
      <w:r>
        <w:rPr>
          <w:spacing w:val="-16"/>
        </w:rPr>
        <w:t xml:space="preserve"> </w:t>
      </w:r>
      <w:r>
        <w:t>and</w:t>
      </w:r>
      <w:r>
        <w:rPr>
          <w:spacing w:val="-15"/>
        </w:rPr>
        <w:t xml:space="preserve"> </w:t>
      </w:r>
      <w:r>
        <w:t>IP</w:t>
      </w:r>
      <w:r>
        <w:rPr>
          <w:spacing w:val="-17"/>
        </w:rPr>
        <w:t xml:space="preserve"> </w:t>
      </w:r>
      <w:r>
        <w:t>Scan</w:t>
      </w:r>
      <w:r>
        <w:rPr>
          <w:spacing w:val="-18"/>
        </w:rPr>
        <w:t xml:space="preserve"> </w:t>
      </w:r>
      <w:r>
        <w:t>Enforcement,</w:t>
      </w:r>
      <w:r>
        <w:rPr>
          <w:spacing w:val="-14"/>
        </w:rPr>
        <w:t xml:space="preserve"> </w:t>
      </w:r>
      <w:r>
        <w:t>under</w:t>
      </w:r>
      <w:r>
        <w:rPr>
          <w:spacing w:val="-17"/>
        </w:rPr>
        <w:t xml:space="preserve"> </w:t>
      </w:r>
      <w:r>
        <w:t>the</w:t>
      </w:r>
      <w:r>
        <w:rPr>
          <w:spacing w:val="-18"/>
        </w:rPr>
        <w:t xml:space="preserve"> </w:t>
      </w:r>
      <w:r>
        <w:t>SME</w:t>
      </w:r>
      <w:r>
        <w:rPr>
          <w:spacing w:val="-13"/>
        </w:rPr>
        <w:t xml:space="preserve"> </w:t>
      </w:r>
      <w:r>
        <w:t>Fund</w:t>
      </w:r>
      <w:r>
        <w:rPr>
          <w:spacing w:val="-16"/>
        </w:rPr>
        <w:t xml:space="preserve"> </w:t>
      </w:r>
      <w:r>
        <w:t>scheme, the applicant must be established in an EU Member State where eligible IP Scan and/or IP Scan Enforcement services can be provided. The IP Scan and IP Scan Enforcement experts must be appointed by the IPOs where the SME is</w:t>
      </w:r>
      <w:r>
        <w:rPr>
          <w:spacing w:val="-8"/>
        </w:rPr>
        <w:t xml:space="preserve"> </w:t>
      </w:r>
      <w:r>
        <w:t>established.</w:t>
      </w:r>
    </w:p>
    <w:p w14:paraId="674312D9" w14:textId="77777777" w:rsidR="00D757DA" w:rsidRDefault="00D757DA">
      <w:pPr>
        <w:pStyle w:val="Zkladntext"/>
        <w:spacing w:before="1"/>
      </w:pPr>
    </w:p>
    <w:p w14:paraId="1336F197" w14:textId="77777777" w:rsidR="00D757DA" w:rsidRDefault="0033254E">
      <w:pPr>
        <w:pStyle w:val="Zkladntext"/>
        <w:ind w:left="120" w:right="1433"/>
        <w:jc w:val="both"/>
      </w:pPr>
      <w:r>
        <w:t xml:space="preserve">EU SMEs will be entitled to apply for the </w:t>
      </w:r>
      <w:r>
        <w:rPr>
          <w:b/>
        </w:rPr>
        <w:t xml:space="preserve">reimbursement of 90 % </w:t>
      </w:r>
      <w:r>
        <w:t>of the costs of the service (provided</w:t>
      </w:r>
      <w:r>
        <w:rPr>
          <w:spacing w:val="-7"/>
        </w:rPr>
        <w:t xml:space="preserve"> </w:t>
      </w:r>
      <w:r>
        <w:t>by</w:t>
      </w:r>
      <w:r>
        <w:rPr>
          <w:spacing w:val="-7"/>
        </w:rPr>
        <w:t xml:space="preserve"> </w:t>
      </w:r>
      <w:r>
        <w:t>experts</w:t>
      </w:r>
      <w:r>
        <w:rPr>
          <w:spacing w:val="-8"/>
        </w:rPr>
        <w:t xml:space="preserve"> </w:t>
      </w:r>
      <w:r>
        <w:t>designated</w:t>
      </w:r>
      <w:r>
        <w:rPr>
          <w:spacing w:val="-7"/>
        </w:rPr>
        <w:t xml:space="preserve"> </w:t>
      </w:r>
      <w:r>
        <w:t>by</w:t>
      </w:r>
      <w:r>
        <w:rPr>
          <w:spacing w:val="-7"/>
        </w:rPr>
        <w:t xml:space="preserve"> </w:t>
      </w:r>
      <w:r>
        <w:t>the</w:t>
      </w:r>
      <w:r>
        <w:rPr>
          <w:spacing w:val="-9"/>
        </w:rPr>
        <w:t xml:space="preserve"> </w:t>
      </w:r>
      <w:r>
        <w:t>IPOs)</w:t>
      </w:r>
      <w:r>
        <w:rPr>
          <w:spacing w:val="-6"/>
        </w:rPr>
        <w:t xml:space="preserve"> </w:t>
      </w:r>
      <w:r>
        <w:t>with</w:t>
      </w:r>
      <w:r>
        <w:rPr>
          <w:spacing w:val="-9"/>
        </w:rPr>
        <w:t xml:space="preserve"> </w:t>
      </w:r>
      <w:r>
        <w:t>the</w:t>
      </w:r>
      <w:r>
        <w:rPr>
          <w:spacing w:val="-8"/>
        </w:rPr>
        <w:t xml:space="preserve"> </w:t>
      </w:r>
      <w:r>
        <w:t>possibility</w:t>
      </w:r>
      <w:r>
        <w:rPr>
          <w:spacing w:val="-7"/>
        </w:rPr>
        <w:t xml:space="preserve"> </w:t>
      </w:r>
      <w:r>
        <w:t>of</w:t>
      </w:r>
      <w:r>
        <w:rPr>
          <w:spacing w:val="-5"/>
        </w:rPr>
        <w:t xml:space="preserve"> </w:t>
      </w:r>
      <w:r>
        <w:t>co-financing</w:t>
      </w:r>
      <w:r>
        <w:rPr>
          <w:spacing w:val="-8"/>
        </w:rPr>
        <w:t xml:space="preserve"> </w:t>
      </w:r>
      <w:r>
        <w:t>from</w:t>
      </w:r>
      <w:r>
        <w:rPr>
          <w:spacing w:val="-6"/>
        </w:rPr>
        <w:t xml:space="preserve"> </w:t>
      </w:r>
      <w:r>
        <w:t>national schemes (or similar) covering up to 100 % of the</w:t>
      </w:r>
      <w:r>
        <w:rPr>
          <w:spacing w:val="-11"/>
        </w:rPr>
        <w:t xml:space="preserve"> </w:t>
      </w:r>
      <w:r>
        <w:t>cost.</w:t>
      </w:r>
    </w:p>
    <w:p w14:paraId="3DDEF0C4" w14:textId="77777777" w:rsidR="00D757DA" w:rsidRDefault="00D757DA">
      <w:pPr>
        <w:pStyle w:val="Zkladntext"/>
        <w:spacing w:before="10"/>
        <w:rPr>
          <w:sz w:val="21"/>
        </w:rPr>
      </w:pPr>
    </w:p>
    <w:p w14:paraId="2CC770E9" w14:textId="77777777" w:rsidR="00D757DA" w:rsidRDefault="0033254E">
      <w:pPr>
        <w:pStyle w:val="Zkladntext"/>
        <w:ind w:left="120" w:right="1434"/>
        <w:jc w:val="both"/>
      </w:pPr>
      <w:r>
        <w:t>Voucher 1 services (IP Scan and IP Scan enforcement) will not be available for Ukrainian- based SMEs.</w:t>
      </w:r>
    </w:p>
    <w:p w14:paraId="7A436F16" w14:textId="77777777" w:rsidR="00D757DA" w:rsidRDefault="00D757DA">
      <w:pPr>
        <w:pStyle w:val="Zkladntext"/>
        <w:spacing w:before="11"/>
        <w:rPr>
          <w:sz w:val="21"/>
        </w:rPr>
      </w:pPr>
    </w:p>
    <w:p w14:paraId="08099409" w14:textId="77777777" w:rsidR="00D757DA" w:rsidRDefault="0033254E">
      <w:pPr>
        <w:pStyle w:val="Zkladntext"/>
        <w:spacing w:line="242" w:lineRule="auto"/>
        <w:ind w:left="120" w:right="1436"/>
        <w:jc w:val="both"/>
      </w:pPr>
      <w:r>
        <w:t>For voucher 1 the EU SMEs will have 6 months to request the reimbursement of the IP Scan or IP Scan Enforcement service from the grant award notification date.</w:t>
      </w:r>
    </w:p>
    <w:p w14:paraId="7280C641" w14:textId="77777777" w:rsidR="00D757DA" w:rsidRDefault="00D757DA">
      <w:pPr>
        <w:pStyle w:val="Zkladntext"/>
        <w:spacing w:before="9"/>
        <w:rPr>
          <w:sz w:val="21"/>
        </w:rPr>
      </w:pPr>
    </w:p>
    <w:p w14:paraId="5142932A" w14:textId="77777777" w:rsidR="00D757DA" w:rsidRDefault="0033254E">
      <w:pPr>
        <w:pStyle w:val="Zkladntext"/>
        <w:ind w:left="120" w:right="1434"/>
        <w:jc w:val="both"/>
      </w:pPr>
      <w:r>
        <w:t>Voucher 1 will be activated in the same way as all other vouchers, i.e. beneficiaries (or representatives)</w:t>
      </w:r>
      <w:r>
        <w:rPr>
          <w:spacing w:val="-14"/>
        </w:rPr>
        <w:t xml:space="preserve"> </w:t>
      </w:r>
      <w:r>
        <w:t>must</w:t>
      </w:r>
      <w:r>
        <w:rPr>
          <w:spacing w:val="-12"/>
        </w:rPr>
        <w:t xml:space="preserve"> </w:t>
      </w:r>
      <w:r>
        <w:t>apply</w:t>
      </w:r>
      <w:r>
        <w:rPr>
          <w:spacing w:val="-11"/>
        </w:rPr>
        <w:t xml:space="preserve"> </w:t>
      </w:r>
      <w:r>
        <w:t>for</w:t>
      </w:r>
      <w:r>
        <w:rPr>
          <w:spacing w:val="-13"/>
        </w:rPr>
        <w:t xml:space="preserve"> </w:t>
      </w:r>
      <w:r>
        <w:t>reimbursement</w:t>
      </w:r>
      <w:r>
        <w:rPr>
          <w:spacing w:val="-12"/>
        </w:rPr>
        <w:t xml:space="preserve"> </w:t>
      </w:r>
      <w:r>
        <w:t>of</w:t>
      </w:r>
      <w:r>
        <w:rPr>
          <w:spacing w:val="-15"/>
        </w:rPr>
        <w:t xml:space="preserve"> </w:t>
      </w:r>
      <w:r>
        <w:t>the</w:t>
      </w:r>
      <w:r>
        <w:rPr>
          <w:spacing w:val="-13"/>
        </w:rPr>
        <w:t xml:space="preserve"> </w:t>
      </w:r>
      <w:r>
        <w:t>IP</w:t>
      </w:r>
      <w:r>
        <w:rPr>
          <w:spacing w:val="-14"/>
        </w:rPr>
        <w:t xml:space="preserve"> </w:t>
      </w:r>
      <w:r>
        <w:t>Scan</w:t>
      </w:r>
      <w:r>
        <w:rPr>
          <w:spacing w:val="-12"/>
        </w:rPr>
        <w:t xml:space="preserve"> </w:t>
      </w:r>
      <w:r>
        <w:t>or</w:t>
      </w:r>
      <w:r>
        <w:rPr>
          <w:spacing w:val="-13"/>
        </w:rPr>
        <w:t xml:space="preserve"> </w:t>
      </w:r>
      <w:r>
        <w:t>IP</w:t>
      </w:r>
      <w:r>
        <w:rPr>
          <w:spacing w:val="-12"/>
        </w:rPr>
        <w:t xml:space="preserve"> </w:t>
      </w:r>
      <w:r>
        <w:t>Scan</w:t>
      </w:r>
      <w:r>
        <w:rPr>
          <w:spacing w:val="-12"/>
        </w:rPr>
        <w:t xml:space="preserve"> </w:t>
      </w:r>
      <w:r>
        <w:t>Enforcement</w:t>
      </w:r>
      <w:r>
        <w:rPr>
          <w:spacing w:val="-13"/>
        </w:rPr>
        <w:t xml:space="preserve"> </w:t>
      </w:r>
      <w:r>
        <w:t>service in the SME Fund dedicated user account</w:t>
      </w:r>
      <w:r>
        <w:rPr>
          <w:spacing w:val="-2"/>
        </w:rPr>
        <w:t xml:space="preserve"> </w:t>
      </w:r>
      <w:r>
        <w:t>area.</w:t>
      </w:r>
    </w:p>
    <w:p w14:paraId="02148D4D" w14:textId="77777777" w:rsidR="00D757DA" w:rsidRDefault="00D757DA">
      <w:pPr>
        <w:pStyle w:val="Zkladntext"/>
        <w:spacing w:before="10"/>
        <w:rPr>
          <w:sz w:val="21"/>
        </w:rPr>
      </w:pPr>
    </w:p>
    <w:p w14:paraId="697D6AAF" w14:textId="77777777" w:rsidR="00D757DA" w:rsidRDefault="0033254E">
      <w:pPr>
        <w:pStyle w:val="Zkladntext"/>
        <w:ind w:left="120" w:right="1339"/>
      </w:pPr>
      <w:r>
        <w:t>Voucher 1 services (IP Scan and IP Scan enforcement) under the SME fund scheme will not be available for</w:t>
      </w:r>
    </w:p>
    <w:p w14:paraId="0B729FC2" w14:textId="77777777" w:rsidR="00D757DA" w:rsidRDefault="0033254E">
      <w:pPr>
        <w:pStyle w:val="Odstavecseseznamem"/>
        <w:numPr>
          <w:ilvl w:val="0"/>
          <w:numId w:val="11"/>
        </w:numPr>
        <w:tabs>
          <w:tab w:val="left" w:pos="368"/>
        </w:tabs>
      </w:pPr>
      <w:r>
        <w:t>Ukrainian-based SMEs and</w:t>
      </w:r>
    </w:p>
    <w:p w14:paraId="47679A56" w14:textId="77777777" w:rsidR="00D757DA" w:rsidRDefault="0033254E">
      <w:pPr>
        <w:pStyle w:val="Odstavecseseznamem"/>
        <w:numPr>
          <w:ilvl w:val="0"/>
          <w:numId w:val="11"/>
        </w:numPr>
        <w:tabs>
          <w:tab w:val="left" w:pos="383"/>
        </w:tabs>
        <w:spacing w:before="2"/>
        <w:ind w:left="120" w:right="1439" w:firstLine="0"/>
      </w:pPr>
      <w:r>
        <w:t>the SMEs must be established in an EU Member State where eligible IP Scan and/or IP Scan Enforcement services can be</w:t>
      </w:r>
      <w:r>
        <w:rPr>
          <w:spacing w:val="-4"/>
        </w:rPr>
        <w:t xml:space="preserve"> </w:t>
      </w:r>
      <w:r>
        <w:t>provided.</w:t>
      </w:r>
    </w:p>
    <w:p w14:paraId="6C98AC4E" w14:textId="77777777" w:rsidR="00D757DA" w:rsidRDefault="00D757DA">
      <w:pPr>
        <w:sectPr w:rsidR="00D757DA">
          <w:pgSz w:w="11910" w:h="16840"/>
          <w:pgMar w:top="1340" w:right="0" w:bottom="1160" w:left="1320" w:header="0" w:footer="881" w:gutter="0"/>
          <w:cols w:space="708"/>
        </w:sectPr>
      </w:pPr>
    </w:p>
    <w:p w14:paraId="38172F16" w14:textId="77777777" w:rsidR="00D757DA" w:rsidRDefault="0033254E">
      <w:pPr>
        <w:pStyle w:val="Nadpis3"/>
        <w:numPr>
          <w:ilvl w:val="1"/>
          <w:numId w:val="14"/>
        </w:numPr>
        <w:tabs>
          <w:tab w:val="left" w:pos="1930"/>
        </w:tabs>
        <w:spacing w:before="81"/>
        <w:jc w:val="left"/>
      </w:pPr>
      <w:bookmarkStart w:id="56" w:name="2.2_Activities_covered_under_voucher_2:_"/>
      <w:bookmarkEnd w:id="56"/>
      <w:r>
        <w:lastRenderedPageBreak/>
        <w:t xml:space="preserve">Activities covered under voucher 2: </w:t>
      </w:r>
      <w:proofErr w:type="spellStart"/>
      <w:proofErr w:type="gramStart"/>
      <w:r>
        <w:t>Trade marks</w:t>
      </w:r>
      <w:proofErr w:type="spellEnd"/>
      <w:proofErr w:type="gramEnd"/>
      <w:r>
        <w:t xml:space="preserve"> and</w:t>
      </w:r>
      <w:r>
        <w:rPr>
          <w:spacing w:val="-14"/>
        </w:rPr>
        <w:t xml:space="preserve"> </w:t>
      </w:r>
      <w:r>
        <w:t>designs</w:t>
      </w:r>
    </w:p>
    <w:p w14:paraId="6C76377B" w14:textId="77777777" w:rsidR="00D757DA" w:rsidRDefault="00D757DA">
      <w:pPr>
        <w:pStyle w:val="Zkladntext"/>
        <w:spacing w:before="10"/>
        <w:rPr>
          <w:b/>
          <w:sz w:val="20"/>
        </w:rPr>
      </w:pPr>
    </w:p>
    <w:p w14:paraId="0E3B5762" w14:textId="77777777" w:rsidR="00D757DA" w:rsidRDefault="0033254E">
      <w:pPr>
        <w:pStyle w:val="Zkladntext"/>
        <w:spacing w:line="468" w:lineRule="auto"/>
        <w:ind w:left="120" w:right="5704"/>
      </w:pPr>
      <w:bookmarkStart w:id="57" w:name="One_voucher_can_be_requested_per_eligibl"/>
      <w:bookmarkEnd w:id="57"/>
      <w:r>
        <w:t>One voucher can be requested per eligible SME. Up to EUR 700 per beneficiary for:</w:t>
      </w:r>
    </w:p>
    <w:p w14:paraId="1593FB15" w14:textId="77777777" w:rsidR="00D757DA" w:rsidRDefault="0033254E">
      <w:pPr>
        <w:pStyle w:val="Odstavecseseznamem"/>
        <w:numPr>
          <w:ilvl w:val="0"/>
          <w:numId w:val="10"/>
        </w:numPr>
        <w:tabs>
          <w:tab w:val="left" w:pos="686"/>
          <w:tab w:val="left" w:pos="687"/>
        </w:tabs>
        <w:spacing w:before="38"/>
        <w:rPr>
          <w:i/>
        </w:rPr>
      </w:pPr>
      <w:bookmarkStart w:id="58" w:name="a)_Trade_mark_and_design_protection_with"/>
      <w:bookmarkEnd w:id="58"/>
      <w:proofErr w:type="gramStart"/>
      <w:r>
        <w:rPr>
          <w:i/>
        </w:rPr>
        <w:t>Trade mark</w:t>
      </w:r>
      <w:proofErr w:type="gramEnd"/>
      <w:r>
        <w:rPr>
          <w:i/>
        </w:rPr>
        <w:t xml:space="preserve"> and design protection within the</w:t>
      </w:r>
      <w:r>
        <w:rPr>
          <w:i/>
          <w:spacing w:val="-7"/>
        </w:rPr>
        <w:t xml:space="preserve"> </w:t>
      </w:r>
      <w:r>
        <w:rPr>
          <w:i/>
        </w:rPr>
        <w:t>EU:</w:t>
      </w:r>
    </w:p>
    <w:p w14:paraId="69141C1C" w14:textId="77777777" w:rsidR="00D757DA" w:rsidRDefault="00D757DA">
      <w:pPr>
        <w:pStyle w:val="Zkladntext"/>
        <w:rPr>
          <w:i/>
          <w:sz w:val="24"/>
        </w:rPr>
      </w:pPr>
    </w:p>
    <w:p w14:paraId="438742F3" w14:textId="77777777" w:rsidR="00D757DA" w:rsidRDefault="00D757DA">
      <w:pPr>
        <w:pStyle w:val="Zkladntext"/>
        <w:spacing w:before="10"/>
        <w:rPr>
          <w:i/>
          <w:sz w:val="18"/>
        </w:rPr>
      </w:pPr>
    </w:p>
    <w:p w14:paraId="372049E2" w14:textId="77777777" w:rsidR="00D757DA" w:rsidRDefault="0033254E">
      <w:pPr>
        <w:pStyle w:val="Zkladntext"/>
        <w:ind w:left="120" w:right="1339"/>
      </w:pPr>
      <w:r>
        <w:t xml:space="preserve">Eligible IP rights are individual </w:t>
      </w:r>
      <w:proofErr w:type="spellStart"/>
      <w:proofErr w:type="gramStart"/>
      <w:r>
        <w:t>trade marks</w:t>
      </w:r>
      <w:proofErr w:type="spellEnd"/>
      <w:proofErr w:type="gramEnd"/>
      <w:r>
        <w:t xml:space="preserve"> and designs filed directly, or electronically (where possible), at the EUIPO and/or MS IPOs.</w:t>
      </w:r>
    </w:p>
    <w:p w14:paraId="6CBF2244" w14:textId="77777777" w:rsidR="00D757DA" w:rsidRDefault="00D757DA">
      <w:pPr>
        <w:pStyle w:val="Zkladntext"/>
      </w:pPr>
    </w:p>
    <w:p w14:paraId="7B926942" w14:textId="77777777" w:rsidR="00D757DA" w:rsidRDefault="0033254E">
      <w:pPr>
        <w:pStyle w:val="Zkladntext"/>
        <w:ind w:left="120" w:right="1434"/>
        <w:jc w:val="both"/>
      </w:pPr>
      <w:r>
        <w:t xml:space="preserve">Respecting the principle of co-financing of the European Commission’s </w:t>
      </w:r>
      <w:proofErr w:type="spellStart"/>
      <w:r>
        <w:t>Programmes</w:t>
      </w:r>
      <w:proofErr w:type="spellEnd"/>
      <w:r>
        <w:t xml:space="preserve">, eligible EU and Ukrainian-based SMEs could apply for a </w:t>
      </w:r>
      <w:r>
        <w:rPr>
          <w:b/>
        </w:rPr>
        <w:t xml:space="preserve">75 % reimbursement of the </w:t>
      </w:r>
      <w:proofErr w:type="gramStart"/>
      <w:r>
        <w:rPr>
          <w:b/>
        </w:rPr>
        <w:t>trade mark</w:t>
      </w:r>
      <w:proofErr w:type="gramEnd"/>
      <w:r>
        <w:rPr>
          <w:b/>
        </w:rPr>
        <w:t xml:space="preserve"> and</w:t>
      </w:r>
      <w:r>
        <w:rPr>
          <w:b/>
          <w:spacing w:val="-15"/>
        </w:rPr>
        <w:t xml:space="preserve"> </w:t>
      </w:r>
      <w:r>
        <w:rPr>
          <w:b/>
        </w:rPr>
        <w:t>design</w:t>
      </w:r>
      <w:r>
        <w:rPr>
          <w:b/>
          <w:spacing w:val="-14"/>
        </w:rPr>
        <w:t xml:space="preserve"> </w:t>
      </w:r>
      <w:r>
        <w:rPr>
          <w:b/>
        </w:rPr>
        <w:t>fees</w:t>
      </w:r>
      <w:r>
        <w:rPr>
          <w:b/>
          <w:spacing w:val="-15"/>
        </w:rPr>
        <w:t xml:space="preserve"> </w:t>
      </w:r>
      <w:r>
        <w:t>for</w:t>
      </w:r>
      <w:r>
        <w:rPr>
          <w:spacing w:val="-14"/>
        </w:rPr>
        <w:t xml:space="preserve"> </w:t>
      </w:r>
      <w:r>
        <w:t>acquiring</w:t>
      </w:r>
      <w:r>
        <w:rPr>
          <w:spacing w:val="-15"/>
        </w:rPr>
        <w:t xml:space="preserve"> </w:t>
      </w:r>
      <w:r>
        <w:t>trade</w:t>
      </w:r>
      <w:r>
        <w:rPr>
          <w:spacing w:val="-16"/>
        </w:rPr>
        <w:t xml:space="preserve"> </w:t>
      </w:r>
      <w:r>
        <w:t>mark</w:t>
      </w:r>
      <w:r>
        <w:rPr>
          <w:spacing w:val="-14"/>
        </w:rPr>
        <w:t xml:space="preserve"> </w:t>
      </w:r>
      <w:r>
        <w:t>or</w:t>
      </w:r>
      <w:r>
        <w:rPr>
          <w:spacing w:val="-14"/>
        </w:rPr>
        <w:t xml:space="preserve"> </w:t>
      </w:r>
      <w:r>
        <w:t>design</w:t>
      </w:r>
      <w:r>
        <w:rPr>
          <w:spacing w:val="-15"/>
        </w:rPr>
        <w:t xml:space="preserve"> </w:t>
      </w:r>
      <w:r>
        <w:t>protection</w:t>
      </w:r>
      <w:r>
        <w:rPr>
          <w:spacing w:val="-15"/>
        </w:rPr>
        <w:t xml:space="preserve"> </w:t>
      </w:r>
      <w:r>
        <w:t>in</w:t>
      </w:r>
      <w:r>
        <w:rPr>
          <w:spacing w:val="-14"/>
        </w:rPr>
        <w:t xml:space="preserve"> </w:t>
      </w:r>
      <w:r>
        <w:t>the</w:t>
      </w:r>
      <w:r>
        <w:rPr>
          <w:spacing w:val="-15"/>
        </w:rPr>
        <w:t xml:space="preserve"> </w:t>
      </w:r>
      <w:r>
        <w:t>EU</w:t>
      </w:r>
      <w:r>
        <w:rPr>
          <w:spacing w:val="-18"/>
        </w:rPr>
        <w:t xml:space="preserve"> </w:t>
      </w:r>
      <w:r>
        <w:t>(including</w:t>
      </w:r>
      <w:r>
        <w:rPr>
          <w:spacing w:val="-15"/>
        </w:rPr>
        <w:t xml:space="preserve"> </w:t>
      </w:r>
      <w:r>
        <w:t xml:space="preserve">application, class, examination, registration, publication and deferment of publication fees). Protections similar to that offered by a </w:t>
      </w:r>
      <w:proofErr w:type="gramStart"/>
      <w:r>
        <w:t>trade mark</w:t>
      </w:r>
      <w:proofErr w:type="gramEnd"/>
      <w:r>
        <w:t xml:space="preserve"> are also included, depending on applicable legislation (e.g. logotype protection under Portuguese law is</w:t>
      </w:r>
      <w:r>
        <w:rPr>
          <w:spacing w:val="-9"/>
        </w:rPr>
        <w:t xml:space="preserve"> </w:t>
      </w:r>
      <w:r>
        <w:t>covered).</w:t>
      </w:r>
    </w:p>
    <w:p w14:paraId="3ADD122C" w14:textId="77777777" w:rsidR="00D757DA" w:rsidRDefault="00D757DA">
      <w:pPr>
        <w:pStyle w:val="Zkladntext"/>
        <w:spacing w:before="1"/>
      </w:pPr>
    </w:p>
    <w:p w14:paraId="4E0EEBF0" w14:textId="77777777" w:rsidR="00D757DA" w:rsidRDefault="0033254E">
      <w:pPr>
        <w:pStyle w:val="Odstavecseseznamem"/>
        <w:numPr>
          <w:ilvl w:val="0"/>
          <w:numId w:val="10"/>
        </w:numPr>
        <w:tabs>
          <w:tab w:val="left" w:pos="686"/>
          <w:tab w:val="left" w:pos="687"/>
        </w:tabs>
        <w:rPr>
          <w:i/>
        </w:rPr>
      </w:pPr>
      <w:bookmarkStart w:id="59" w:name="b)_Trade_mark_and_design_protection_in_t"/>
      <w:bookmarkEnd w:id="59"/>
      <w:proofErr w:type="gramStart"/>
      <w:r>
        <w:rPr>
          <w:i/>
        </w:rPr>
        <w:t>Trade mark</w:t>
      </w:r>
      <w:proofErr w:type="gramEnd"/>
      <w:r>
        <w:rPr>
          <w:i/>
        </w:rPr>
        <w:t xml:space="preserve"> and design protection in third</w:t>
      </w:r>
      <w:r>
        <w:rPr>
          <w:i/>
          <w:spacing w:val="-7"/>
        </w:rPr>
        <w:t xml:space="preserve"> </w:t>
      </w:r>
      <w:r>
        <w:rPr>
          <w:i/>
        </w:rPr>
        <w:t>countries:</w:t>
      </w:r>
    </w:p>
    <w:p w14:paraId="2D7E3ABE" w14:textId="77777777" w:rsidR="00D757DA" w:rsidRDefault="00D757DA">
      <w:pPr>
        <w:pStyle w:val="Zkladntext"/>
        <w:spacing w:before="9"/>
        <w:rPr>
          <w:i/>
          <w:sz w:val="20"/>
        </w:rPr>
      </w:pPr>
    </w:p>
    <w:p w14:paraId="5EA05BB8" w14:textId="77777777" w:rsidR="00D757DA" w:rsidRDefault="0033254E">
      <w:pPr>
        <w:pStyle w:val="Zkladntext"/>
        <w:ind w:left="120" w:right="1433"/>
        <w:jc w:val="both"/>
      </w:pPr>
      <w:r>
        <w:t xml:space="preserve">To support the growth of EU SMEs on a more international scale, the eligible fees for applications for </w:t>
      </w:r>
      <w:proofErr w:type="spellStart"/>
      <w:proofErr w:type="gramStart"/>
      <w:r>
        <w:rPr>
          <w:b/>
        </w:rPr>
        <w:t>trade marks</w:t>
      </w:r>
      <w:proofErr w:type="spellEnd"/>
      <w:proofErr w:type="gramEnd"/>
      <w:r>
        <w:rPr>
          <w:b/>
        </w:rPr>
        <w:t xml:space="preserve"> and designs </w:t>
      </w:r>
      <w:r>
        <w:t xml:space="preserve">may be </w:t>
      </w:r>
      <w:r>
        <w:rPr>
          <w:b/>
        </w:rPr>
        <w:t xml:space="preserve">reimbursed by up to 50 % </w:t>
      </w:r>
      <w:r>
        <w:t xml:space="preserve">using the systems administered by WIPO (Ukrainian-based SMEs excluded). This activity intends to extend the support currently offered to EU SMEs, assisting them in the </w:t>
      </w:r>
      <w:proofErr w:type="spellStart"/>
      <w:r>
        <w:t>internationalisation</w:t>
      </w:r>
      <w:proofErr w:type="spellEnd"/>
      <w:r>
        <w:t xml:space="preserve"> process, while boosting the innovation and competitiveness of EU SMEs globally.</w:t>
      </w:r>
    </w:p>
    <w:p w14:paraId="48EB93BC" w14:textId="77777777" w:rsidR="00D757DA" w:rsidRDefault="00D757DA">
      <w:pPr>
        <w:pStyle w:val="Zkladntext"/>
        <w:spacing w:before="1"/>
      </w:pPr>
    </w:p>
    <w:p w14:paraId="108F70BC" w14:textId="77777777" w:rsidR="00D757DA" w:rsidRDefault="0033254E">
      <w:pPr>
        <w:pStyle w:val="Zkladntext"/>
        <w:spacing w:before="1"/>
        <w:ind w:left="120" w:right="1434"/>
        <w:jc w:val="both"/>
      </w:pPr>
      <w:r>
        <w:t>The</w:t>
      </w:r>
      <w:r>
        <w:rPr>
          <w:spacing w:val="-18"/>
        </w:rPr>
        <w:t xml:space="preserve"> </w:t>
      </w:r>
      <w:r>
        <w:t>fees</w:t>
      </w:r>
      <w:r>
        <w:rPr>
          <w:spacing w:val="-19"/>
        </w:rPr>
        <w:t xml:space="preserve"> </w:t>
      </w:r>
      <w:r>
        <w:t>that</w:t>
      </w:r>
      <w:r>
        <w:rPr>
          <w:spacing w:val="-16"/>
        </w:rPr>
        <w:t xml:space="preserve"> </w:t>
      </w:r>
      <w:r>
        <w:t>are</w:t>
      </w:r>
      <w:r>
        <w:rPr>
          <w:spacing w:val="-19"/>
        </w:rPr>
        <w:t xml:space="preserve"> </w:t>
      </w:r>
      <w:r>
        <w:t>eligible</w:t>
      </w:r>
      <w:r>
        <w:rPr>
          <w:spacing w:val="-17"/>
        </w:rPr>
        <w:t xml:space="preserve"> </w:t>
      </w:r>
      <w:r>
        <w:t>for</w:t>
      </w:r>
      <w:r>
        <w:rPr>
          <w:spacing w:val="-19"/>
        </w:rPr>
        <w:t xml:space="preserve"> </w:t>
      </w:r>
      <w:r>
        <w:t>reimbursement</w:t>
      </w:r>
      <w:r>
        <w:rPr>
          <w:spacing w:val="-16"/>
        </w:rPr>
        <w:t xml:space="preserve"> </w:t>
      </w:r>
      <w:r>
        <w:t>are</w:t>
      </w:r>
      <w:r>
        <w:rPr>
          <w:spacing w:val="-19"/>
        </w:rPr>
        <w:t xml:space="preserve"> </w:t>
      </w:r>
      <w:r>
        <w:t>those</w:t>
      </w:r>
      <w:r>
        <w:rPr>
          <w:spacing w:val="-17"/>
        </w:rPr>
        <w:t xml:space="preserve"> </w:t>
      </w:r>
      <w:r>
        <w:t>charged</w:t>
      </w:r>
      <w:r>
        <w:rPr>
          <w:spacing w:val="-20"/>
        </w:rPr>
        <w:t xml:space="preserve"> </w:t>
      </w:r>
      <w:r>
        <w:t>for</w:t>
      </w:r>
      <w:r>
        <w:rPr>
          <w:spacing w:val="-16"/>
        </w:rPr>
        <w:t xml:space="preserve"> </w:t>
      </w:r>
      <w:r>
        <w:t>applications</w:t>
      </w:r>
      <w:r>
        <w:rPr>
          <w:spacing w:val="-17"/>
        </w:rPr>
        <w:t xml:space="preserve"> </w:t>
      </w:r>
      <w:r>
        <w:t>(including</w:t>
      </w:r>
      <w:r>
        <w:rPr>
          <w:spacing w:val="-17"/>
        </w:rPr>
        <w:t xml:space="preserve"> </w:t>
      </w:r>
      <w:r>
        <w:t>basic fees, designation fees and subsequent designation fees) for non-EU and/or EU Member States (MS)</w:t>
      </w:r>
      <w:r>
        <w:rPr>
          <w:spacing w:val="-4"/>
        </w:rPr>
        <w:t xml:space="preserve"> </w:t>
      </w:r>
      <w:r>
        <w:t>under:</w:t>
      </w:r>
    </w:p>
    <w:p w14:paraId="69E4A32D" w14:textId="77777777" w:rsidR="00D757DA" w:rsidRDefault="00D757DA">
      <w:pPr>
        <w:pStyle w:val="Zkladntext"/>
      </w:pPr>
    </w:p>
    <w:p w14:paraId="0354EF1C" w14:textId="77777777" w:rsidR="00D757DA" w:rsidRDefault="0033254E">
      <w:pPr>
        <w:pStyle w:val="Odstavecseseznamem"/>
        <w:numPr>
          <w:ilvl w:val="0"/>
          <w:numId w:val="13"/>
        </w:numPr>
        <w:tabs>
          <w:tab w:val="left" w:pos="686"/>
          <w:tab w:val="left" w:pos="687"/>
        </w:tabs>
        <w:spacing w:line="269" w:lineRule="exact"/>
        <w:jc w:val="left"/>
      </w:pPr>
      <w:r>
        <w:t xml:space="preserve">the international </w:t>
      </w:r>
      <w:proofErr w:type="gramStart"/>
      <w:r>
        <w:t>trade mark</w:t>
      </w:r>
      <w:proofErr w:type="gramEnd"/>
      <w:r>
        <w:t xml:space="preserve"> system (Madrid</w:t>
      </w:r>
      <w:r>
        <w:rPr>
          <w:spacing w:val="-28"/>
        </w:rPr>
        <w:t xml:space="preserve"> </w:t>
      </w:r>
      <w:r>
        <w:t>System);</w:t>
      </w:r>
    </w:p>
    <w:p w14:paraId="6C65BF04" w14:textId="77777777" w:rsidR="00D757DA" w:rsidRDefault="0033254E">
      <w:pPr>
        <w:pStyle w:val="Odstavecseseznamem"/>
        <w:numPr>
          <w:ilvl w:val="0"/>
          <w:numId w:val="13"/>
        </w:numPr>
        <w:tabs>
          <w:tab w:val="left" w:pos="686"/>
          <w:tab w:val="left" w:pos="687"/>
        </w:tabs>
        <w:spacing w:line="269" w:lineRule="exact"/>
        <w:jc w:val="left"/>
      </w:pPr>
      <w:r>
        <w:t>the international design system (The Hague</w:t>
      </w:r>
      <w:r>
        <w:rPr>
          <w:spacing w:val="-23"/>
        </w:rPr>
        <w:t xml:space="preserve"> </w:t>
      </w:r>
      <w:r>
        <w:t>System).</w:t>
      </w:r>
    </w:p>
    <w:p w14:paraId="165DDEFD" w14:textId="77777777" w:rsidR="00D757DA" w:rsidRDefault="00D757DA">
      <w:pPr>
        <w:pStyle w:val="Zkladntext"/>
        <w:spacing w:before="8"/>
        <w:rPr>
          <w:sz w:val="21"/>
        </w:rPr>
      </w:pPr>
    </w:p>
    <w:p w14:paraId="2A4054EC" w14:textId="77777777" w:rsidR="00D757DA" w:rsidRDefault="0033254E">
      <w:pPr>
        <w:pStyle w:val="Zkladntext"/>
        <w:ind w:left="120"/>
        <w:jc w:val="both"/>
      </w:pPr>
      <w:r>
        <w:t>Handling fees charged by the office of origin are excluded from reimbursement for 2026.</w:t>
      </w:r>
    </w:p>
    <w:p w14:paraId="0106A061" w14:textId="77777777" w:rsidR="00D757DA" w:rsidRDefault="00D757DA">
      <w:pPr>
        <w:pStyle w:val="Zkladntext"/>
      </w:pPr>
    </w:p>
    <w:p w14:paraId="76435704" w14:textId="77777777" w:rsidR="00D757DA" w:rsidRDefault="0033254E">
      <w:pPr>
        <w:pStyle w:val="Zkladntext"/>
        <w:ind w:left="120" w:right="1558"/>
      </w:pPr>
      <w:r>
        <w:t>For Ukrainian-based SMEs the basic, designation and subsequent designation fees outside the EU are not covered.</w:t>
      </w:r>
    </w:p>
    <w:p w14:paraId="106E33FC" w14:textId="77777777" w:rsidR="00D757DA" w:rsidRDefault="00D757DA">
      <w:pPr>
        <w:pStyle w:val="Zkladntext"/>
        <w:spacing w:before="1"/>
      </w:pPr>
    </w:p>
    <w:p w14:paraId="6ECD0F67" w14:textId="77777777" w:rsidR="00D757DA" w:rsidRDefault="0033254E">
      <w:pPr>
        <w:pStyle w:val="Nadpis3"/>
        <w:numPr>
          <w:ilvl w:val="1"/>
          <w:numId w:val="14"/>
        </w:numPr>
        <w:tabs>
          <w:tab w:val="left" w:pos="1930"/>
        </w:tabs>
        <w:jc w:val="left"/>
        <w:rPr>
          <w:rFonts w:ascii="Times New Roman"/>
          <w:sz w:val="24"/>
        </w:rPr>
      </w:pPr>
      <w:bookmarkStart w:id="60" w:name="2.3_Activities_covered_under_voucher_3:_"/>
      <w:bookmarkEnd w:id="60"/>
      <w:r>
        <w:t>Activities covered under voucher 3:</w:t>
      </w:r>
      <w:r>
        <w:rPr>
          <w:spacing w:val="-7"/>
        </w:rPr>
        <w:t xml:space="preserve"> </w:t>
      </w:r>
      <w:r>
        <w:t>Patents</w:t>
      </w:r>
    </w:p>
    <w:p w14:paraId="4BD4DFD9" w14:textId="77777777" w:rsidR="00D757DA" w:rsidRDefault="00D757DA">
      <w:pPr>
        <w:pStyle w:val="Zkladntext"/>
        <w:spacing w:before="4"/>
        <w:rPr>
          <w:b/>
          <w:sz w:val="20"/>
        </w:rPr>
      </w:pPr>
    </w:p>
    <w:p w14:paraId="409C645E" w14:textId="77777777" w:rsidR="00D757DA" w:rsidRDefault="0033254E">
      <w:pPr>
        <w:pStyle w:val="Zkladntext"/>
        <w:spacing w:before="1"/>
        <w:ind w:left="120" w:right="1339"/>
      </w:pPr>
      <w:r>
        <w:t>2 vouchers can be requested per SME: one for national patent applications and search and another for European patent applications and legal costs.</w:t>
      </w:r>
    </w:p>
    <w:p w14:paraId="4AC35080" w14:textId="77777777" w:rsidR="00D757DA" w:rsidRDefault="00D757DA">
      <w:pPr>
        <w:pStyle w:val="Zkladntext"/>
        <w:spacing w:before="10"/>
        <w:rPr>
          <w:sz w:val="21"/>
        </w:rPr>
      </w:pPr>
    </w:p>
    <w:p w14:paraId="41F41CFC" w14:textId="77777777" w:rsidR="00D757DA" w:rsidRDefault="0033254E">
      <w:pPr>
        <w:pStyle w:val="Zkladntext"/>
        <w:spacing w:before="1"/>
        <w:ind w:left="120" w:right="1339"/>
      </w:pPr>
      <w:r>
        <w:t>Up to EUR 3 500 is available per beneficiary, and this is limited to the financial contribution of the European Commission for the following activities:</w:t>
      </w:r>
    </w:p>
    <w:p w14:paraId="4D08CB42" w14:textId="77777777" w:rsidR="00D757DA" w:rsidRDefault="00D757DA">
      <w:pPr>
        <w:pStyle w:val="Zkladntext"/>
        <w:spacing w:before="1"/>
      </w:pPr>
    </w:p>
    <w:p w14:paraId="656A8967" w14:textId="77777777" w:rsidR="00D757DA" w:rsidRDefault="0033254E">
      <w:pPr>
        <w:pStyle w:val="Odstavecseseznamem"/>
        <w:numPr>
          <w:ilvl w:val="0"/>
          <w:numId w:val="13"/>
        </w:numPr>
        <w:tabs>
          <w:tab w:val="left" w:pos="686"/>
          <w:tab w:val="left" w:pos="687"/>
        </w:tabs>
        <w:jc w:val="left"/>
        <w:rPr>
          <w:i/>
        </w:rPr>
      </w:pPr>
      <w:bookmarkStart w:id="61" w:name="•_Fees_for_national_patent_applications_"/>
      <w:bookmarkEnd w:id="61"/>
      <w:r>
        <w:rPr>
          <w:i/>
        </w:rPr>
        <w:t>Fees for national patent applications and</w:t>
      </w:r>
      <w:r>
        <w:rPr>
          <w:i/>
          <w:spacing w:val="-1"/>
        </w:rPr>
        <w:t xml:space="preserve"> </w:t>
      </w:r>
      <w:r>
        <w:rPr>
          <w:i/>
        </w:rPr>
        <w:t>search:</w:t>
      </w:r>
    </w:p>
    <w:p w14:paraId="432619DF" w14:textId="77777777" w:rsidR="00D757DA" w:rsidRDefault="00D757DA">
      <w:pPr>
        <w:pStyle w:val="Zkladntext"/>
        <w:spacing w:before="7"/>
        <w:rPr>
          <w:i/>
          <w:sz w:val="20"/>
        </w:rPr>
      </w:pPr>
    </w:p>
    <w:p w14:paraId="27BB579B" w14:textId="77777777" w:rsidR="00D757DA" w:rsidRDefault="0033254E">
      <w:pPr>
        <w:ind w:left="120" w:right="1433"/>
        <w:jc w:val="both"/>
      </w:pPr>
      <w:r>
        <w:t xml:space="preserve">The action will </w:t>
      </w:r>
      <w:r>
        <w:rPr>
          <w:b/>
        </w:rPr>
        <w:t xml:space="preserve">reimburse 75 % of fees </w:t>
      </w:r>
      <w:r>
        <w:t xml:space="preserve">charged by MSIPOs for obtaining protection for </w:t>
      </w:r>
      <w:r>
        <w:rPr>
          <w:b/>
        </w:rPr>
        <w:t xml:space="preserve">patents and the fees for prior art searches </w:t>
      </w:r>
      <w:r>
        <w:t>before filing patents provided/coordinated by national intellectual property offices and the Visegrad Patent Institute up to a total maximum amount of EUR 1 000.</w:t>
      </w:r>
    </w:p>
    <w:p w14:paraId="591C95BF" w14:textId="77777777" w:rsidR="00D757DA" w:rsidRDefault="00D757DA">
      <w:pPr>
        <w:jc w:val="both"/>
        <w:sectPr w:rsidR="00D757DA">
          <w:pgSz w:w="11910" w:h="16840"/>
          <w:pgMar w:top="1340" w:right="0" w:bottom="1160" w:left="1320" w:header="0" w:footer="881" w:gutter="0"/>
          <w:cols w:space="708"/>
        </w:sectPr>
      </w:pPr>
    </w:p>
    <w:p w14:paraId="38A9A252" w14:textId="77777777" w:rsidR="00D757DA" w:rsidRDefault="0033254E">
      <w:pPr>
        <w:pStyle w:val="Odstavecseseznamem"/>
        <w:numPr>
          <w:ilvl w:val="0"/>
          <w:numId w:val="13"/>
        </w:numPr>
        <w:tabs>
          <w:tab w:val="left" w:pos="686"/>
          <w:tab w:val="left" w:pos="687"/>
        </w:tabs>
        <w:spacing w:before="83"/>
        <w:jc w:val="left"/>
        <w:rPr>
          <w:i/>
        </w:rPr>
      </w:pPr>
      <w:bookmarkStart w:id="62" w:name="•_Fees_for_European_patent_applications_"/>
      <w:bookmarkEnd w:id="62"/>
      <w:r>
        <w:rPr>
          <w:i/>
        </w:rPr>
        <w:lastRenderedPageBreak/>
        <w:t>Fees for European patent applications and Legal</w:t>
      </w:r>
      <w:r>
        <w:rPr>
          <w:i/>
          <w:spacing w:val="-2"/>
        </w:rPr>
        <w:t xml:space="preserve"> </w:t>
      </w:r>
      <w:r>
        <w:rPr>
          <w:i/>
        </w:rPr>
        <w:t>costs:</w:t>
      </w:r>
    </w:p>
    <w:p w14:paraId="5EC4E6C6" w14:textId="77777777" w:rsidR="00D757DA" w:rsidRDefault="00D757DA">
      <w:pPr>
        <w:pStyle w:val="Zkladntext"/>
        <w:spacing w:before="8"/>
        <w:rPr>
          <w:i/>
          <w:sz w:val="20"/>
        </w:rPr>
      </w:pPr>
    </w:p>
    <w:p w14:paraId="42D6229B" w14:textId="77777777" w:rsidR="00D757DA" w:rsidRDefault="0033254E">
      <w:pPr>
        <w:ind w:left="120" w:right="1434"/>
        <w:jc w:val="both"/>
        <w:rPr>
          <w:b/>
        </w:rPr>
      </w:pPr>
      <w:r>
        <w:t xml:space="preserve">The action will </w:t>
      </w:r>
      <w:r>
        <w:rPr>
          <w:b/>
        </w:rPr>
        <w:t xml:space="preserve">reimburse 75 % of the filing and search fees </w:t>
      </w:r>
      <w:r>
        <w:t xml:space="preserve">charged by the European Patent Office for obtaining protection for </w:t>
      </w:r>
      <w:r>
        <w:rPr>
          <w:b/>
        </w:rPr>
        <w:t>patents up to a total maximum amount of EUR 1000.</w:t>
      </w:r>
    </w:p>
    <w:p w14:paraId="2BFA64A2" w14:textId="77777777" w:rsidR="00D757DA" w:rsidRDefault="00D757DA">
      <w:pPr>
        <w:pStyle w:val="Zkladntext"/>
        <w:spacing w:before="10"/>
        <w:rPr>
          <w:b/>
          <w:sz w:val="21"/>
        </w:rPr>
      </w:pPr>
    </w:p>
    <w:p w14:paraId="3FF369E7" w14:textId="77777777" w:rsidR="00D757DA" w:rsidRDefault="0033254E">
      <w:pPr>
        <w:pStyle w:val="Zkladntext"/>
        <w:ind w:left="120" w:right="1433"/>
        <w:jc w:val="both"/>
      </w:pPr>
      <w:r>
        <w:t>The</w:t>
      </w:r>
      <w:r>
        <w:rPr>
          <w:spacing w:val="-8"/>
        </w:rPr>
        <w:t xml:space="preserve"> </w:t>
      </w:r>
      <w:r>
        <w:t>action</w:t>
      </w:r>
      <w:r>
        <w:rPr>
          <w:spacing w:val="-10"/>
        </w:rPr>
        <w:t xml:space="preserve"> </w:t>
      </w:r>
      <w:r>
        <w:t>will</w:t>
      </w:r>
      <w:r>
        <w:rPr>
          <w:spacing w:val="-7"/>
        </w:rPr>
        <w:t xml:space="preserve"> </w:t>
      </w:r>
      <w:r>
        <w:rPr>
          <w:b/>
        </w:rPr>
        <w:t>reimburse</w:t>
      </w:r>
      <w:r>
        <w:rPr>
          <w:b/>
          <w:spacing w:val="-7"/>
        </w:rPr>
        <w:t xml:space="preserve"> </w:t>
      </w:r>
      <w:r>
        <w:rPr>
          <w:b/>
        </w:rPr>
        <w:t>50</w:t>
      </w:r>
      <w:r>
        <w:rPr>
          <w:b/>
          <w:spacing w:val="-4"/>
        </w:rPr>
        <w:t xml:space="preserve"> </w:t>
      </w:r>
      <w:r>
        <w:rPr>
          <w:b/>
        </w:rPr>
        <w:t>%</w:t>
      </w:r>
      <w:r>
        <w:rPr>
          <w:b/>
          <w:spacing w:val="-7"/>
        </w:rPr>
        <w:t xml:space="preserve"> </w:t>
      </w:r>
      <w:r>
        <w:rPr>
          <w:b/>
        </w:rPr>
        <w:t>of</w:t>
      </w:r>
      <w:r>
        <w:rPr>
          <w:b/>
          <w:spacing w:val="-9"/>
        </w:rPr>
        <w:t xml:space="preserve"> </w:t>
      </w:r>
      <w:r>
        <w:rPr>
          <w:b/>
        </w:rPr>
        <w:t>the</w:t>
      </w:r>
      <w:r>
        <w:rPr>
          <w:b/>
          <w:spacing w:val="-9"/>
        </w:rPr>
        <w:t xml:space="preserve"> </w:t>
      </w:r>
      <w:r>
        <w:rPr>
          <w:b/>
        </w:rPr>
        <w:t>representation</w:t>
      </w:r>
      <w:r>
        <w:rPr>
          <w:b/>
          <w:spacing w:val="-10"/>
        </w:rPr>
        <w:t xml:space="preserve"> </w:t>
      </w:r>
      <w:r>
        <w:rPr>
          <w:b/>
        </w:rPr>
        <w:t>costs</w:t>
      </w:r>
      <w:r>
        <w:rPr>
          <w:b/>
          <w:spacing w:val="-8"/>
        </w:rPr>
        <w:t xml:space="preserve"> </w:t>
      </w:r>
      <w:r>
        <w:t>relating</w:t>
      </w:r>
      <w:r>
        <w:rPr>
          <w:spacing w:val="-8"/>
        </w:rPr>
        <w:t xml:space="preserve"> </w:t>
      </w:r>
      <w:r>
        <w:t>to</w:t>
      </w:r>
      <w:r>
        <w:rPr>
          <w:spacing w:val="-11"/>
        </w:rPr>
        <w:t xml:space="preserve"> </w:t>
      </w:r>
      <w:r>
        <w:t>the</w:t>
      </w:r>
      <w:r>
        <w:rPr>
          <w:spacing w:val="-7"/>
        </w:rPr>
        <w:t xml:space="preserve"> </w:t>
      </w:r>
      <w:r>
        <w:t>drafting</w:t>
      </w:r>
      <w:r>
        <w:rPr>
          <w:spacing w:val="-9"/>
        </w:rPr>
        <w:t xml:space="preserve"> </w:t>
      </w:r>
      <w:r>
        <w:t>and</w:t>
      </w:r>
      <w:r>
        <w:rPr>
          <w:spacing w:val="-10"/>
        </w:rPr>
        <w:t xml:space="preserve"> </w:t>
      </w:r>
      <w:r>
        <w:t xml:space="preserve">filing of European patent applications charged by persons or entities established in the EU and </w:t>
      </w:r>
      <w:proofErr w:type="spellStart"/>
      <w:r>
        <w:t>Ukraineand</w:t>
      </w:r>
      <w:proofErr w:type="spellEnd"/>
      <w:r>
        <w:rPr>
          <w:spacing w:val="-8"/>
        </w:rPr>
        <w:t xml:space="preserve"> </w:t>
      </w:r>
      <w:r>
        <w:t>entitled</w:t>
      </w:r>
      <w:r>
        <w:rPr>
          <w:spacing w:val="-10"/>
        </w:rPr>
        <w:t xml:space="preserve"> </w:t>
      </w:r>
      <w:r>
        <w:t>to</w:t>
      </w:r>
      <w:r>
        <w:rPr>
          <w:spacing w:val="-10"/>
        </w:rPr>
        <w:t xml:space="preserve"> </w:t>
      </w:r>
      <w:r>
        <w:t>represent</w:t>
      </w:r>
      <w:r>
        <w:rPr>
          <w:spacing w:val="-10"/>
        </w:rPr>
        <w:t xml:space="preserve"> </w:t>
      </w:r>
      <w:r>
        <w:t>applicants</w:t>
      </w:r>
      <w:r>
        <w:rPr>
          <w:spacing w:val="-7"/>
        </w:rPr>
        <w:t xml:space="preserve"> </w:t>
      </w:r>
      <w:r>
        <w:t>in</w:t>
      </w:r>
      <w:r>
        <w:rPr>
          <w:spacing w:val="-8"/>
        </w:rPr>
        <w:t xml:space="preserve"> </w:t>
      </w:r>
      <w:r>
        <w:t>proceedings</w:t>
      </w:r>
      <w:r>
        <w:rPr>
          <w:spacing w:val="-7"/>
        </w:rPr>
        <w:t xml:space="preserve"> </w:t>
      </w:r>
      <w:r>
        <w:t>before</w:t>
      </w:r>
      <w:r>
        <w:rPr>
          <w:spacing w:val="-9"/>
        </w:rPr>
        <w:t xml:space="preserve"> </w:t>
      </w:r>
      <w:r>
        <w:t>the</w:t>
      </w:r>
      <w:r>
        <w:rPr>
          <w:spacing w:val="-10"/>
        </w:rPr>
        <w:t xml:space="preserve"> </w:t>
      </w:r>
      <w:r>
        <w:t>European</w:t>
      </w:r>
      <w:r>
        <w:rPr>
          <w:spacing w:val="-9"/>
        </w:rPr>
        <w:t xml:space="preserve"> </w:t>
      </w:r>
      <w:r>
        <w:t>Patent</w:t>
      </w:r>
      <w:r>
        <w:rPr>
          <w:spacing w:val="-8"/>
        </w:rPr>
        <w:t xml:space="preserve"> </w:t>
      </w:r>
      <w:r>
        <w:t>Office in</w:t>
      </w:r>
      <w:r>
        <w:rPr>
          <w:spacing w:val="-10"/>
        </w:rPr>
        <w:t xml:space="preserve"> </w:t>
      </w:r>
      <w:r>
        <w:t>accordance</w:t>
      </w:r>
      <w:r>
        <w:rPr>
          <w:spacing w:val="-13"/>
        </w:rPr>
        <w:t xml:space="preserve"> </w:t>
      </w:r>
      <w:r>
        <w:t>with</w:t>
      </w:r>
      <w:r>
        <w:rPr>
          <w:spacing w:val="-12"/>
        </w:rPr>
        <w:t xml:space="preserve"> </w:t>
      </w:r>
      <w:r>
        <w:t>the</w:t>
      </w:r>
      <w:r>
        <w:rPr>
          <w:spacing w:val="-10"/>
        </w:rPr>
        <w:t xml:space="preserve"> </w:t>
      </w:r>
      <w:r>
        <w:t>European</w:t>
      </w:r>
      <w:r>
        <w:rPr>
          <w:spacing w:val="-10"/>
        </w:rPr>
        <w:t xml:space="preserve"> </w:t>
      </w:r>
      <w:r>
        <w:t>Patent</w:t>
      </w:r>
      <w:r>
        <w:rPr>
          <w:spacing w:val="-8"/>
        </w:rPr>
        <w:t xml:space="preserve"> </w:t>
      </w:r>
      <w:r>
        <w:t>Convention.</w:t>
      </w:r>
      <w:r>
        <w:rPr>
          <w:spacing w:val="-8"/>
        </w:rPr>
        <w:t xml:space="preserve"> </w:t>
      </w:r>
      <w:r>
        <w:t>The</w:t>
      </w:r>
      <w:r>
        <w:rPr>
          <w:spacing w:val="-11"/>
        </w:rPr>
        <w:t xml:space="preserve"> </w:t>
      </w:r>
      <w:r>
        <w:t>reimbursement</w:t>
      </w:r>
      <w:r>
        <w:rPr>
          <w:spacing w:val="-11"/>
        </w:rPr>
        <w:t xml:space="preserve"> </w:t>
      </w:r>
      <w:r>
        <w:t>rate</w:t>
      </w:r>
      <w:r>
        <w:rPr>
          <w:spacing w:val="-9"/>
        </w:rPr>
        <w:t xml:space="preserve"> </w:t>
      </w:r>
      <w:r>
        <w:t>would</w:t>
      </w:r>
      <w:r>
        <w:rPr>
          <w:spacing w:val="-10"/>
        </w:rPr>
        <w:t xml:space="preserve"> </w:t>
      </w:r>
      <w:r>
        <w:t>be</w:t>
      </w:r>
      <w:r>
        <w:rPr>
          <w:spacing w:val="-13"/>
        </w:rPr>
        <w:t xml:space="preserve"> </w:t>
      </w:r>
      <w:r>
        <w:t>50</w:t>
      </w:r>
      <w:r>
        <w:rPr>
          <w:spacing w:val="-2"/>
        </w:rPr>
        <w:t xml:space="preserve"> </w:t>
      </w:r>
      <w:r>
        <w:t>%, up to a total maximum amount of EUR 1 500 per SME provided that a European Patent application is filed. For the reimbursement, the legal costs must be associated with the filing of a European patent</w:t>
      </w:r>
      <w:r>
        <w:rPr>
          <w:spacing w:val="-1"/>
        </w:rPr>
        <w:t xml:space="preserve"> </w:t>
      </w:r>
      <w:r>
        <w:t>application.</w:t>
      </w:r>
    </w:p>
    <w:p w14:paraId="78328E98" w14:textId="77777777" w:rsidR="00D757DA" w:rsidRDefault="00D757DA">
      <w:pPr>
        <w:pStyle w:val="Zkladntext"/>
      </w:pPr>
    </w:p>
    <w:p w14:paraId="46954897" w14:textId="77777777" w:rsidR="00D757DA" w:rsidRDefault="0033254E">
      <w:pPr>
        <w:pStyle w:val="Zkladntext"/>
        <w:ind w:left="120"/>
        <w:jc w:val="both"/>
      </w:pPr>
      <w:r>
        <w:t>Ukrainian-based SMEs are also potential beneficiaries of activities falling under voucher 3.</w:t>
      </w:r>
    </w:p>
    <w:p w14:paraId="680EADEE" w14:textId="77777777" w:rsidR="00D757DA" w:rsidRDefault="00D757DA">
      <w:pPr>
        <w:pStyle w:val="Zkladntext"/>
      </w:pPr>
    </w:p>
    <w:p w14:paraId="163384F1" w14:textId="77777777" w:rsidR="00D757DA" w:rsidRDefault="0033254E">
      <w:pPr>
        <w:pStyle w:val="Nadpis3"/>
        <w:numPr>
          <w:ilvl w:val="1"/>
          <w:numId w:val="14"/>
        </w:numPr>
        <w:tabs>
          <w:tab w:val="left" w:pos="566"/>
          <w:tab w:val="left" w:pos="1964"/>
        </w:tabs>
        <w:ind w:left="1963" w:right="194" w:hanging="1964"/>
        <w:jc w:val="left"/>
      </w:pPr>
      <w:r>
        <w:t>Activities covered under voucher 4: Community plant variety</w:t>
      </w:r>
      <w:r>
        <w:rPr>
          <w:spacing w:val="-15"/>
        </w:rPr>
        <w:t xml:space="preserve"> </w:t>
      </w:r>
      <w:r>
        <w:t>rights</w:t>
      </w:r>
    </w:p>
    <w:p w14:paraId="517FC03B" w14:textId="77777777" w:rsidR="00D757DA" w:rsidRDefault="00D757DA">
      <w:pPr>
        <w:pStyle w:val="Zkladntext"/>
        <w:spacing w:before="1"/>
        <w:rPr>
          <w:b/>
        </w:rPr>
      </w:pPr>
    </w:p>
    <w:p w14:paraId="2CFE777E" w14:textId="77777777" w:rsidR="00D757DA" w:rsidRDefault="0033254E">
      <w:pPr>
        <w:pStyle w:val="Zkladntext"/>
        <w:ind w:left="120"/>
        <w:jc w:val="both"/>
      </w:pPr>
      <w:r>
        <w:t>One voucher can be requested per eligible SME.</w:t>
      </w:r>
    </w:p>
    <w:p w14:paraId="393AF15E" w14:textId="77777777" w:rsidR="00D757DA" w:rsidRDefault="00D757DA">
      <w:pPr>
        <w:pStyle w:val="Zkladntext"/>
      </w:pPr>
    </w:p>
    <w:p w14:paraId="254A7FC3" w14:textId="77777777" w:rsidR="00D757DA" w:rsidRDefault="0033254E">
      <w:pPr>
        <w:pStyle w:val="Zkladntext"/>
        <w:ind w:left="120" w:right="1437"/>
        <w:jc w:val="both"/>
      </w:pPr>
      <w:r>
        <w:t>Up</w:t>
      </w:r>
      <w:r>
        <w:rPr>
          <w:spacing w:val="-5"/>
        </w:rPr>
        <w:t xml:space="preserve"> </w:t>
      </w:r>
      <w:r>
        <w:t>to</w:t>
      </w:r>
      <w:r>
        <w:rPr>
          <w:spacing w:val="-4"/>
        </w:rPr>
        <w:t xml:space="preserve"> </w:t>
      </w:r>
      <w:r>
        <w:t>EUR</w:t>
      </w:r>
      <w:r>
        <w:rPr>
          <w:spacing w:val="-5"/>
        </w:rPr>
        <w:t xml:space="preserve"> </w:t>
      </w:r>
      <w:r>
        <w:t>1</w:t>
      </w:r>
      <w:r>
        <w:rPr>
          <w:spacing w:val="-4"/>
        </w:rPr>
        <w:t xml:space="preserve"> </w:t>
      </w:r>
      <w:r>
        <w:t>500</w:t>
      </w:r>
      <w:r>
        <w:rPr>
          <w:spacing w:val="-4"/>
        </w:rPr>
        <w:t xml:space="preserve"> </w:t>
      </w:r>
      <w:r>
        <w:t>is</w:t>
      </w:r>
      <w:r>
        <w:rPr>
          <w:spacing w:val="-5"/>
        </w:rPr>
        <w:t xml:space="preserve"> </w:t>
      </w:r>
      <w:r>
        <w:t>available</w:t>
      </w:r>
      <w:r>
        <w:rPr>
          <w:spacing w:val="-4"/>
        </w:rPr>
        <w:t xml:space="preserve"> </w:t>
      </w:r>
      <w:r>
        <w:t>per</w:t>
      </w:r>
      <w:r>
        <w:rPr>
          <w:spacing w:val="-4"/>
        </w:rPr>
        <w:t xml:space="preserve"> </w:t>
      </w:r>
      <w:r>
        <w:t>beneficiary,</w:t>
      </w:r>
      <w:r>
        <w:rPr>
          <w:spacing w:val="-3"/>
        </w:rPr>
        <w:t xml:space="preserve"> </w:t>
      </w:r>
      <w:r>
        <w:t>and</w:t>
      </w:r>
      <w:r>
        <w:rPr>
          <w:spacing w:val="-6"/>
        </w:rPr>
        <w:t xml:space="preserve"> </w:t>
      </w:r>
      <w:r>
        <w:t>this</w:t>
      </w:r>
      <w:r>
        <w:rPr>
          <w:spacing w:val="-5"/>
        </w:rPr>
        <w:t xml:space="preserve"> </w:t>
      </w:r>
      <w:r>
        <w:t>is</w:t>
      </w:r>
      <w:r>
        <w:rPr>
          <w:spacing w:val="-4"/>
        </w:rPr>
        <w:t xml:space="preserve"> </w:t>
      </w:r>
      <w:r>
        <w:t>limited</w:t>
      </w:r>
      <w:r>
        <w:rPr>
          <w:spacing w:val="-4"/>
        </w:rPr>
        <w:t xml:space="preserve"> </w:t>
      </w:r>
      <w:r>
        <w:t>to</w:t>
      </w:r>
      <w:r>
        <w:rPr>
          <w:spacing w:val="-7"/>
        </w:rPr>
        <w:t xml:space="preserve"> </w:t>
      </w:r>
      <w:r>
        <w:t>the</w:t>
      </w:r>
      <w:r>
        <w:rPr>
          <w:spacing w:val="-4"/>
        </w:rPr>
        <w:t xml:space="preserve"> </w:t>
      </w:r>
      <w:r>
        <w:t>financial</w:t>
      </w:r>
      <w:r>
        <w:rPr>
          <w:spacing w:val="-5"/>
        </w:rPr>
        <w:t xml:space="preserve"> </w:t>
      </w:r>
      <w:r>
        <w:t>contribution</w:t>
      </w:r>
      <w:r>
        <w:rPr>
          <w:spacing w:val="-5"/>
        </w:rPr>
        <w:t xml:space="preserve"> </w:t>
      </w:r>
      <w:r>
        <w:t>of the European Commission for the following</w:t>
      </w:r>
      <w:r>
        <w:rPr>
          <w:spacing w:val="-6"/>
        </w:rPr>
        <w:t xml:space="preserve"> </w:t>
      </w:r>
      <w:r>
        <w:t>activities:</w:t>
      </w:r>
    </w:p>
    <w:p w14:paraId="361422CC" w14:textId="77777777" w:rsidR="00D757DA" w:rsidRDefault="00D757DA">
      <w:pPr>
        <w:pStyle w:val="Zkladntext"/>
      </w:pPr>
    </w:p>
    <w:p w14:paraId="3D87C679" w14:textId="77777777" w:rsidR="00D757DA" w:rsidRDefault="0033254E">
      <w:pPr>
        <w:ind w:left="120" w:right="1434"/>
        <w:jc w:val="both"/>
      </w:pPr>
      <w:r>
        <w:t>The</w:t>
      </w:r>
      <w:r>
        <w:rPr>
          <w:spacing w:val="-5"/>
        </w:rPr>
        <w:t xml:space="preserve"> </w:t>
      </w:r>
      <w:r>
        <w:t>online</w:t>
      </w:r>
      <w:r>
        <w:rPr>
          <w:spacing w:val="-4"/>
        </w:rPr>
        <w:t xml:space="preserve"> </w:t>
      </w:r>
      <w:r>
        <w:rPr>
          <w:b/>
        </w:rPr>
        <w:t>application</w:t>
      </w:r>
      <w:r>
        <w:rPr>
          <w:b/>
          <w:spacing w:val="-8"/>
        </w:rPr>
        <w:t xml:space="preserve"> </w:t>
      </w:r>
      <w:r>
        <w:rPr>
          <w:b/>
        </w:rPr>
        <w:t>fees</w:t>
      </w:r>
      <w:r>
        <w:rPr>
          <w:b/>
          <w:spacing w:val="-3"/>
        </w:rPr>
        <w:t xml:space="preserve"> </w:t>
      </w:r>
      <w:r>
        <w:rPr>
          <w:b/>
        </w:rPr>
        <w:t>and</w:t>
      </w:r>
      <w:r>
        <w:rPr>
          <w:b/>
          <w:spacing w:val="-4"/>
        </w:rPr>
        <w:t xml:space="preserve"> </w:t>
      </w:r>
      <w:r>
        <w:rPr>
          <w:b/>
        </w:rPr>
        <w:t>examination</w:t>
      </w:r>
      <w:r>
        <w:rPr>
          <w:b/>
          <w:spacing w:val="-8"/>
        </w:rPr>
        <w:t xml:space="preserve"> </w:t>
      </w:r>
      <w:r>
        <w:rPr>
          <w:b/>
        </w:rPr>
        <w:t>fees</w:t>
      </w:r>
      <w:r>
        <w:rPr>
          <w:b/>
          <w:spacing w:val="-3"/>
        </w:rPr>
        <w:t xml:space="preserve"> </w:t>
      </w:r>
      <w:r>
        <w:t>charged</w:t>
      </w:r>
      <w:r>
        <w:rPr>
          <w:spacing w:val="-5"/>
        </w:rPr>
        <w:t xml:space="preserve"> </w:t>
      </w:r>
      <w:r>
        <w:t>by</w:t>
      </w:r>
      <w:r>
        <w:rPr>
          <w:spacing w:val="-4"/>
        </w:rPr>
        <w:t xml:space="preserve"> </w:t>
      </w:r>
      <w:r>
        <w:t>the</w:t>
      </w:r>
      <w:r>
        <w:rPr>
          <w:spacing w:val="-7"/>
        </w:rPr>
        <w:t xml:space="preserve"> </w:t>
      </w:r>
      <w:r>
        <w:t>Community</w:t>
      </w:r>
      <w:r>
        <w:rPr>
          <w:spacing w:val="-5"/>
        </w:rPr>
        <w:t xml:space="preserve"> </w:t>
      </w:r>
      <w:r>
        <w:t>Plant</w:t>
      </w:r>
      <w:r>
        <w:rPr>
          <w:spacing w:val="-5"/>
        </w:rPr>
        <w:t xml:space="preserve"> </w:t>
      </w:r>
      <w:r>
        <w:t xml:space="preserve">Variety Office (CPVO) will be </w:t>
      </w:r>
      <w:r>
        <w:rPr>
          <w:b/>
        </w:rPr>
        <w:t>reimbursed up to 75</w:t>
      </w:r>
      <w:r>
        <w:rPr>
          <w:b/>
          <w:spacing w:val="-8"/>
        </w:rPr>
        <w:t xml:space="preserve"> </w:t>
      </w:r>
      <w:r>
        <w:rPr>
          <w:b/>
        </w:rPr>
        <w:t>%</w:t>
      </w:r>
      <w:r>
        <w:t>.</w:t>
      </w:r>
    </w:p>
    <w:p w14:paraId="1CD5EC0C" w14:textId="77777777" w:rsidR="00D757DA" w:rsidRDefault="00D757DA">
      <w:pPr>
        <w:pStyle w:val="Zkladntext"/>
        <w:spacing w:before="11"/>
        <w:rPr>
          <w:sz w:val="21"/>
        </w:rPr>
      </w:pPr>
    </w:p>
    <w:p w14:paraId="55CD44E7" w14:textId="77777777" w:rsidR="00D757DA" w:rsidRDefault="0033254E">
      <w:pPr>
        <w:pStyle w:val="Zkladntext"/>
        <w:ind w:left="120"/>
        <w:jc w:val="both"/>
      </w:pPr>
      <w:r>
        <w:t>Ukrainian-based SMEs are also potential beneficiaries of voucher 4.</w:t>
      </w:r>
    </w:p>
    <w:p w14:paraId="3ED922C4" w14:textId="77777777" w:rsidR="00D757DA" w:rsidRDefault="00D757DA">
      <w:pPr>
        <w:pStyle w:val="Zkladntext"/>
      </w:pPr>
    </w:p>
    <w:p w14:paraId="2B1792AB" w14:textId="77777777" w:rsidR="00D757DA" w:rsidRDefault="0033254E">
      <w:pPr>
        <w:pStyle w:val="Nadpis3"/>
        <w:numPr>
          <w:ilvl w:val="0"/>
          <w:numId w:val="11"/>
        </w:numPr>
        <w:tabs>
          <w:tab w:val="left" w:pos="368"/>
        </w:tabs>
        <w:spacing w:before="1"/>
      </w:pPr>
      <w:r>
        <w:t>Expected</w:t>
      </w:r>
      <w:r>
        <w:rPr>
          <w:spacing w:val="-3"/>
        </w:rPr>
        <w:t xml:space="preserve"> </w:t>
      </w:r>
      <w:r>
        <w:t>benefits</w:t>
      </w:r>
    </w:p>
    <w:p w14:paraId="42627F51" w14:textId="77777777" w:rsidR="00D757DA" w:rsidRDefault="0033254E">
      <w:pPr>
        <w:pStyle w:val="Zkladntext"/>
        <w:spacing w:before="157"/>
        <w:ind w:left="120" w:right="1431"/>
        <w:jc w:val="both"/>
      </w:pPr>
      <w:r>
        <w:t>The action will have the following benefits, covering the entire trajectory from IP protection to enforcement of</w:t>
      </w:r>
      <w:r>
        <w:rPr>
          <w:spacing w:val="-3"/>
        </w:rPr>
        <w:t xml:space="preserve"> </w:t>
      </w:r>
      <w:r>
        <w:t>rights:</w:t>
      </w:r>
    </w:p>
    <w:p w14:paraId="57BB0E0E" w14:textId="77777777" w:rsidR="00D757DA" w:rsidRDefault="00D757DA">
      <w:pPr>
        <w:pStyle w:val="Zkladntext"/>
        <w:spacing w:before="3"/>
      </w:pPr>
    </w:p>
    <w:p w14:paraId="3E1721CD" w14:textId="77777777" w:rsidR="00D757DA" w:rsidRDefault="0033254E">
      <w:pPr>
        <w:pStyle w:val="Odstavecseseznamem"/>
        <w:numPr>
          <w:ilvl w:val="0"/>
          <w:numId w:val="13"/>
        </w:numPr>
        <w:tabs>
          <w:tab w:val="left" w:pos="687"/>
        </w:tabs>
        <w:spacing w:before="1" w:line="237" w:lineRule="auto"/>
        <w:ind w:right="1436"/>
      </w:pPr>
      <w:r>
        <w:t xml:space="preserve">economic support for </w:t>
      </w:r>
      <w:r>
        <w:rPr>
          <w:sz w:val="20"/>
        </w:rPr>
        <w:t xml:space="preserve">EU </w:t>
      </w:r>
      <w:r>
        <w:t xml:space="preserve">and Ukrainian-based SMEs during the economic recovery </w:t>
      </w:r>
      <w:proofErr w:type="gramStart"/>
      <w:r>
        <w:t>period;</w:t>
      </w:r>
      <w:proofErr w:type="gramEnd"/>
    </w:p>
    <w:p w14:paraId="187892D6" w14:textId="77777777" w:rsidR="00D757DA" w:rsidRDefault="0033254E">
      <w:pPr>
        <w:pStyle w:val="Odstavecseseznamem"/>
        <w:numPr>
          <w:ilvl w:val="0"/>
          <w:numId w:val="13"/>
        </w:numPr>
        <w:tabs>
          <w:tab w:val="left" w:pos="687"/>
        </w:tabs>
        <w:spacing w:before="1" w:line="269" w:lineRule="exact"/>
      </w:pPr>
      <w:r>
        <w:t>increased awareness of the benefits of IPR among EU and Ukrainian-based</w:t>
      </w:r>
      <w:r>
        <w:rPr>
          <w:spacing w:val="-14"/>
        </w:rPr>
        <w:t xml:space="preserve"> </w:t>
      </w:r>
      <w:proofErr w:type="gramStart"/>
      <w:r>
        <w:t>SMEs;</w:t>
      </w:r>
      <w:proofErr w:type="gramEnd"/>
    </w:p>
    <w:p w14:paraId="64A5DBA7" w14:textId="77777777" w:rsidR="00D757DA" w:rsidRDefault="0033254E">
      <w:pPr>
        <w:pStyle w:val="Odstavecseseznamem"/>
        <w:numPr>
          <w:ilvl w:val="0"/>
          <w:numId w:val="13"/>
        </w:numPr>
        <w:tabs>
          <w:tab w:val="left" w:pos="687"/>
        </w:tabs>
        <w:spacing w:before="2" w:line="237" w:lineRule="auto"/>
        <w:ind w:right="1434"/>
      </w:pPr>
      <w:r>
        <w:t>increased awareness among EU and Ukrainian-based SMEs regarding IPR infringements and information relating to their risks, as well possible enforcement and preventive</w:t>
      </w:r>
      <w:r>
        <w:rPr>
          <w:spacing w:val="-4"/>
        </w:rPr>
        <w:t xml:space="preserve"> </w:t>
      </w:r>
      <w:proofErr w:type="gramStart"/>
      <w:r>
        <w:t>actions;</w:t>
      </w:r>
      <w:proofErr w:type="gramEnd"/>
    </w:p>
    <w:p w14:paraId="49E8938C" w14:textId="77777777" w:rsidR="00D757DA" w:rsidRDefault="0033254E">
      <w:pPr>
        <w:pStyle w:val="Odstavecseseznamem"/>
        <w:numPr>
          <w:ilvl w:val="0"/>
          <w:numId w:val="13"/>
        </w:numPr>
        <w:tabs>
          <w:tab w:val="left" w:pos="687"/>
        </w:tabs>
        <w:spacing w:before="3" w:line="269" w:lineRule="exact"/>
      </w:pPr>
      <w:r>
        <w:t>greater investment in IP-related activities such as IP advice and IP</w:t>
      </w:r>
      <w:r>
        <w:rPr>
          <w:spacing w:val="-11"/>
        </w:rPr>
        <w:t xml:space="preserve"> </w:t>
      </w:r>
      <w:proofErr w:type="gramStart"/>
      <w:r>
        <w:t>protection;</w:t>
      </w:r>
      <w:proofErr w:type="gramEnd"/>
    </w:p>
    <w:p w14:paraId="7A7141B0" w14:textId="77777777" w:rsidR="00D757DA" w:rsidRDefault="0033254E">
      <w:pPr>
        <w:pStyle w:val="Odstavecseseznamem"/>
        <w:numPr>
          <w:ilvl w:val="0"/>
          <w:numId w:val="13"/>
        </w:numPr>
        <w:tabs>
          <w:tab w:val="left" w:pos="687"/>
        </w:tabs>
        <w:spacing w:line="268" w:lineRule="exact"/>
      </w:pPr>
      <w:r>
        <w:t>increased investment in technological innovation by EU and Ukrainian-based</w:t>
      </w:r>
      <w:r>
        <w:rPr>
          <w:spacing w:val="-12"/>
        </w:rPr>
        <w:t xml:space="preserve"> </w:t>
      </w:r>
      <w:proofErr w:type="gramStart"/>
      <w:r>
        <w:t>SMEs;</w:t>
      </w:r>
      <w:proofErr w:type="gramEnd"/>
    </w:p>
    <w:p w14:paraId="65F2095A" w14:textId="77777777" w:rsidR="00D757DA" w:rsidRDefault="0033254E">
      <w:pPr>
        <w:pStyle w:val="Odstavecseseznamem"/>
        <w:numPr>
          <w:ilvl w:val="0"/>
          <w:numId w:val="13"/>
        </w:numPr>
        <w:tabs>
          <w:tab w:val="left" w:pos="687"/>
        </w:tabs>
        <w:ind w:right="1435"/>
      </w:pPr>
      <w:r>
        <w:t>stronger competitive advantage due to better management of intangible assets, including</w:t>
      </w:r>
      <w:r>
        <w:rPr>
          <w:spacing w:val="-14"/>
        </w:rPr>
        <w:t xml:space="preserve"> </w:t>
      </w:r>
      <w:r>
        <w:t>the</w:t>
      </w:r>
      <w:r>
        <w:rPr>
          <w:spacing w:val="-14"/>
        </w:rPr>
        <w:t xml:space="preserve"> </w:t>
      </w:r>
      <w:r>
        <w:t>increased</w:t>
      </w:r>
      <w:r>
        <w:rPr>
          <w:spacing w:val="-14"/>
        </w:rPr>
        <w:t xml:space="preserve"> </w:t>
      </w:r>
      <w:r>
        <w:t>protection</w:t>
      </w:r>
      <w:r>
        <w:rPr>
          <w:spacing w:val="-14"/>
        </w:rPr>
        <w:t xml:space="preserve"> </w:t>
      </w:r>
      <w:r>
        <w:t>of</w:t>
      </w:r>
      <w:r>
        <w:rPr>
          <w:spacing w:val="-13"/>
        </w:rPr>
        <w:t xml:space="preserve"> </w:t>
      </w:r>
      <w:r>
        <w:t>the</w:t>
      </w:r>
      <w:r>
        <w:rPr>
          <w:spacing w:val="-16"/>
        </w:rPr>
        <w:t xml:space="preserve"> </w:t>
      </w:r>
      <w:r>
        <w:t>intellectual</w:t>
      </w:r>
      <w:r>
        <w:rPr>
          <w:spacing w:val="-14"/>
        </w:rPr>
        <w:t xml:space="preserve"> </w:t>
      </w:r>
      <w:r>
        <w:t>property</w:t>
      </w:r>
      <w:r>
        <w:rPr>
          <w:spacing w:val="-13"/>
        </w:rPr>
        <w:t xml:space="preserve"> </w:t>
      </w:r>
      <w:r>
        <w:t>of</w:t>
      </w:r>
      <w:r>
        <w:rPr>
          <w:spacing w:val="-12"/>
        </w:rPr>
        <w:t xml:space="preserve"> </w:t>
      </w:r>
      <w:r>
        <w:t>EU</w:t>
      </w:r>
      <w:r>
        <w:rPr>
          <w:spacing w:val="-13"/>
        </w:rPr>
        <w:t xml:space="preserve"> </w:t>
      </w:r>
      <w:r>
        <w:t>and</w:t>
      </w:r>
      <w:r>
        <w:rPr>
          <w:spacing w:val="-13"/>
        </w:rPr>
        <w:t xml:space="preserve"> </w:t>
      </w:r>
      <w:r>
        <w:t xml:space="preserve">Ukrainian-based </w:t>
      </w:r>
      <w:proofErr w:type="gramStart"/>
      <w:r>
        <w:t>SMEs;</w:t>
      </w:r>
      <w:proofErr w:type="gramEnd"/>
    </w:p>
    <w:p w14:paraId="115DAAD3" w14:textId="77777777" w:rsidR="00D757DA" w:rsidRDefault="0033254E">
      <w:pPr>
        <w:pStyle w:val="Odstavecseseznamem"/>
        <w:numPr>
          <w:ilvl w:val="0"/>
          <w:numId w:val="13"/>
        </w:numPr>
        <w:tabs>
          <w:tab w:val="left" w:pos="686"/>
          <w:tab w:val="left" w:pos="687"/>
        </w:tabs>
        <w:spacing w:line="268" w:lineRule="exact"/>
        <w:jc w:val="left"/>
      </w:pPr>
      <w:r>
        <w:t>promotion of the EU’s objective of supporting the EU economic recovery, as well as</w:t>
      </w:r>
      <w:r>
        <w:rPr>
          <w:spacing w:val="-36"/>
        </w:rPr>
        <w:t xml:space="preserve"> </w:t>
      </w:r>
      <w:r>
        <w:t>the</w:t>
      </w:r>
    </w:p>
    <w:p w14:paraId="516F0E0F" w14:textId="77777777" w:rsidR="00D757DA" w:rsidRDefault="0033254E">
      <w:pPr>
        <w:pStyle w:val="Zkladntext"/>
        <w:spacing w:line="252" w:lineRule="exact"/>
        <w:ind w:left="686"/>
      </w:pPr>
      <w:r>
        <w:t>resulting reputational benefits for the IPOs and the EU.</w:t>
      </w:r>
    </w:p>
    <w:p w14:paraId="2C7B3223" w14:textId="77777777" w:rsidR="00D757DA" w:rsidRDefault="00D757DA">
      <w:pPr>
        <w:pStyle w:val="Zkladntext"/>
        <w:spacing w:before="11"/>
        <w:rPr>
          <w:sz w:val="21"/>
        </w:rPr>
      </w:pPr>
    </w:p>
    <w:p w14:paraId="0D3F36A5" w14:textId="77777777" w:rsidR="00D757DA" w:rsidRDefault="0033254E">
      <w:pPr>
        <w:pStyle w:val="Nadpis3"/>
        <w:numPr>
          <w:ilvl w:val="0"/>
          <w:numId w:val="11"/>
        </w:numPr>
        <w:tabs>
          <w:tab w:val="left" w:pos="375"/>
        </w:tabs>
        <w:spacing w:line="448" w:lineRule="auto"/>
        <w:ind w:left="120" w:right="7605" w:firstLine="0"/>
        <w:rPr>
          <w:sz w:val="24"/>
        </w:rPr>
      </w:pPr>
      <w:bookmarkStart w:id="63" w:name="4._Role_and_responsibilities"/>
      <w:bookmarkEnd w:id="63"/>
      <w:r>
        <w:t xml:space="preserve">Role and responsibilities </w:t>
      </w:r>
      <w:proofErr w:type="gramStart"/>
      <w:r>
        <w:t>The</w:t>
      </w:r>
      <w:proofErr w:type="gramEnd"/>
      <w:r>
        <w:rPr>
          <w:spacing w:val="-3"/>
        </w:rPr>
        <w:t xml:space="preserve"> </w:t>
      </w:r>
      <w:r>
        <w:t>EUIPO</w:t>
      </w:r>
    </w:p>
    <w:p w14:paraId="4D2007D2" w14:textId="77777777" w:rsidR="00D757DA" w:rsidRDefault="0033254E">
      <w:pPr>
        <w:pStyle w:val="Zkladntext"/>
        <w:spacing w:before="57" w:line="276" w:lineRule="auto"/>
        <w:ind w:left="120" w:right="1433"/>
        <w:jc w:val="both"/>
      </w:pPr>
      <w:r>
        <w:t>The EUIPO is responsible for the launch and implementation of the SME Fund. This includes the</w:t>
      </w:r>
      <w:r>
        <w:rPr>
          <w:spacing w:val="-8"/>
        </w:rPr>
        <w:t xml:space="preserve"> </w:t>
      </w:r>
      <w:r>
        <w:t>provision</w:t>
      </w:r>
      <w:r>
        <w:rPr>
          <w:spacing w:val="-7"/>
        </w:rPr>
        <w:t xml:space="preserve"> </w:t>
      </w:r>
      <w:r>
        <w:t>of</w:t>
      </w:r>
      <w:r>
        <w:rPr>
          <w:spacing w:val="-5"/>
        </w:rPr>
        <w:t xml:space="preserve"> </w:t>
      </w:r>
      <w:r>
        <w:t>editable</w:t>
      </w:r>
      <w:r>
        <w:rPr>
          <w:spacing w:val="-9"/>
        </w:rPr>
        <w:t xml:space="preserve"> </w:t>
      </w:r>
      <w:r>
        <w:t>digital</w:t>
      </w:r>
      <w:r>
        <w:rPr>
          <w:spacing w:val="-7"/>
        </w:rPr>
        <w:t xml:space="preserve"> </w:t>
      </w:r>
      <w:r>
        <w:t>communication</w:t>
      </w:r>
      <w:r>
        <w:rPr>
          <w:spacing w:val="-7"/>
        </w:rPr>
        <w:t xml:space="preserve"> </w:t>
      </w:r>
      <w:r>
        <w:t>material</w:t>
      </w:r>
      <w:r>
        <w:rPr>
          <w:spacing w:val="-7"/>
        </w:rPr>
        <w:t xml:space="preserve"> </w:t>
      </w:r>
      <w:r>
        <w:t>to</w:t>
      </w:r>
      <w:r>
        <w:rPr>
          <w:spacing w:val="-9"/>
        </w:rPr>
        <w:t xml:space="preserve"> </w:t>
      </w:r>
      <w:r>
        <w:t>the</w:t>
      </w:r>
      <w:r>
        <w:rPr>
          <w:spacing w:val="-9"/>
        </w:rPr>
        <w:t xml:space="preserve"> </w:t>
      </w:r>
      <w:r>
        <w:t>IPOs</w:t>
      </w:r>
      <w:r>
        <w:rPr>
          <w:spacing w:val="-6"/>
        </w:rPr>
        <w:t xml:space="preserve"> </w:t>
      </w:r>
      <w:r>
        <w:t>to</w:t>
      </w:r>
      <w:r>
        <w:rPr>
          <w:spacing w:val="-9"/>
        </w:rPr>
        <w:t xml:space="preserve"> </w:t>
      </w:r>
      <w:r>
        <w:t>promote</w:t>
      </w:r>
      <w:r>
        <w:rPr>
          <w:spacing w:val="-8"/>
        </w:rPr>
        <w:t xml:space="preserve"> </w:t>
      </w:r>
      <w:r>
        <w:t>the</w:t>
      </w:r>
      <w:r>
        <w:rPr>
          <w:spacing w:val="-7"/>
        </w:rPr>
        <w:t xml:space="preserve"> </w:t>
      </w:r>
      <w:r>
        <w:t>SME</w:t>
      </w:r>
      <w:r>
        <w:rPr>
          <w:spacing w:val="-7"/>
        </w:rPr>
        <w:t xml:space="preserve"> </w:t>
      </w:r>
      <w:r>
        <w:t>Fund</w:t>
      </w:r>
    </w:p>
    <w:p w14:paraId="60D8DFC0" w14:textId="77777777" w:rsidR="00D757DA" w:rsidRDefault="00D757DA">
      <w:pPr>
        <w:spacing w:line="276" w:lineRule="auto"/>
        <w:jc w:val="both"/>
        <w:sectPr w:rsidR="00D757DA">
          <w:pgSz w:w="11910" w:h="16840"/>
          <w:pgMar w:top="1340" w:right="0" w:bottom="1160" w:left="1320" w:header="0" w:footer="881" w:gutter="0"/>
          <w:cols w:space="708"/>
        </w:sectPr>
      </w:pPr>
    </w:p>
    <w:p w14:paraId="7B0CA821" w14:textId="77777777" w:rsidR="00D757DA" w:rsidRDefault="0033254E">
      <w:pPr>
        <w:pStyle w:val="Zkladntext"/>
        <w:spacing w:before="81" w:line="276" w:lineRule="auto"/>
        <w:ind w:left="120" w:right="1436"/>
        <w:jc w:val="both"/>
      </w:pPr>
      <w:r>
        <w:lastRenderedPageBreak/>
        <w:t>in</w:t>
      </w:r>
      <w:r>
        <w:rPr>
          <w:spacing w:val="-12"/>
        </w:rPr>
        <w:t xml:space="preserve"> </w:t>
      </w:r>
      <w:r>
        <w:t>their</w:t>
      </w:r>
      <w:r>
        <w:rPr>
          <w:spacing w:val="-16"/>
        </w:rPr>
        <w:t xml:space="preserve"> </w:t>
      </w:r>
      <w:r>
        <w:t>territory.</w:t>
      </w:r>
      <w:r>
        <w:rPr>
          <w:spacing w:val="-12"/>
        </w:rPr>
        <w:t xml:space="preserve"> </w:t>
      </w:r>
      <w:r>
        <w:t>The</w:t>
      </w:r>
      <w:r>
        <w:rPr>
          <w:spacing w:val="-15"/>
        </w:rPr>
        <w:t xml:space="preserve"> </w:t>
      </w:r>
      <w:r>
        <w:t>EUIPO</w:t>
      </w:r>
      <w:r>
        <w:rPr>
          <w:spacing w:val="-10"/>
        </w:rPr>
        <w:t xml:space="preserve"> </w:t>
      </w:r>
      <w:r>
        <w:t>is</w:t>
      </w:r>
      <w:r>
        <w:rPr>
          <w:spacing w:val="-14"/>
        </w:rPr>
        <w:t xml:space="preserve"> </w:t>
      </w:r>
      <w:r>
        <w:t>also</w:t>
      </w:r>
      <w:r>
        <w:rPr>
          <w:spacing w:val="-14"/>
        </w:rPr>
        <w:t xml:space="preserve"> </w:t>
      </w:r>
      <w:r>
        <w:t>responsible</w:t>
      </w:r>
      <w:r>
        <w:rPr>
          <w:spacing w:val="-12"/>
        </w:rPr>
        <w:t xml:space="preserve"> </w:t>
      </w:r>
      <w:r>
        <w:t>for</w:t>
      </w:r>
      <w:r>
        <w:rPr>
          <w:spacing w:val="-14"/>
        </w:rPr>
        <w:t xml:space="preserve"> </w:t>
      </w:r>
      <w:r>
        <w:t>training</w:t>
      </w:r>
      <w:r>
        <w:rPr>
          <w:spacing w:val="-14"/>
        </w:rPr>
        <w:t xml:space="preserve"> </w:t>
      </w:r>
      <w:r>
        <w:t>the</w:t>
      </w:r>
      <w:r>
        <w:rPr>
          <w:spacing w:val="-14"/>
        </w:rPr>
        <w:t xml:space="preserve"> </w:t>
      </w:r>
      <w:r>
        <w:t>experts</w:t>
      </w:r>
      <w:r>
        <w:rPr>
          <w:spacing w:val="-14"/>
        </w:rPr>
        <w:t xml:space="preserve"> </w:t>
      </w:r>
      <w:r>
        <w:t>designated</w:t>
      </w:r>
      <w:r>
        <w:rPr>
          <w:spacing w:val="-14"/>
        </w:rPr>
        <w:t xml:space="preserve"> </w:t>
      </w:r>
      <w:r>
        <w:t>by</w:t>
      </w:r>
      <w:r>
        <w:rPr>
          <w:spacing w:val="-14"/>
        </w:rPr>
        <w:t xml:space="preserve"> </w:t>
      </w:r>
      <w:r>
        <w:t>the</w:t>
      </w:r>
      <w:r>
        <w:rPr>
          <w:spacing w:val="-16"/>
        </w:rPr>
        <w:t xml:space="preserve"> </w:t>
      </w:r>
      <w:r>
        <w:t>IPOs to deliver the IP Scan and IP Scan Enforcement services under the SME</w:t>
      </w:r>
      <w:r>
        <w:rPr>
          <w:spacing w:val="-18"/>
        </w:rPr>
        <w:t xml:space="preserve"> </w:t>
      </w:r>
      <w:r>
        <w:t>Fund.</w:t>
      </w:r>
    </w:p>
    <w:p w14:paraId="2F9B02F5" w14:textId="77777777" w:rsidR="00D757DA" w:rsidRDefault="00D757DA">
      <w:pPr>
        <w:pStyle w:val="Zkladntext"/>
        <w:spacing w:before="10"/>
        <w:rPr>
          <w:sz w:val="20"/>
        </w:rPr>
      </w:pPr>
    </w:p>
    <w:p w14:paraId="68CD4C57" w14:textId="77777777" w:rsidR="00D757DA" w:rsidRDefault="0033254E">
      <w:pPr>
        <w:pStyle w:val="Nadpis3"/>
        <w:jc w:val="both"/>
      </w:pPr>
      <w:r>
        <w:t>The IPOs</w:t>
      </w:r>
    </w:p>
    <w:p w14:paraId="26F68F8E" w14:textId="77777777" w:rsidR="00D757DA" w:rsidRDefault="00D757DA">
      <w:pPr>
        <w:pStyle w:val="Zkladntext"/>
        <w:spacing w:before="3"/>
        <w:rPr>
          <w:b/>
          <w:sz w:val="24"/>
        </w:rPr>
      </w:pPr>
    </w:p>
    <w:p w14:paraId="5BEE0E48" w14:textId="77777777" w:rsidR="00D757DA" w:rsidRDefault="0033254E">
      <w:pPr>
        <w:pStyle w:val="Zkladntext"/>
        <w:spacing w:before="1" w:line="276" w:lineRule="auto"/>
        <w:ind w:left="120" w:right="1439"/>
        <w:jc w:val="both"/>
      </w:pPr>
      <w:r>
        <w:t>All</w:t>
      </w:r>
      <w:r>
        <w:rPr>
          <w:spacing w:val="-11"/>
        </w:rPr>
        <w:t xml:space="preserve"> </w:t>
      </w:r>
      <w:r>
        <w:t>IPOs</w:t>
      </w:r>
      <w:r>
        <w:rPr>
          <w:spacing w:val="-9"/>
        </w:rPr>
        <w:t xml:space="preserve"> </w:t>
      </w:r>
      <w:r>
        <w:t>are</w:t>
      </w:r>
      <w:r>
        <w:rPr>
          <w:spacing w:val="-9"/>
        </w:rPr>
        <w:t xml:space="preserve"> </w:t>
      </w:r>
      <w:r>
        <w:t>invited</w:t>
      </w:r>
      <w:r>
        <w:rPr>
          <w:spacing w:val="-13"/>
        </w:rPr>
        <w:t xml:space="preserve"> </w:t>
      </w:r>
      <w:r>
        <w:t>to</w:t>
      </w:r>
      <w:r>
        <w:rPr>
          <w:spacing w:val="-9"/>
        </w:rPr>
        <w:t xml:space="preserve"> </w:t>
      </w:r>
      <w:r>
        <w:t>participate</w:t>
      </w:r>
      <w:r>
        <w:rPr>
          <w:spacing w:val="-10"/>
        </w:rPr>
        <w:t xml:space="preserve"> </w:t>
      </w:r>
      <w:r>
        <w:t>on</w:t>
      </w:r>
      <w:r>
        <w:rPr>
          <w:spacing w:val="-12"/>
        </w:rPr>
        <w:t xml:space="preserve"> </w:t>
      </w:r>
      <w:r>
        <w:t>a</w:t>
      </w:r>
      <w:r>
        <w:rPr>
          <w:spacing w:val="-10"/>
        </w:rPr>
        <w:t xml:space="preserve"> </w:t>
      </w:r>
      <w:r>
        <w:t>voluntary</w:t>
      </w:r>
      <w:r>
        <w:rPr>
          <w:spacing w:val="-10"/>
        </w:rPr>
        <w:t xml:space="preserve"> </w:t>
      </w:r>
      <w:r>
        <w:t>basis</w:t>
      </w:r>
      <w:r>
        <w:rPr>
          <w:spacing w:val="-9"/>
        </w:rPr>
        <w:t xml:space="preserve"> </w:t>
      </w:r>
      <w:r>
        <w:t>in</w:t>
      </w:r>
      <w:r>
        <w:rPr>
          <w:spacing w:val="-9"/>
        </w:rPr>
        <w:t xml:space="preserve"> </w:t>
      </w:r>
      <w:r>
        <w:t>the</w:t>
      </w:r>
      <w:r>
        <w:rPr>
          <w:spacing w:val="-10"/>
        </w:rPr>
        <w:t xml:space="preserve"> </w:t>
      </w:r>
      <w:r>
        <w:t>implementation</w:t>
      </w:r>
      <w:r>
        <w:rPr>
          <w:spacing w:val="-9"/>
        </w:rPr>
        <w:t xml:space="preserve"> </w:t>
      </w:r>
      <w:r>
        <w:t>of</w:t>
      </w:r>
      <w:r>
        <w:rPr>
          <w:spacing w:val="-11"/>
        </w:rPr>
        <w:t xml:space="preserve"> </w:t>
      </w:r>
      <w:r>
        <w:t>the</w:t>
      </w:r>
      <w:r>
        <w:rPr>
          <w:spacing w:val="-9"/>
        </w:rPr>
        <w:t xml:space="preserve"> </w:t>
      </w:r>
      <w:r>
        <w:t>SME</w:t>
      </w:r>
      <w:r>
        <w:rPr>
          <w:spacing w:val="-10"/>
        </w:rPr>
        <w:t xml:space="preserve"> </w:t>
      </w:r>
      <w:r>
        <w:t>Fund, as</w:t>
      </w:r>
      <w:r>
        <w:rPr>
          <w:spacing w:val="-1"/>
        </w:rPr>
        <w:t xml:space="preserve"> </w:t>
      </w:r>
      <w:r>
        <w:t>follows.</w:t>
      </w:r>
    </w:p>
    <w:p w14:paraId="56A6B5E0" w14:textId="77777777" w:rsidR="00D757DA" w:rsidRDefault="00D757DA">
      <w:pPr>
        <w:pStyle w:val="Zkladntext"/>
        <w:spacing w:before="8"/>
        <w:rPr>
          <w:sz w:val="20"/>
        </w:rPr>
      </w:pPr>
    </w:p>
    <w:tbl>
      <w:tblPr>
        <w:tblStyle w:val="TableNormal"/>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10"/>
        <w:gridCol w:w="6715"/>
      </w:tblGrid>
      <w:tr w:rsidR="00D757DA" w14:paraId="2E197B97" w14:textId="77777777">
        <w:trPr>
          <w:trHeight w:val="1588"/>
        </w:trPr>
        <w:tc>
          <w:tcPr>
            <w:tcW w:w="1810" w:type="dxa"/>
          </w:tcPr>
          <w:p w14:paraId="549C246C" w14:textId="77777777" w:rsidR="00D757DA" w:rsidRDefault="0033254E">
            <w:pPr>
              <w:pStyle w:val="TableParagraph"/>
              <w:tabs>
                <w:tab w:val="left" w:pos="1421"/>
              </w:tabs>
              <w:spacing w:line="276" w:lineRule="auto"/>
              <w:ind w:left="107" w:right="85"/>
              <w:rPr>
                <w:b/>
                <w:sz w:val="24"/>
              </w:rPr>
            </w:pPr>
            <w:r>
              <w:rPr>
                <w:b/>
                <w:sz w:val="24"/>
              </w:rPr>
              <w:t>Please indicate interest</w:t>
            </w:r>
            <w:r>
              <w:rPr>
                <w:b/>
                <w:sz w:val="24"/>
              </w:rPr>
              <w:tab/>
            </w:r>
            <w:r>
              <w:rPr>
                <w:b/>
                <w:spacing w:val="-9"/>
                <w:sz w:val="24"/>
              </w:rPr>
              <w:t xml:space="preserve">by </w:t>
            </w:r>
            <w:r>
              <w:rPr>
                <w:b/>
                <w:sz w:val="24"/>
              </w:rPr>
              <w:t>marking</w:t>
            </w:r>
          </w:p>
          <w:p w14:paraId="052E191B" w14:textId="77777777" w:rsidR="00D757DA" w:rsidRDefault="0033254E">
            <w:pPr>
              <w:pStyle w:val="TableParagraph"/>
              <w:ind w:left="107"/>
              <w:rPr>
                <w:b/>
                <w:sz w:val="24"/>
              </w:rPr>
            </w:pPr>
            <w:r>
              <w:rPr>
                <w:b/>
                <w:sz w:val="24"/>
              </w:rPr>
              <w:t>Yes/No</w:t>
            </w:r>
          </w:p>
        </w:tc>
        <w:tc>
          <w:tcPr>
            <w:tcW w:w="6715" w:type="dxa"/>
          </w:tcPr>
          <w:p w14:paraId="5485DA6D" w14:textId="77777777" w:rsidR="00D757DA" w:rsidRDefault="0033254E">
            <w:pPr>
              <w:pStyle w:val="TableParagraph"/>
              <w:ind w:left="107"/>
              <w:rPr>
                <w:b/>
                <w:sz w:val="24"/>
              </w:rPr>
            </w:pPr>
            <w:r>
              <w:rPr>
                <w:b/>
                <w:sz w:val="24"/>
              </w:rPr>
              <w:t>SME Fund</w:t>
            </w:r>
          </w:p>
        </w:tc>
      </w:tr>
      <w:tr w:rsidR="00D757DA" w14:paraId="688686FD" w14:textId="77777777">
        <w:trPr>
          <w:trHeight w:val="580"/>
        </w:trPr>
        <w:tc>
          <w:tcPr>
            <w:tcW w:w="1810" w:type="dxa"/>
          </w:tcPr>
          <w:p w14:paraId="22A70A3A" w14:textId="77777777" w:rsidR="00D757DA" w:rsidRDefault="0033254E">
            <w:pPr>
              <w:pStyle w:val="TableParagraph"/>
              <w:spacing w:before="132"/>
              <w:ind w:right="642"/>
              <w:jc w:val="right"/>
              <w:rPr>
                <w:sz w:val="24"/>
              </w:rPr>
            </w:pPr>
            <w:r>
              <w:rPr>
                <w:sz w:val="24"/>
              </w:rPr>
              <w:t>YES</w:t>
            </w:r>
          </w:p>
        </w:tc>
        <w:tc>
          <w:tcPr>
            <w:tcW w:w="6715" w:type="dxa"/>
          </w:tcPr>
          <w:p w14:paraId="7D4019A6" w14:textId="77777777" w:rsidR="00D757DA" w:rsidRDefault="0033254E">
            <w:pPr>
              <w:pStyle w:val="TableParagraph"/>
              <w:spacing w:line="253" w:lineRule="exact"/>
              <w:ind w:left="107"/>
            </w:pPr>
            <w:r>
              <w:rPr>
                <w:b/>
              </w:rPr>
              <w:t xml:space="preserve">Provide/coordinate the IP Scan service 2026 and </w:t>
            </w:r>
            <w:r>
              <w:t>the exchange</w:t>
            </w:r>
          </w:p>
          <w:p w14:paraId="1F24F98E" w14:textId="77777777" w:rsidR="00D757DA" w:rsidRDefault="0033254E">
            <w:pPr>
              <w:pStyle w:val="TableParagraph"/>
              <w:spacing w:before="37"/>
              <w:ind w:left="107"/>
            </w:pPr>
            <w:r>
              <w:t>of related information to report on the activities of the SME Fund.</w:t>
            </w:r>
          </w:p>
        </w:tc>
      </w:tr>
      <w:tr w:rsidR="00D757DA" w14:paraId="332188F2" w14:textId="77777777">
        <w:trPr>
          <w:trHeight w:val="1165"/>
        </w:trPr>
        <w:tc>
          <w:tcPr>
            <w:tcW w:w="1810" w:type="dxa"/>
          </w:tcPr>
          <w:p w14:paraId="0BF57FEA" w14:textId="77777777" w:rsidR="00D757DA" w:rsidRDefault="00D757DA">
            <w:pPr>
              <w:pStyle w:val="TableParagraph"/>
              <w:rPr>
                <w:sz w:val="26"/>
              </w:rPr>
            </w:pPr>
          </w:p>
          <w:p w14:paraId="6438EBFA" w14:textId="77777777" w:rsidR="00D757DA" w:rsidRDefault="00D757DA">
            <w:pPr>
              <w:pStyle w:val="TableParagraph"/>
              <w:spacing w:before="8"/>
              <w:rPr>
                <w:sz w:val="24"/>
              </w:rPr>
            </w:pPr>
          </w:p>
          <w:p w14:paraId="76C1C9F5" w14:textId="77777777" w:rsidR="00D757DA" w:rsidRDefault="0033254E">
            <w:pPr>
              <w:pStyle w:val="TableParagraph"/>
              <w:ind w:right="704"/>
              <w:jc w:val="right"/>
              <w:rPr>
                <w:sz w:val="24"/>
              </w:rPr>
            </w:pPr>
            <w:r>
              <w:rPr>
                <w:sz w:val="24"/>
              </w:rPr>
              <w:t>NO</w:t>
            </w:r>
          </w:p>
        </w:tc>
        <w:tc>
          <w:tcPr>
            <w:tcW w:w="6715" w:type="dxa"/>
          </w:tcPr>
          <w:p w14:paraId="036DAAAD" w14:textId="77777777" w:rsidR="00D757DA" w:rsidRDefault="0033254E">
            <w:pPr>
              <w:pStyle w:val="TableParagraph"/>
              <w:spacing w:before="2" w:line="276" w:lineRule="auto"/>
              <w:ind w:left="107" w:right="84"/>
              <w:jc w:val="both"/>
            </w:pPr>
            <w:r>
              <w:rPr>
                <w:b/>
              </w:rPr>
              <w:t xml:space="preserve">Provide/coordinate the IP Scan Enforcement service 2026 </w:t>
            </w:r>
            <w:r>
              <w:t>and the</w:t>
            </w:r>
            <w:r>
              <w:rPr>
                <w:spacing w:val="-5"/>
              </w:rPr>
              <w:t xml:space="preserve"> </w:t>
            </w:r>
            <w:r>
              <w:t>exchange</w:t>
            </w:r>
            <w:r>
              <w:rPr>
                <w:spacing w:val="-7"/>
              </w:rPr>
              <w:t xml:space="preserve"> </w:t>
            </w:r>
            <w:r>
              <w:t>of</w:t>
            </w:r>
            <w:r>
              <w:rPr>
                <w:spacing w:val="-5"/>
              </w:rPr>
              <w:t xml:space="preserve"> </w:t>
            </w:r>
            <w:r>
              <w:t>related</w:t>
            </w:r>
            <w:r>
              <w:rPr>
                <w:spacing w:val="-6"/>
              </w:rPr>
              <w:t xml:space="preserve"> </w:t>
            </w:r>
            <w:r>
              <w:t>information</w:t>
            </w:r>
            <w:r>
              <w:rPr>
                <w:spacing w:val="-6"/>
              </w:rPr>
              <w:t xml:space="preserve"> </w:t>
            </w:r>
            <w:r>
              <w:t>to</w:t>
            </w:r>
            <w:r>
              <w:rPr>
                <w:spacing w:val="-6"/>
              </w:rPr>
              <w:t xml:space="preserve"> </w:t>
            </w:r>
            <w:r>
              <w:t>report</w:t>
            </w:r>
            <w:r>
              <w:rPr>
                <w:spacing w:val="-4"/>
              </w:rPr>
              <w:t xml:space="preserve"> </w:t>
            </w:r>
            <w:r>
              <w:t>on</w:t>
            </w:r>
            <w:r>
              <w:rPr>
                <w:spacing w:val="-7"/>
              </w:rPr>
              <w:t xml:space="preserve"> </w:t>
            </w:r>
            <w:r>
              <w:t>the</w:t>
            </w:r>
            <w:r>
              <w:rPr>
                <w:spacing w:val="-4"/>
              </w:rPr>
              <w:t xml:space="preserve"> </w:t>
            </w:r>
            <w:r>
              <w:t>activities</w:t>
            </w:r>
            <w:r>
              <w:rPr>
                <w:spacing w:val="-4"/>
              </w:rPr>
              <w:t xml:space="preserve"> </w:t>
            </w:r>
            <w:r>
              <w:t>of</w:t>
            </w:r>
            <w:r>
              <w:rPr>
                <w:spacing w:val="-5"/>
              </w:rPr>
              <w:t xml:space="preserve"> </w:t>
            </w:r>
            <w:r>
              <w:t>the SME</w:t>
            </w:r>
            <w:r>
              <w:rPr>
                <w:spacing w:val="-5"/>
              </w:rPr>
              <w:t xml:space="preserve"> </w:t>
            </w:r>
            <w:r>
              <w:t>Fund.</w:t>
            </w:r>
            <w:r>
              <w:rPr>
                <w:spacing w:val="-3"/>
              </w:rPr>
              <w:t xml:space="preserve"> </w:t>
            </w:r>
            <w:r>
              <w:t>Starting</w:t>
            </w:r>
            <w:r>
              <w:rPr>
                <w:spacing w:val="-5"/>
              </w:rPr>
              <w:t xml:space="preserve"> </w:t>
            </w:r>
            <w:r>
              <w:t>date</w:t>
            </w:r>
            <w:r>
              <w:rPr>
                <w:spacing w:val="-6"/>
              </w:rPr>
              <w:t xml:space="preserve"> </w:t>
            </w:r>
            <w:r>
              <w:t>for</w:t>
            </w:r>
            <w:r>
              <w:rPr>
                <w:spacing w:val="-5"/>
              </w:rPr>
              <w:t xml:space="preserve"> </w:t>
            </w:r>
            <w:r>
              <w:t>IP</w:t>
            </w:r>
            <w:r>
              <w:rPr>
                <w:spacing w:val="-7"/>
              </w:rPr>
              <w:t xml:space="preserve"> </w:t>
            </w:r>
            <w:r>
              <w:t>scan</w:t>
            </w:r>
            <w:r>
              <w:rPr>
                <w:spacing w:val="-8"/>
              </w:rPr>
              <w:t xml:space="preserve"> </w:t>
            </w:r>
            <w:r>
              <w:t>enforcement:</w:t>
            </w:r>
            <w:r>
              <w:rPr>
                <w:spacing w:val="-5"/>
              </w:rPr>
              <w:t xml:space="preserve"> </w:t>
            </w:r>
            <w:r>
              <w:t>the</w:t>
            </w:r>
            <w:r>
              <w:rPr>
                <w:spacing w:val="-9"/>
              </w:rPr>
              <w:t xml:space="preserve"> </w:t>
            </w:r>
            <w:r>
              <w:t>IPO</w:t>
            </w:r>
            <w:r>
              <w:rPr>
                <w:spacing w:val="-5"/>
              </w:rPr>
              <w:t xml:space="preserve"> </w:t>
            </w:r>
            <w:r>
              <w:t>will</w:t>
            </w:r>
            <w:r>
              <w:rPr>
                <w:spacing w:val="-6"/>
              </w:rPr>
              <w:t xml:space="preserve"> </w:t>
            </w:r>
            <w:r>
              <w:t>start</w:t>
            </w:r>
          </w:p>
          <w:p w14:paraId="21396D44" w14:textId="77777777" w:rsidR="00D757DA" w:rsidRDefault="0033254E">
            <w:pPr>
              <w:pStyle w:val="TableParagraph"/>
              <w:spacing w:line="251" w:lineRule="exact"/>
              <w:ind w:left="107"/>
              <w:jc w:val="both"/>
            </w:pPr>
            <w:r>
              <w:t>with the opening of the scheme</w:t>
            </w:r>
          </w:p>
        </w:tc>
      </w:tr>
      <w:tr w:rsidR="00D757DA" w14:paraId="756D182F" w14:textId="77777777">
        <w:trPr>
          <w:trHeight w:val="582"/>
        </w:trPr>
        <w:tc>
          <w:tcPr>
            <w:tcW w:w="1810" w:type="dxa"/>
          </w:tcPr>
          <w:p w14:paraId="288F6B15" w14:textId="77777777" w:rsidR="00D757DA" w:rsidRDefault="0033254E">
            <w:pPr>
              <w:pStyle w:val="TableParagraph"/>
              <w:spacing w:before="132"/>
              <w:ind w:right="642"/>
              <w:jc w:val="right"/>
              <w:rPr>
                <w:sz w:val="24"/>
              </w:rPr>
            </w:pPr>
            <w:r>
              <w:rPr>
                <w:sz w:val="24"/>
              </w:rPr>
              <w:t>YES</w:t>
            </w:r>
          </w:p>
        </w:tc>
        <w:tc>
          <w:tcPr>
            <w:tcW w:w="6715" w:type="dxa"/>
          </w:tcPr>
          <w:p w14:paraId="210BBCD4" w14:textId="77777777" w:rsidR="00D757DA" w:rsidRDefault="0033254E">
            <w:pPr>
              <w:pStyle w:val="TableParagraph"/>
              <w:spacing w:line="253" w:lineRule="exact"/>
              <w:ind w:left="107"/>
            </w:pPr>
            <w:proofErr w:type="gramStart"/>
            <w:r>
              <w:rPr>
                <w:b/>
              </w:rPr>
              <w:t>Promotion  of</w:t>
            </w:r>
            <w:proofErr w:type="gramEnd"/>
            <w:r>
              <w:rPr>
                <w:b/>
              </w:rPr>
              <w:t xml:space="preserve">   the  SME   FUND  2026   </w:t>
            </w:r>
            <w:r>
              <w:t xml:space="preserve">and  the   exchange  </w:t>
            </w:r>
            <w:r>
              <w:rPr>
                <w:spacing w:val="50"/>
              </w:rPr>
              <w:t xml:space="preserve"> </w:t>
            </w:r>
            <w:r>
              <w:t>of</w:t>
            </w:r>
          </w:p>
          <w:p w14:paraId="5A57CD55" w14:textId="77777777" w:rsidR="00D757DA" w:rsidRDefault="0033254E">
            <w:pPr>
              <w:pStyle w:val="TableParagraph"/>
              <w:spacing w:before="37"/>
              <w:ind w:left="107"/>
            </w:pPr>
            <w:r>
              <w:t>information</w:t>
            </w:r>
            <w:r>
              <w:rPr>
                <w:spacing w:val="-8"/>
              </w:rPr>
              <w:t xml:space="preserve"> </w:t>
            </w:r>
            <w:r>
              <w:t>to</w:t>
            </w:r>
            <w:r>
              <w:rPr>
                <w:spacing w:val="-10"/>
              </w:rPr>
              <w:t xml:space="preserve"> </w:t>
            </w:r>
            <w:r>
              <w:t>monitor</w:t>
            </w:r>
            <w:r>
              <w:rPr>
                <w:spacing w:val="-5"/>
              </w:rPr>
              <w:t xml:space="preserve"> </w:t>
            </w:r>
            <w:r>
              <w:t>and</w:t>
            </w:r>
            <w:r>
              <w:rPr>
                <w:spacing w:val="-7"/>
              </w:rPr>
              <w:t xml:space="preserve"> </w:t>
            </w:r>
            <w:r>
              <w:t>report</w:t>
            </w:r>
            <w:r>
              <w:rPr>
                <w:spacing w:val="-6"/>
              </w:rPr>
              <w:t xml:space="preserve"> </w:t>
            </w:r>
            <w:r>
              <w:t>on</w:t>
            </w:r>
            <w:r>
              <w:rPr>
                <w:spacing w:val="-9"/>
              </w:rPr>
              <w:t xml:space="preserve"> </w:t>
            </w:r>
            <w:r>
              <w:t>the</w:t>
            </w:r>
            <w:r>
              <w:rPr>
                <w:spacing w:val="-8"/>
              </w:rPr>
              <w:t xml:space="preserve"> </w:t>
            </w:r>
            <w:r>
              <w:t>activities</w:t>
            </w:r>
            <w:r>
              <w:rPr>
                <w:spacing w:val="-9"/>
              </w:rPr>
              <w:t xml:space="preserve"> </w:t>
            </w:r>
            <w:r>
              <w:t>of</w:t>
            </w:r>
            <w:r>
              <w:rPr>
                <w:spacing w:val="-6"/>
              </w:rPr>
              <w:t xml:space="preserve"> </w:t>
            </w:r>
            <w:r>
              <w:t>the</w:t>
            </w:r>
            <w:r>
              <w:rPr>
                <w:spacing w:val="-10"/>
              </w:rPr>
              <w:t xml:space="preserve"> </w:t>
            </w:r>
            <w:r>
              <w:t>SME</w:t>
            </w:r>
            <w:r>
              <w:rPr>
                <w:spacing w:val="-7"/>
              </w:rPr>
              <w:t xml:space="preserve"> </w:t>
            </w:r>
            <w:r>
              <w:t>Fund.</w:t>
            </w:r>
          </w:p>
        </w:tc>
      </w:tr>
    </w:tbl>
    <w:p w14:paraId="7545A8E6" w14:textId="77777777" w:rsidR="00D757DA" w:rsidRDefault="00D757DA">
      <w:pPr>
        <w:pStyle w:val="Zkladntext"/>
        <w:spacing w:before="10"/>
        <w:rPr>
          <w:sz w:val="21"/>
        </w:rPr>
      </w:pPr>
    </w:p>
    <w:p w14:paraId="0C6D7A11" w14:textId="77777777" w:rsidR="00D757DA" w:rsidRDefault="0033254E">
      <w:pPr>
        <w:pStyle w:val="Nadpis3"/>
        <w:numPr>
          <w:ilvl w:val="0"/>
          <w:numId w:val="11"/>
        </w:numPr>
        <w:tabs>
          <w:tab w:val="left" w:pos="368"/>
        </w:tabs>
      </w:pPr>
      <w:r>
        <w:t>Services</w:t>
      </w:r>
    </w:p>
    <w:p w14:paraId="5EF0910D" w14:textId="77777777" w:rsidR="00D757DA" w:rsidRDefault="00D757DA">
      <w:pPr>
        <w:pStyle w:val="Zkladntext"/>
        <w:spacing w:before="9"/>
        <w:rPr>
          <w:b/>
          <w:sz w:val="28"/>
        </w:rPr>
      </w:pPr>
    </w:p>
    <w:p w14:paraId="4DF98660" w14:textId="77777777" w:rsidR="00D757DA" w:rsidRDefault="0033254E">
      <w:pPr>
        <w:pStyle w:val="Odstavecseseznamem"/>
        <w:numPr>
          <w:ilvl w:val="1"/>
          <w:numId w:val="11"/>
        </w:numPr>
        <w:tabs>
          <w:tab w:val="left" w:pos="490"/>
        </w:tabs>
        <w:rPr>
          <w:b/>
        </w:rPr>
      </w:pPr>
      <w:bookmarkStart w:id="64" w:name="5.1_Central_implementation_of_the_SME_Fu"/>
      <w:bookmarkEnd w:id="64"/>
      <w:r>
        <w:rPr>
          <w:b/>
        </w:rPr>
        <w:t>Central implementation of the SME</w:t>
      </w:r>
      <w:r>
        <w:rPr>
          <w:b/>
          <w:spacing w:val="-8"/>
        </w:rPr>
        <w:t xml:space="preserve"> </w:t>
      </w:r>
      <w:r>
        <w:rPr>
          <w:b/>
        </w:rPr>
        <w:t>Fund</w:t>
      </w:r>
    </w:p>
    <w:p w14:paraId="78A4E4DE" w14:textId="77777777" w:rsidR="00D757DA" w:rsidRDefault="00D757DA">
      <w:pPr>
        <w:pStyle w:val="Zkladntext"/>
        <w:spacing w:before="1"/>
        <w:rPr>
          <w:b/>
          <w:sz w:val="24"/>
        </w:rPr>
      </w:pPr>
    </w:p>
    <w:p w14:paraId="68ED0A3D" w14:textId="77777777" w:rsidR="00D757DA" w:rsidRDefault="0033254E">
      <w:pPr>
        <w:pStyle w:val="Zkladntext"/>
        <w:spacing w:line="276" w:lineRule="auto"/>
        <w:ind w:left="120" w:right="1440"/>
        <w:jc w:val="both"/>
      </w:pPr>
      <w:r>
        <w:t>The EUIPO is responsible for managing the SME Fund within the framework established by the Contribution Agreement signed between the EUIPO and the European Commission.</w:t>
      </w:r>
    </w:p>
    <w:p w14:paraId="68AEAE15" w14:textId="77777777" w:rsidR="00D757DA" w:rsidRDefault="00D757DA">
      <w:pPr>
        <w:pStyle w:val="Zkladntext"/>
        <w:spacing w:before="9"/>
        <w:rPr>
          <w:sz w:val="20"/>
        </w:rPr>
      </w:pPr>
    </w:p>
    <w:p w14:paraId="1059595D" w14:textId="77777777" w:rsidR="00D757DA" w:rsidRDefault="0033254E">
      <w:pPr>
        <w:pStyle w:val="Zkladntext"/>
        <w:spacing w:line="276" w:lineRule="auto"/>
        <w:ind w:left="120" w:right="1438"/>
        <w:jc w:val="both"/>
      </w:pPr>
      <w:r>
        <w:t>The SME Fund is implemented through the award of grants to SMEs. The call for proposals and</w:t>
      </w:r>
      <w:r>
        <w:rPr>
          <w:spacing w:val="-5"/>
        </w:rPr>
        <w:t xml:space="preserve"> </w:t>
      </w:r>
      <w:r>
        <w:t>the</w:t>
      </w:r>
      <w:r>
        <w:rPr>
          <w:spacing w:val="-8"/>
        </w:rPr>
        <w:t xml:space="preserve"> </w:t>
      </w:r>
      <w:r>
        <w:t>management</w:t>
      </w:r>
      <w:r>
        <w:rPr>
          <w:spacing w:val="-4"/>
        </w:rPr>
        <w:t xml:space="preserve"> </w:t>
      </w:r>
      <w:r>
        <w:t>of</w:t>
      </w:r>
      <w:r>
        <w:rPr>
          <w:spacing w:val="-6"/>
        </w:rPr>
        <w:t xml:space="preserve"> </w:t>
      </w:r>
      <w:r>
        <w:t>the</w:t>
      </w:r>
      <w:r>
        <w:rPr>
          <w:spacing w:val="-5"/>
        </w:rPr>
        <w:t xml:space="preserve"> </w:t>
      </w:r>
      <w:r>
        <w:t>grant</w:t>
      </w:r>
      <w:r>
        <w:rPr>
          <w:spacing w:val="-5"/>
        </w:rPr>
        <w:t xml:space="preserve"> </w:t>
      </w:r>
      <w:r>
        <w:t>will</w:t>
      </w:r>
      <w:r>
        <w:rPr>
          <w:spacing w:val="-6"/>
        </w:rPr>
        <w:t xml:space="preserve"> </w:t>
      </w:r>
      <w:r>
        <w:t>be</w:t>
      </w:r>
      <w:r>
        <w:rPr>
          <w:spacing w:val="-5"/>
        </w:rPr>
        <w:t xml:space="preserve"> </w:t>
      </w:r>
      <w:r>
        <w:t>under</w:t>
      </w:r>
      <w:r>
        <w:rPr>
          <w:spacing w:val="-4"/>
        </w:rPr>
        <w:t xml:space="preserve"> </w:t>
      </w:r>
      <w:r>
        <w:t>the</w:t>
      </w:r>
      <w:r>
        <w:rPr>
          <w:spacing w:val="-5"/>
        </w:rPr>
        <w:t xml:space="preserve"> </w:t>
      </w:r>
      <w:r>
        <w:t>EUIPO’s</w:t>
      </w:r>
      <w:r>
        <w:rPr>
          <w:spacing w:val="-4"/>
        </w:rPr>
        <w:t xml:space="preserve"> </w:t>
      </w:r>
      <w:r>
        <w:t>sole</w:t>
      </w:r>
      <w:r>
        <w:rPr>
          <w:spacing w:val="-7"/>
        </w:rPr>
        <w:t xml:space="preserve"> </w:t>
      </w:r>
      <w:r>
        <w:t>responsibility</w:t>
      </w:r>
      <w:r>
        <w:rPr>
          <w:spacing w:val="-5"/>
        </w:rPr>
        <w:t xml:space="preserve"> </w:t>
      </w:r>
      <w:r>
        <w:t>in</w:t>
      </w:r>
      <w:r>
        <w:rPr>
          <w:spacing w:val="-5"/>
        </w:rPr>
        <w:t xml:space="preserve"> </w:t>
      </w:r>
      <w:r>
        <w:t xml:space="preserve">accordance with the relevant rules and regulations, </w:t>
      </w:r>
      <w:proofErr w:type="gramStart"/>
      <w:r>
        <w:t>in particular</w:t>
      </w:r>
      <w:proofErr w:type="gramEnd"/>
      <w:r>
        <w:t xml:space="preserve"> the EUIPO’s Financial</w:t>
      </w:r>
      <w:r>
        <w:rPr>
          <w:spacing w:val="-25"/>
        </w:rPr>
        <w:t xml:space="preserve"> </w:t>
      </w:r>
      <w:r>
        <w:t>Regulation.</w:t>
      </w:r>
    </w:p>
    <w:p w14:paraId="4EC5F051" w14:textId="77777777" w:rsidR="00D757DA" w:rsidRDefault="00D757DA">
      <w:pPr>
        <w:pStyle w:val="Zkladntext"/>
        <w:spacing w:before="11"/>
        <w:rPr>
          <w:sz w:val="20"/>
        </w:rPr>
      </w:pPr>
    </w:p>
    <w:p w14:paraId="1AA141B9" w14:textId="77777777" w:rsidR="00D757DA" w:rsidRDefault="0033254E">
      <w:pPr>
        <w:pStyle w:val="Zkladntext"/>
        <w:spacing w:line="276" w:lineRule="auto"/>
        <w:ind w:left="120" w:right="1441"/>
        <w:jc w:val="both"/>
      </w:pPr>
      <w:r>
        <w:t>For the purposes of the central coordination of the SME Fund, the SME Fund contact points are:</w:t>
      </w:r>
    </w:p>
    <w:p w14:paraId="37631812" w14:textId="77777777" w:rsidR="00D757DA" w:rsidRDefault="00D757DA">
      <w:pPr>
        <w:pStyle w:val="Zkladntext"/>
        <w:spacing w:before="5"/>
        <w:rPr>
          <w:sz w:val="25"/>
        </w:rPr>
      </w:pPr>
    </w:p>
    <w:p w14:paraId="6F9F376A" w14:textId="77777777" w:rsidR="00D757DA" w:rsidRDefault="0033254E">
      <w:pPr>
        <w:pStyle w:val="Zkladntext"/>
        <w:ind w:left="1200"/>
      </w:pPr>
      <w:r>
        <w:t>For the EUIPO:</w:t>
      </w:r>
    </w:p>
    <w:p w14:paraId="73264B05" w14:textId="3A074E63" w:rsidR="00D757DA" w:rsidRDefault="0017311E">
      <w:pPr>
        <w:pStyle w:val="Zkladntext"/>
        <w:spacing w:line="276" w:lineRule="auto"/>
        <w:ind w:left="1200" w:right="7841"/>
      </w:pPr>
      <w:r>
        <w:t>XXXXXXXXX</w:t>
      </w:r>
      <w:r>
        <w:t xml:space="preserve"> </w:t>
      </w:r>
      <w:r w:rsidR="0033254E">
        <w:t>Director</w:t>
      </w:r>
    </w:p>
    <w:p w14:paraId="1F19064A" w14:textId="77777777" w:rsidR="00D757DA" w:rsidRDefault="0033254E">
      <w:pPr>
        <w:pStyle w:val="Zkladntext"/>
        <w:spacing w:line="252" w:lineRule="exact"/>
        <w:ind w:left="1200"/>
      </w:pPr>
      <w:r>
        <w:t>Business Development Department</w:t>
      </w:r>
    </w:p>
    <w:p w14:paraId="3D3551E5" w14:textId="77777777" w:rsidR="0017311E" w:rsidRDefault="0017311E">
      <w:pPr>
        <w:pStyle w:val="Zkladntext"/>
        <w:spacing w:before="37"/>
        <w:ind w:left="1200"/>
      </w:pPr>
      <w:r>
        <w:t>XXXXXXXXX</w:t>
      </w:r>
      <w:r>
        <w:t xml:space="preserve"> </w:t>
      </w:r>
    </w:p>
    <w:p w14:paraId="5B249831" w14:textId="1AF82878" w:rsidR="00D757DA" w:rsidRDefault="0033254E">
      <w:pPr>
        <w:pStyle w:val="Zkladntext"/>
        <w:spacing w:before="37"/>
        <w:ind w:left="1200"/>
      </w:pPr>
      <w:hyperlink r:id="rId17">
        <w:r>
          <w:rPr>
            <w:color w:val="0000FF"/>
            <w:u w:val="single" w:color="0000FF"/>
          </w:rPr>
          <w:t>SMEFund@euipo.europa.eu</w:t>
        </w:r>
      </w:hyperlink>
    </w:p>
    <w:p w14:paraId="25EF825E" w14:textId="77777777" w:rsidR="00D757DA" w:rsidRDefault="00D757DA">
      <w:pPr>
        <w:pStyle w:val="Zkladntext"/>
        <w:spacing w:before="4"/>
        <w:rPr>
          <w:sz w:val="20"/>
        </w:rPr>
      </w:pPr>
    </w:p>
    <w:p w14:paraId="70691F92" w14:textId="77777777" w:rsidR="00D757DA" w:rsidRDefault="0033254E">
      <w:pPr>
        <w:pStyle w:val="Zkladntext"/>
        <w:spacing w:before="94"/>
        <w:ind w:left="1200"/>
      </w:pPr>
      <w:r>
        <w:t>For the IPO:</w:t>
      </w:r>
    </w:p>
    <w:p w14:paraId="0BED1290" w14:textId="77777777" w:rsidR="00D757DA" w:rsidRDefault="00D757DA">
      <w:pPr>
        <w:pStyle w:val="Zkladntext"/>
        <w:spacing w:before="8"/>
        <w:rPr>
          <w:sz w:val="28"/>
        </w:rPr>
      </w:pPr>
    </w:p>
    <w:p w14:paraId="51922D2E" w14:textId="77777777" w:rsidR="0017311E" w:rsidRDefault="0017311E">
      <w:pPr>
        <w:pStyle w:val="Zkladntext"/>
        <w:spacing w:before="38"/>
        <w:ind w:left="1200"/>
      </w:pPr>
      <w:r>
        <w:t>XXXXXXXXX</w:t>
      </w:r>
      <w:r>
        <w:t xml:space="preserve"> </w:t>
      </w:r>
    </w:p>
    <w:p w14:paraId="5E23093A" w14:textId="6A8D80C6" w:rsidR="00D757DA" w:rsidRDefault="0033254E">
      <w:pPr>
        <w:pStyle w:val="Zkladntext"/>
        <w:spacing w:before="38"/>
        <w:ind w:left="1200"/>
      </w:pPr>
      <w:r>
        <w:t>Position: Head of Innovation Support Department</w:t>
      </w:r>
    </w:p>
    <w:p w14:paraId="0125DADA" w14:textId="77777777" w:rsidR="00D757DA" w:rsidRDefault="00D757DA">
      <w:pPr>
        <w:sectPr w:rsidR="00D757DA">
          <w:pgSz w:w="11910" w:h="16840"/>
          <w:pgMar w:top="1340" w:right="0" w:bottom="1160" w:left="1320" w:header="0" w:footer="881" w:gutter="0"/>
          <w:cols w:space="708"/>
        </w:sectPr>
      </w:pPr>
    </w:p>
    <w:p w14:paraId="76A8D1D4" w14:textId="77777777" w:rsidR="0017311E" w:rsidRDefault="0033254E" w:rsidP="0017311E">
      <w:pPr>
        <w:pStyle w:val="Zkladntext"/>
        <w:spacing w:before="81"/>
        <w:ind w:left="1200"/>
      </w:pPr>
      <w:r>
        <w:lastRenderedPageBreak/>
        <w:t xml:space="preserve">Telephone number: </w:t>
      </w:r>
      <w:r w:rsidR="0017311E">
        <w:t>XXXXXXXXX</w:t>
      </w:r>
      <w:r w:rsidR="0017311E">
        <w:t xml:space="preserve"> </w:t>
      </w:r>
    </w:p>
    <w:p w14:paraId="370333DB" w14:textId="59D7B274" w:rsidR="00D757DA" w:rsidRDefault="0033254E" w:rsidP="0017311E">
      <w:pPr>
        <w:pStyle w:val="Zkladntext"/>
        <w:spacing w:before="81"/>
        <w:ind w:left="1200"/>
      </w:pPr>
      <w:r>
        <w:t xml:space="preserve">Email address: </w:t>
      </w:r>
      <w:r w:rsidR="0017311E">
        <w:t>XXXXXXXXX</w:t>
      </w:r>
    </w:p>
    <w:p w14:paraId="10E91C42" w14:textId="77777777" w:rsidR="00D757DA" w:rsidRDefault="00D757DA">
      <w:pPr>
        <w:pStyle w:val="Zkladntext"/>
        <w:rPr>
          <w:sz w:val="20"/>
        </w:rPr>
      </w:pPr>
    </w:p>
    <w:p w14:paraId="59EDDAE7" w14:textId="77777777" w:rsidR="00D757DA" w:rsidRDefault="00D757DA">
      <w:pPr>
        <w:pStyle w:val="Zkladntext"/>
        <w:spacing w:before="5"/>
        <w:rPr>
          <w:sz w:val="21"/>
        </w:rPr>
      </w:pPr>
    </w:p>
    <w:p w14:paraId="14F3C256" w14:textId="77777777" w:rsidR="00D757DA" w:rsidRDefault="0033254E">
      <w:pPr>
        <w:pStyle w:val="Zkladntext"/>
        <w:spacing w:before="94" w:line="276" w:lineRule="auto"/>
        <w:ind w:left="120" w:right="1440"/>
        <w:jc w:val="both"/>
      </w:pPr>
      <w:r>
        <w:t>IPOs must inform the EUIPO in advance of any change in the details of the point of contact put forward for the SME Fund.</w:t>
      </w:r>
    </w:p>
    <w:p w14:paraId="66731EBA" w14:textId="77777777" w:rsidR="00D757DA" w:rsidRDefault="00D757DA">
      <w:pPr>
        <w:pStyle w:val="Zkladntext"/>
        <w:spacing w:before="2"/>
        <w:rPr>
          <w:sz w:val="25"/>
        </w:rPr>
      </w:pPr>
    </w:p>
    <w:p w14:paraId="696EBC54" w14:textId="77777777" w:rsidR="00D757DA" w:rsidRDefault="0033254E">
      <w:pPr>
        <w:pStyle w:val="Nadpis3"/>
      </w:pPr>
      <w:bookmarkStart w:id="65" w:name="5.2._Communication_aspects_relating_to_t"/>
      <w:bookmarkEnd w:id="65"/>
      <w:r>
        <w:t>5.2. Communication aspects relating to the use of the vouchers</w:t>
      </w:r>
    </w:p>
    <w:p w14:paraId="583BDEE5" w14:textId="77777777" w:rsidR="00D757DA" w:rsidRDefault="00D757DA">
      <w:pPr>
        <w:pStyle w:val="Zkladntext"/>
        <w:spacing w:before="3"/>
        <w:rPr>
          <w:b/>
          <w:sz w:val="24"/>
        </w:rPr>
      </w:pPr>
    </w:p>
    <w:p w14:paraId="0BE2E51D" w14:textId="77777777" w:rsidR="00D757DA" w:rsidRDefault="0033254E">
      <w:pPr>
        <w:pStyle w:val="Zkladntext"/>
        <w:spacing w:before="1" w:line="276" w:lineRule="auto"/>
        <w:ind w:left="120" w:right="1441"/>
        <w:jc w:val="both"/>
      </w:pPr>
      <w:r>
        <w:t>The EUIPO will inform SMEs who have been awarded a voucher of their IPO contact point. This way, SMEs will be able to ask their IPO to provide support and help in implementing the voucher.</w:t>
      </w:r>
    </w:p>
    <w:p w14:paraId="1A7C4EEC" w14:textId="77777777" w:rsidR="00D757DA" w:rsidRDefault="00D757DA">
      <w:pPr>
        <w:pStyle w:val="Zkladntext"/>
        <w:spacing w:before="1"/>
        <w:rPr>
          <w:sz w:val="25"/>
        </w:rPr>
      </w:pPr>
    </w:p>
    <w:p w14:paraId="2DEC6EDB" w14:textId="77777777" w:rsidR="00D757DA" w:rsidRDefault="0033254E">
      <w:pPr>
        <w:pStyle w:val="Zkladntext"/>
        <w:spacing w:before="1"/>
        <w:ind w:left="1200"/>
      </w:pPr>
      <w:r>
        <w:t>For the IPO:</w:t>
      </w:r>
    </w:p>
    <w:p w14:paraId="62658719" w14:textId="77777777" w:rsidR="00D757DA" w:rsidRDefault="00D757DA">
      <w:pPr>
        <w:pStyle w:val="Zkladntext"/>
        <w:spacing w:before="8"/>
        <w:rPr>
          <w:sz w:val="28"/>
        </w:rPr>
      </w:pPr>
    </w:p>
    <w:p w14:paraId="66173868" w14:textId="77777777" w:rsidR="0017311E" w:rsidRDefault="0017311E">
      <w:pPr>
        <w:pStyle w:val="Zkladntext"/>
        <w:spacing w:before="37"/>
        <w:ind w:left="1200"/>
      </w:pPr>
      <w:r>
        <w:t>XXXXXXXXX</w:t>
      </w:r>
      <w:r>
        <w:t xml:space="preserve"> </w:t>
      </w:r>
    </w:p>
    <w:p w14:paraId="56576456" w14:textId="453D65A0" w:rsidR="00D757DA" w:rsidRDefault="0033254E">
      <w:pPr>
        <w:pStyle w:val="Zkladntext"/>
        <w:spacing w:before="37"/>
        <w:ind w:left="1200"/>
      </w:pPr>
      <w:r>
        <w:t xml:space="preserve">Telephone number: </w:t>
      </w:r>
      <w:r w:rsidR="0017311E">
        <w:t>XXXXXXXXX</w:t>
      </w:r>
    </w:p>
    <w:p w14:paraId="0B944518" w14:textId="77777777" w:rsidR="0017311E" w:rsidRDefault="0033254E">
      <w:pPr>
        <w:pStyle w:val="Zkladntext"/>
        <w:spacing w:before="38" w:line="278" w:lineRule="auto"/>
        <w:ind w:left="1200" w:right="4915"/>
      </w:pPr>
      <w:r>
        <w:t xml:space="preserve">Email address: </w:t>
      </w:r>
      <w:r w:rsidR="0017311E">
        <w:t>XXXXXXXXX</w:t>
      </w:r>
      <w:r w:rsidR="0017311E">
        <w:t xml:space="preserve"> </w:t>
      </w:r>
    </w:p>
    <w:p w14:paraId="71B11B92" w14:textId="627DB4F7" w:rsidR="00D757DA" w:rsidRDefault="0033254E">
      <w:pPr>
        <w:pStyle w:val="Zkladntext"/>
        <w:spacing w:before="38" w:line="278" w:lineRule="auto"/>
        <w:ind w:left="1200" w:right="4915"/>
      </w:pPr>
      <w:r>
        <w:t xml:space="preserve">Email address: </w:t>
      </w:r>
      <w:hyperlink r:id="rId18">
        <w:r>
          <w:rPr>
            <w:color w:val="0000FF"/>
            <w:u w:val="single" w:color="0000FF"/>
          </w:rPr>
          <w:t>ipscan@upv.gov.cz</w:t>
        </w:r>
      </w:hyperlink>
    </w:p>
    <w:p w14:paraId="327B9232" w14:textId="77777777" w:rsidR="00D757DA" w:rsidRDefault="00D757DA">
      <w:pPr>
        <w:pStyle w:val="Zkladntext"/>
        <w:spacing w:before="9"/>
        <w:rPr>
          <w:sz w:val="16"/>
        </w:rPr>
      </w:pPr>
    </w:p>
    <w:p w14:paraId="49A46034" w14:textId="77777777" w:rsidR="00D757DA" w:rsidRDefault="0033254E">
      <w:pPr>
        <w:pStyle w:val="Zkladntext"/>
        <w:spacing w:before="93" w:line="276" w:lineRule="auto"/>
        <w:ind w:left="120" w:right="1440"/>
        <w:jc w:val="both"/>
      </w:pPr>
      <w:r>
        <w:t xml:space="preserve">IPOs must inform the EUIPO in advance of any change in the details of the point of contact put forward for the SME Fund. The IPO </w:t>
      </w:r>
      <w:proofErr w:type="spellStart"/>
      <w:r>
        <w:t>authorises</w:t>
      </w:r>
      <w:proofErr w:type="spellEnd"/>
      <w:r>
        <w:t xml:space="preserve"> the EUIPO to share this information with the eligible SMEs that request the service.</w:t>
      </w:r>
    </w:p>
    <w:p w14:paraId="420B9524" w14:textId="77777777" w:rsidR="00D757DA" w:rsidRDefault="00D757DA">
      <w:pPr>
        <w:pStyle w:val="Zkladntext"/>
        <w:spacing w:before="4"/>
        <w:rPr>
          <w:sz w:val="25"/>
        </w:rPr>
      </w:pPr>
    </w:p>
    <w:p w14:paraId="51654F48" w14:textId="77777777" w:rsidR="00D757DA" w:rsidRDefault="0033254E">
      <w:pPr>
        <w:pStyle w:val="Zkladntext"/>
        <w:spacing w:before="1"/>
        <w:ind w:left="120" w:right="1339"/>
      </w:pPr>
      <w:r>
        <w:t>This</w:t>
      </w:r>
      <w:r>
        <w:rPr>
          <w:spacing w:val="-11"/>
        </w:rPr>
        <w:t xml:space="preserve"> </w:t>
      </w:r>
      <w:r>
        <w:t>contact</w:t>
      </w:r>
      <w:r>
        <w:rPr>
          <w:spacing w:val="-9"/>
        </w:rPr>
        <w:t xml:space="preserve"> </w:t>
      </w:r>
      <w:r>
        <w:t>will</w:t>
      </w:r>
      <w:r>
        <w:rPr>
          <w:spacing w:val="-11"/>
        </w:rPr>
        <w:t xml:space="preserve"> </w:t>
      </w:r>
      <w:r>
        <w:t>also</w:t>
      </w:r>
      <w:r>
        <w:rPr>
          <w:spacing w:val="-10"/>
        </w:rPr>
        <w:t xml:space="preserve"> </w:t>
      </w:r>
      <w:r>
        <w:t>be</w:t>
      </w:r>
      <w:r>
        <w:rPr>
          <w:spacing w:val="-11"/>
        </w:rPr>
        <w:t xml:space="preserve"> </w:t>
      </w:r>
      <w:r>
        <w:t>used</w:t>
      </w:r>
      <w:r>
        <w:rPr>
          <w:spacing w:val="-10"/>
        </w:rPr>
        <w:t xml:space="preserve"> </w:t>
      </w:r>
      <w:r>
        <w:t>by</w:t>
      </w:r>
      <w:r>
        <w:rPr>
          <w:spacing w:val="-10"/>
        </w:rPr>
        <w:t xml:space="preserve"> </w:t>
      </w:r>
      <w:r>
        <w:t>EU</w:t>
      </w:r>
      <w:r>
        <w:rPr>
          <w:spacing w:val="-11"/>
        </w:rPr>
        <w:t xml:space="preserve"> </w:t>
      </w:r>
      <w:r>
        <w:t>SMEs</w:t>
      </w:r>
      <w:r>
        <w:rPr>
          <w:spacing w:val="-10"/>
        </w:rPr>
        <w:t xml:space="preserve"> </w:t>
      </w:r>
      <w:r>
        <w:t>to</w:t>
      </w:r>
      <w:r>
        <w:rPr>
          <w:spacing w:val="-13"/>
        </w:rPr>
        <w:t xml:space="preserve"> </w:t>
      </w:r>
      <w:r>
        <w:t>request</w:t>
      </w:r>
      <w:r>
        <w:rPr>
          <w:spacing w:val="-9"/>
        </w:rPr>
        <w:t xml:space="preserve"> </w:t>
      </w:r>
      <w:r>
        <w:t>an</w:t>
      </w:r>
      <w:r>
        <w:rPr>
          <w:spacing w:val="-12"/>
        </w:rPr>
        <w:t xml:space="preserve"> </w:t>
      </w:r>
      <w:r>
        <w:t>IP</w:t>
      </w:r>
      <w:r>
        <w:rPr>
          <w:spacing w:val="-11"/>
        </w:rPr>
        <w:t xml:space="preserve"> </w:t>
      </w:r>
      <w:r>
        <w:t>Scan</w:t>
      </w:r>
      <w:r>
        <w:rPr>
          <w:spacing w:val="-13"/>
        </w:rPr>
        <w:t xml:space="preserve"> </w:t>
      </w:r>
      <w:r>
        <w:t>and/or</w:t>
      </w:r>
      <w:r>
        <w:rPr>
          <w:spacing w:val="-9"/>
        </w:rPr>
        <w:t xml:space="preserve"> </w:t>
      </w:r>
      <w:r>
        <w:t>IP</w:t>
      </w:r>
      <w:r>
        <w:rPr>
          <w:spacing w:val="-11"/>
        </w:rPr>
        <w:t xml:space="preserve"> </w:t>
      </w:r>
      <w:r>
        <w:t>Scan</w:t>
      </w:r>
      <w:r>
        <w:rPr>
          <w:spacing w:val="-11"/>
        </w:rPr>
        <w:t xml:space="preserve"> </w:t>
      </w:r>
      <w:r>
        <w:t>Enforcement service.</w:t>
      </w:r>
    </w:p>
    <w:p w14:paraId="369F68C1" w14:textId="77777777" w:rsidR="00D757DA" w:rsidRDefault="00D757DA">
      <w:pPr>
        <w:pStyle w:val="Zkladntext"/>
        <w:spacing w:before="3"/>
        <w:rPr>
          <w:sz w:val="25"/>
        </w:rPr>
      </w:pPr>
    </w:p>
    <w:p w14:paraId="1C8287A9" w14:textId="77777777" w:rsidR="00D757DA" w:rsidRDefault="0033254E">
      <w:pPr>
        <w:pStyle w:val="Nadpis3"/>
        <w:numPr>
          <w:ilvl w:val="1"/>
          <w:numId w:val="9"/>
        </w:numPr>
        <w:tabs>
          <w:tab w:val="left" w:pos="524"/>
        </w:tabs>
      </w:pPr>
      <w:bookmarkStart w:id="66" w:name="5.3_Provision_of_IP_Scan_service"/>
      <w:bookmarkEnd w:id="66"/>
      <w:r>
        <w:t>Provision of IP Scan</w:t>
      </w:r>
      <w:r>
        <w:rPr>
          <w:spacing w:val="-7"/>
        </w:rPr>
        <w:t xml:space="preserve"> </w:t>
      </w:r>
      <w:r>
        <w:t>service</w:t>
      </w:r>
    </w:p>
    <w:p w14:paraId="569B262D" w14:textId="77777777" w:rsidR="00D757DA" w:rsidRDefault="00D757DA">
      <w:pPr>
        <w:pStyle w:val="Zkladntext"/>
        <w:spacing w:before="5"/>
        <w:rPr>
          <w:b/>
          <w:sz w:val="24"/>
        </w:rPr>
      </w:pPr>
    </w:p>
    <w:p w14:paraId="191466A4" w14:textId="77777777" w:rsidR="00D757DA" w:rsidRDefault="0033254E">
      <w:pPr>
        <w:pStyle w:val="Zkladntext"/>
        <w:ind w:left="120" w:right="1339"/>
      </w:pPr>
      <w:r>
        <w:t xml:space="preserve">This section is only applicable if the IPO provides the IP Scan service following the Call for Expression of Interest under the </w:t>
      </w:r>
      <w:proofErr w:type="spellStart"/>
      <w:r>
        <w:t>IPfB</w:t>
      </w:r>
      <w:proofErr w:type="spellEnd"/>
      <w:r>
        <w:t xml:space="preserve"> SME Fund scheme.</w:t>
      </w:r>
    </w:p>
    <w:p w14:paraId="3EB25055" w14:textId="77777777" w:rsidR="00D757DA" w:rsidRDefault="00D757DA">
      <w:pPr>
        <w:pStyle w:val="Zkladntext"/>
        <w:spacing w:before="3"/>
        <w:rPr>
          <w:sz w:val="25"/>
        </w:rPr>
      </w:pPr>
    </w:p>
    <w:p w14:paraId="59C0B3E7" w14:textId="77777777" w:rsidR="00D757DA" w:rsidRDefault="0033254E">
      <w:pPr>
        <w:pStyle w:val="Zkladntext"/>
        <w:spacing w:line="276" w:lineRule="auto"/>
        <w:ind w:left="120" w:right="1431"/>
        <w:jc w:val="both"/>
      </w:pPr>
      <w:r>
        <w:t>The IPO coordinates/provides the IP Scan service for EU SMEs that have been awarded the grant from the SME Fund. The unitary cost of the IP Scan service is EUR 1 400 as indicated in Annex to Note MBBC/25/S20/4.2</w:t>
      </w:r>
    </w:p>
    <w:p w14:paraId="50C29BC1" w14:textId="77777777" w:rsidR="00D757DA" w:rsidRDefault="00D757DA">
      <w:pPr>
        <w:pStyle w:val="Zkladntext"/>
        <w:spacing w:before="4"/>
        <w:rPr>
          <w:sz w:val="25"/>
        </w:rPr>
      </w:pPr>
    </w:p>
    <w:p w14:paraId="54DE1819" w14:textId="77777777" w:rsidR="00D757DA" w:rsidRDefault="0033254E">
      <w:pPr>
        <w:pStyle w:val="Zkladntext"/>
        <w:spacing w:line="276" w:lineRule="auto"/>
        <w:ind w:left="120" w:right="1437"/>
        <w:jc w:val="both"/>
      </w:pPr>
      <w:r>
        <w:t>On request from the EU SME, the IPO will coordinate/provide/facilitate the provision of the IP Scan service. The Practical Guide for implementing the IP Scan service in the Industrial Property Office of the Czech Republic, specifically the procedures for applicants for the IP Scan service, for IP Scan service providers, and for the Industrial Property Office, can be found at the end of Annex IV.</w:t>
      </w:r>
    </w:p>
    <w:p w14:paraId="674F60E1" w14:textId="77777777" w:rsidR="00D757DA" w:rsidRDefault="00D757DA">
      <w:pPr>
        <w:pStyle w:val="Zkladntext"/>
        <w:spacing w:before="10"/>
        <w:rPr>
          <w:sz w:val="20"/>
        </w:rPr>
      </w:pPr>
    </w:p>
    <w:p w14:paraId="6B4483DC" w14:textId="77777777" w:rsidR="00D757DA" w:rsidRDefault="0033254E">
      <w:pPr>
        <w:pStyle w:val="Zkladntext"/>
        <w:spacing w:line="276" w:lineRule="auto"/>
        <w:ind w:left="120" w:right="1435"/>
        <w:jc w:val="both"/>
      </w:pPr>
      <w:r>
        <w:t>The IP Scan service is provided by experts selected by the IPO. These experts can be IPO staff</w:t>
      </w:r>
      <w:r>
        <w:rPr>
          <w:spacing w:val="-19"/>
        </w:rPr>
        <w:t xml:space="preserve"> </w:t>
      </w:r>
      <w:r>
        <w:t>and/or</w:t>
      </w:r>
      <w:r>
        <w:rPr>
          <w:spacing w:val="-17"/>
        </w:rPr>
        <w:t xml:space="preserve"> </w:t>
      </w:r>
      <w:r>
        <w:t>external</w:t>
      </w:r>
      <w:r>
        <w:rPr>
          <w:spacing w:val="-18"/>
        </w:rPr>
        <w:t xml:space="preserve"> </w:t>
      </w:r>
      <w:r>
        <w:t>experts.</w:t>
      </w:r>
      <w:r>
        <w:rPr>
          <w:spacing w:val="-17"/>
        </w:rPr>
        <w:t xml:space="preserve"> </w:t>
      </w:r>
      <w:r>
        <w:t>The</w:t>
      </w:r>
      <w:r>
        <w:rPr>
          <w:spacing w:val="-22"/>
        </w:rPr>
        <w:t xml:space="preserve"> </w:t>
      </w:r>
      <w:r>
        <w:t>IPO</w:t>
      </w:r>
      <w:r>
        <w:rPr>
          <w:spacing w:val="-19"/>
        </w:rPr>
        <w:t xml:space="preserve"> </w:t>
      </w:r>
      <w:r>
        <w:t>will</w:t>
      </w:r>
      <w:r>
        <w:rPr>
          <w:spacing w:val="-19"/>
        </w:rPr>
        <w:t xml:space="preserve"> </w:t>
      </w:r>
      <w:r>
        <w:t>select</w:t>
      </w:r>
      <w:r>
        <w:rPr>
          <w:spacing w:val="-18"/>
        </w:rPr>
        <w:t xml:space="preserve"> </w:t>
      </w:r>
      <w:r>
        <w:t>the</w:t>
      </w:r>
      <w:r>
        <w:rPr>
          <w:spacing w:val="-18"/>
        </w:rPr>
        <w:t xml:space="preserve"> </w:t>
      </w:r>
      <w:r>
        <w:t>appropriate</w:t>
      </w:r>
      <w:r>
        <w:rPr>
          <w:spacing w:val="-19"/>
        </w:rPr>
        <w:t xml:space="preserve"> </w:t>
      </w:r>
      <w:r>
        <w:t>experts</w:t>
      </w:r>
      <w:r>
        <w:rPr>
          <w:spacing w:val="-20"/>
        </w:rPr>
        <w:t xml:space="preserve"> </w:t>
      </w:r>
      <w:r>
        <w:t>available</w:t>
      </w:r>
      <w:r>
        <w:rPr>
          <w:spacing w:val="-18"/>
        </w:rPr>
        <w:t xml:space="preserve"> </w:t>
      </w:r>
      <w:r>
        <w:t>and</w:t>
      </w:r>
      <w:r>
        <w:rPr>
          <w:spacing w:val="-17"/>
        </w:rPr>
        <w:t xml:space="preserve"> </w:t>
      </w:r>
      <w:r>
        <w:t>facilitate the contact between the experts and the</w:t>
      </w:r>
      <w:r>
        <w:rPr>
          <w:spacing w:val="-10"/>
        </w:rPr>
        <w:t xml:space="preserve"> </w:t>
      </w:r>
      <w:r>
        <w:t>SME.</w:t>
      </w:r>
    </w:p>
    <w:p w14:paraId="3E836CE2" w14:textId="77777777" w:rsidR="00D757DA" w:rsidRDefault="00D757DA">
      <w:pPr>
        <w:pStyle w:val="Zkladntext"/>
        <w:spacing w:before="11"/>
        <w:rPr>
          <w:sz w:val="20"/>
        </w:rPr>
      </w:pPr>
    </w:p>
    <w:p w14:paraId="52F4EB8C" w14:textId="77777777" w:rsidR="00D757DA" w:rsidRDefault="0033254E">
      <w:pPr>
        <w:pStyle w:val="Zkladntext"/>
        <w:ind w:left="120"/>
      </w:pPr>
      <w:r>
        <w:t>Experts delivering the IP Scan service must meet the following criteria:</w:t>
      </w:r>
    </w:p>
    <w:p w14:paraId="18FD44B6" w14:textId="77777777" w:rsidR="00D757DA" w:rsidRDefault="00D757DA">
      <w:pPr>
        <w:pStyle w:val="Zkladntext"/>
        <w:spacing w:before="2"/>
        <w:rPr>
          <w:sz w:val="24"/>
        </w:rPr>
      </w:pPr>
    </w:p>
    <w:p w14:paraId="4741AE58" w14:textId="77777777" w:rsidR="00D757DA" w:rsidRDefault="0033254E">
      <w:pPr>
        <w:pStyle w:val="Odstavecseseznamem"/>
        <w:numPr>
          <w:ilvl w:val="0"/>
          <w:numId w:val="8"/>
        </w:numPr>
        <w:tabs>
          <w:tab w:val="left" w:pos="686"/>
          <w:tab w:val="left" w:pos="687"/>
        </w:tabs>
      </w:pPr>
      <w:r>
        <w:t>Have experience with</w:t>
      </w:r>
      <w:r>
        <w:rPr>
          <w:spacing w:val="-3"/>
        </w:rPr>
        <w:t xml:space="preserve"> </w:t>
      </w:r>
      <w:proofErr w:type="gramStart"/>
      <w:r>
        <w:t>SMEs;</w:t>
      </w:r>
      <w:proofErr w:type="gramEnd"/>
    </w:p>
    <w:p w14:paraId="3DCA3099" w14:textId="77777777" w:rsidR="00D757DA" w:rsidRDefault="00D757DA">
      <w:pPr>
        <w:sectPr w:rsidR="00D757DA">
          <w:pgSz w:w="11910" w:h="16840"/>
          <w:pgMar w:top="1340" w:right="0" w:bottom="1160" w:left="1320" w:header="0" w:footer="881" w:gutter="0"/>
          <w:cols w:space="708"/>
        </w:sectPr>
      </w:pPr>
    </w:p>
    <w:p w14:paraId="10B73421" w14:textId="77777777" w:rsidR="00D757DA" w:rsidRDefault="0033254E">
      <w:pPr>
        <w:pStyle w:val="Odstavecseseznamem"/>
        <w:numPr>
          <w:ilvl w:val="0"/>
          <w:numId w:val="8"/>
        </w:numPr>
        <w:tabs>
          <w:tab w:val="left" w:pos="686"/>
          <w:tab w:val="left" w:pos="687"/>
        </w:tabs>
        <w:spacing w:before="81" w:line="253" w:lineRule="exact"/>
      </w:pPr>
      <w:r>
        <w:lastRenderedPageBreak/>
        <w:t>Have experience in intellectual</w:t>
      </w:r>
      <w:r>
        <w:rPr>
          <w:spacing w:val="-3"/>
        </w:rPr>
        <w:t xml:space="preserve"> </w:t>
      </w:r>
      <w:proofErr w:type="gramStart"/>
      <w:r>
        <w:t>property;</w:t>
      </w:r>
      <w:proofErr w:type="gramEnd"/>
    </w:p>
    <w:p w14:paraId="5F578198" w14:textId="77777777" w:rsidR="00D757DA" w:rsidRDefault="0033254E">
      <w:pPr>
        <w:pStyle w:val="Odstavecseseznamem"/>
        <w:numPr>
          <w:ilvl w:val="0"/>
          <w:numId w:val="8"/>
        </w:numPr>
        <w:tabs>
          <w:tab w:val="left" w:pos="686"/>
          <w:tab w:val="left" w:pos="687"/>
        </w:tabs>
        <w:spacing w:line="253" w:lineRule="exact"/>
      </w:pPr>
      <w:r>
        <w:t>Have participated in IP Scan training provided by the</w:t>
      </w:r>
      <w:r>
        <w:rPr>
          <w:spacing w:val="-8"/>
        </w:rPr>
        <w:t xml:space="preserve"> </w:t>
      </w:r>
      <w:r>
        <w:t>EUIPO.</w:t>
      </w:r>
    </w:p>
    <w:p w14:paraId="3B13997B" w14:textId="77777777" w:rsidR="00D757DA" w:rsidRDefault="00D757DA">
      <w:pPr>
        <w:pStyle w:val="Zkladntext"/>
        <w:spacing w:before="1"/>
      </w:pPr>
    </w:p>
    <w:p w14:paraId="79F3E7C9" w14:textId="77777777" w:rsidR="00D757DA" w:rsidRDefault="0033254E">
      <w:pPr>
        <w:pStyle w:val="Zkladntext"/>
        <w:spacing w:line="276" w:lineRule="auto"/>
        <w:ind w:left="120" w:right="1435"/>
        <w:jc w:val="both"/>
      </w:pPr>
      <w:r>
        <w:t>As</w:t>
      </w:r>
      <w:r>
        <w:rPr>
          <w:spacing w:val="-2"/>
        </w:rPr>
        <w:t xml:space="preserve"> </w:t>
      </w:r>
      <w:r>
        <w:t>regards</w:t>
      </w:r>
      <w:r>
        <w:rPr>
          <w:spacing w:val="-4"/>
        </w:rPr>
        <w:t xml:space="preserve"> </w:t>
      </w:r>
      <w:r>
        <w:t>external</w:t>
      </w:r>
      <w:r>
        <w:rPr>
          <w:spacing w:val="-6"/>
        </w:rPr>
        <w:t xml:space="preserve"> </w:t>
      </w:r>
      <w:r>
        <w:t>experts,</w:t>
      </w:r>
      <w:r>
        <w:rPr>
          <w:spacing w:val="-3"/>
        </w:rPr>
        <w:t xml:space="preserve"> </w:t>
      </w:r>
      <w:r>
        <w:t>each</w:t>
      </w:r>
      <w:r>
        <w:rPr>
          <w:spacing w:val="-5"/>
        </w:rPr>
        <w:t xml:space="preserve"> </w:t>
      </w:r>
      <w:r>
        <w:t>participating</w:t>
      </w:r>
      <w:r>
        <w:rPr>
          <w:spacing w:val="-4"/>
        </w:rPr>
        <w:t xml:space="preserve"> </w:t>
      </w:r>
      <w:r>
        <w:t>IPO</w:t>
      </w:r>
      <w:r>
        <w:rPr>
          <w:spacing w:val="-3"/>
        </w:rPr>
        <w:t xml:space="preserve"> </w:t>
      </w:r>
      <w:r>
        <w:t>will</w:t>
      </w:r>
      <w:r>
        <w:rPr>
          <w:spacing w:val="-3"/>
        </w:rPr>
        <w:t xml:space="preserve"> </w:t>
      </w:r>
      <w:r>
        <w:t>keep</w:t>
      </w:r>
      <w:r>
        <w:rPr>
          <w:spacing w:val="-4"/>
        </w:rPr>
        <w:t xml:space="preserve"> </w:t>
      </w:r>
      <w:r>
        <w:t>the</w:t>
      </w:r>
      <w:r>
        <w:rPr>
          <w:spacing w:val="-3"/>
        </w:rPr>
        <w:t xml:space="preserve"> </w:t>
      </w:r>
      <w:r>
        <w:t>list</w:t>
      </w:r>
      <w:r>
        <w:rPr>
          <w:spacing w:val="-2"/>
        </w:rPr>
        <w:t xml:space="preserve"> </w:t>
      </w:r>
      <w:r>
        <w:t>of</w:t>
      </w:r>
      <w:r>
        <w:rPr>
          <w:spacing w:val="-4"/>
        </w:rPr>
        <w:t xml:space="preserve"> </w:t>
      </w:r>
      <w:r>
        <w:t>selected</w:t>
      </w:r>
      <w:r>
        <w:rPr>
          <w:spacing w:val="-4"/>
        </w:rPr>
        <w:t xml:space="preserve"> </w:t>
      </w:r>
      <w:r>
        <w:t>experts</w:t>
      </w:r>
      <w:r>
        <w:rPr>
          <w:spacing w:val="-4"/>
        </w:rPr>
        <w:t xml:space="preserve"> </w:t>
      </w:r>
      <w:r>
        <w:t>up</w:t>
      </w:r>
      <w:r>
        <w:rPr>
          <w:spacing w:val="-5"/>
        </w:rPr>
        <w:t xml:space="preserve"> </w:t>
      </w:r>
      <w:r>
        <w:t>to date. This may include removing experts from the list who do not provide the IP Scan service to the expected level of</w:t>
      </w:r>
      <w:r>
        <w:rPr>
          <w:spacing w:val="-6"/>
        </w:rPr>
        <w:t xml:space="preserve"> </w:t>
      </w:r>
      <w:r>
        <w:t>quality.</w:t>
      </w:r>
    </w:p>
    <w:p w14:paraId="1D0FFDA3" w14:textId="77777777" w:rsidR="00D757DA" w:rsidRDefault="00D757DA">
      <w:pPr>
        <w:pStyle w:val="Zkladntext"/>
        <w:spacing w:before="10"/>
        <w:rPr>
          <w:sz w:val="20"/>
        </w:rPr>
      </w:pPr>
    </w:p>
    <w:p w14:paraId="0982142F" w14:textId="77777777" w:rsidR="00D757DA" w:rsidRDefault="0033254E">
      <w:pPr>
        <w:pStyle w:val="Zkladntext"/>
        <w:spacing w:before="1" w:line="276" w:lineRule="auto"/>
        <w:ind w:left="120" w:right="1443"/>
        <w:jc w:val="both"/>
      </w:pPr>
      <w:r>
        <w:t>The EUIPO will provide participating IPOs with a model Code of Conduct covering various ethical and professional aspects of the provision of the IP Scan service.</w:t>
      </w:r>
    </w:p>
    <w:p w14:paraId="5E4D0ADE" w14:textId="77777777" w:rsidR="00D757DA" w:rsidRDefault="00D757DA">
      <w:pPr>
        <w:pStyle w:val="Zkladntext"/>
        <w:spacing w:before="8"/>
        <w:rPr>
          <w:sz w:val="20"/>
        </w:rPr>
      </w:pPr>
    </w:p>
    <w:p w14:paraId="4CA6BE8A" w14:textId="77777777" w:rsidR="00D757DA" w:rsidRDefault="0033254E">
      <w:pPr>
        <w:pStyle w:val="Zkladntext"/>
        <w:spacing w:before="1" w:line="276" w:lineRule="auto"/>
        <w:ind w:left="120" w:right="1437"/>
        <w:jc w:val="both"/>
      </w:pPr>
      <w:r>
        <w:t>It is the sole responsibility of each participating IPO to decide on the adoption of this model Code</w:t>
      </w:r>
      <w:r>
        <w:rPr>
          <w:spacing w:val="-2"/>
        </w:rPr>
        <w:t xml:space="preserve"> </w:t>
      </w:r>
      <w:r>
        <w:t>of</w:t>
      </w:r>
      <w:r>
        <w:rPr>
          <w:spacing w:val="-2"/>
        </w:rPr>
        <w:t xml:space="preserve"> </w:t>
      </w:r>
      <w:r>
        <w:t>Conduct.</w:t>
      </w:r>
      <w:r>
        <w:rPr>
          <w:spacing w:val="-2"/>
        </w:rPr>
        <w:t xml:space="preserve"> </w:t>
      </w:r>
      <w:r>
        <w:t>They</w:t>
      </w:r>
      <w:r>
        <w:rPr>
          <w:spacing w:val="-6"/>
        </w:rPr>
        <w:t xml:space="preserve"> </w:t>
      </w:r>
      <w:r>
        <w:t>may</w:t>
      </w:r>
      <w:r>
        <w:rPr>
          <w:spacing w:val="-4"/>
        </w:rPr>
        <w:t xml:space="preserve"> </w:t>
      </w:r>
      <w:r>
        <w:t>send</w:t>
      </w:r>
      <w:r>
        <w:rPr>
          <w:spacing w:val="-3"/>
        </w:rPr>
        <w:t xml:space="preserve"> </w:t>
      </w:r>
      <w:r>
        <w:t>this</w:t>
      </w:r>
      <w:r>
        <w:rPr>
          <w:spacing w:val="-4"/>
        </w:rPr>
        <w:t xml:space="preserve"> </w:t>
      </w:r>
      <w:r>
        <w:t>document</w:t>
      </w:r>
      <w:r>
        <w:rPr>
          <w:spacing w:val="-4"/>
        </w:rPr>
        <w:t xml:space="preserve"> </w:t>
      </w:r>
      <w:r>
        <w:t>to</w:t>
      </w:r>
      <w:r>
        <w:rPr>
          <w:spacing w:val="-4"/>
        </w:rPr>
        <w:t xml:space="preserve"> </w:t>
      </w:r>
      <w:r>
        <w:t>the</w:t>
      </w:r>
      <w:r>
        <w:rPr>
          <w:spacing w:val="-4"/>
        </w:rPr>
        <w:t xml:space="preserve"> </w:t>
      </w:r>
      <w:r>
        <w:t>national</w:t>
      </w:r>
      <w:r>
        <w:rPr>
          <w:spacing w:val="-4"/>
        </w:rPr>
        <w:t xml:space="preserve"> </w:t>
      </w:r>
      <w:r>
        <w:t>and</w:t>
      </w:r>
      <w:r>
        <w:rPr>
          <w:spacing w:val="-4"/>
        </w:rPr>
        <w:t xml:space="preserve"> </w:t>
      </w:r>
      <w:r>
        <w:t>regional</w:t>
      </w:r>
      <w:r>
        <w:rPr>
          <w:spacing w:val="-1"/>
        </w:rPr>
        <w:t xml:space="preserve"> </w:t>
      </w:r>
      <w:r>
        <w:t>IP</w:t>
      </w:r>
      <w:r>
        <w:rPr>
          <w:spacing w:val="-5"/>
        </w:rPr>
        <w:t xml:space="preserve"> </w:t>
      </w:r>
      <w:r>
        <w:t>Scan</w:t>
      </w:r>
      <w:r>
        <w:rPr>
          <w:spacing w:val="-4"/>
        </w:rPr>
        <w:t xml:space="preserve"> </w:t>
      </w:r>
      <w:r>
        <w:t>experts designated by them, requesting their signature, and collecting the signed</w:t>
      </w:r>
      <w:r>
        <w:rPr>
          <w:spacing w:val="-16"/>
        </w:rPr>
        <w:t xml:space="preserve"> </w:t>
      </w:r>
      <w:r>
        <w:t>versions.</w:t>
      </w:r>
    </w:p>
    <w:p w14:paraId="33E89072" w14:textId="77777777" w:rsidR="00D757DA" w:rsidRDefault="00D757DA">
      <w:pPr>
        <w:pStyle w:val="Zkladntext"/>
        <w:spacing w:before="11"/>
        <w:rPr>
          <w:sz w:val="20"/>
        </w:rPr>
      </w:pPr>
    </w:p>
    <w:p w14:paraId="7BFA36DC" w14:textId="77777777" w:rsidR="00D757DA" w:rsidRDefault="0033254E">
      <w:pPr>
        <w:pStyle w:val="Zkladntext"/>
        <w:spacing w:line="276" w:lineRule="auto"/>
        <w:ind w:left="120" w:right="1434"/>
        <w:jc w:val="both"/>
      </w:pPr>
      <w:r>
        <w:t>A</w:t>
      </w:r>
      <w:r>
        <w:rPr>
          <w:spacing w:val="-8"/>
        </w:rPr>
        <w:t xml:space="preserve"> </w:t>
      </w:r>
      <w:r>
        <w:t>non-disclosure</w:t>
      </w:r>
      <w:r>
        <w:rPr>
          <w:spacing w:val="-6"/>
        </w:rPr>
        <w:t xml:space="preserve"> </w:t>
      </w:r>
      <w:r>
        <w:t>agreement</w:t>
      </w:r>
      <w:r>
        <w:rPr>
          <w:spacing w:val="-5"/>
        </w:rPr>
        <w:t xml:space="preserve"> </w:t>
      </w:r>
      <w:r>
        <w:t>is</w:t>
      </w:r>
      <w:r>
        <w:rPr>
          <w:spacing w:val="-11"/>
        </w:rPr>
        <w:t xml:space="preserve"> </w:t>
      </w:r>
      <w:r>
        <w:t>to</w:t>
      </w:r>
      <w:r>
        <w:rPr>
          <w:spacing w:val="-9"/>
        </w:rPr>
        <w:t xml:space="preserve"> </w:t>
      </w:r>
      <w:r>
        <w:t>be</w:t>
      </w:r>
      <w:r>
        <w:rPr>
          <w:spacing w:val="-9"/>
        </w:rPr>
        <w:t xml:space="preserve"> </w:t>
      </w:r>
      <w:r>
        <w:t>signed</w:t>
      </w:r>
      <w:r>
        <w:rPr>
          <w:spacing w:val="-8"/>
        </w:rPr>
        <w:t xml:space="preserve"> </w:t>
      </w:r>
      <w:r>
        <w:t>between</w:t>
      </w:r>
      <w:r>
        <w:rPr>
          <w:spacing w:val="-7"/>
        </w:rPr>
        <w:t xml:space="preserve"> </w:t>
      </w:r>
      <w:r>
        <w:t>the</w:t>
      </w:r>
      <w:r>
        <w:rPr>
          <w:spacing w:val="-9"/>
        </w:rPr>
        <w:t xml:space="preserve"> </w:t>
      </w:r>
      <w:r>
        <w:t>EU</w:t>
      </w:r>
      <w:r>
        <w:rPr>
          <w:spacing w:val="-9"/>
        </w:rPr>
        <w:t xml:space="preserve"> </w:t>
      </w:r>
      <w:r>
        <w:t>SME</w:t>
      </w:r>
      <w:r>
        <w:rPr>
          <w:spacing w:val="-9"/>
        </w:rPr>
        <w:t xml:space="preserve"> </w:t>
      </w:r>
      <w:r>
        <w:t>and</w:t>
      </w:r>
      <w:r>
        <w:rPr>
          <w:spacing w:val="-11"/>
        </w:rPr>
        <w:t xml:space="preserve"> </w:t>
      </w:r>
      <w:r>
        <w:t>the</w:t>
      </w:r>
      <w:r>
        <w:rPr>
          <w:spacing w:val="-9"/>
        </w:rPr>
        <w:t xml:space="preserve"> </w:t>
      </w:r>
      <w:r>
        <w:t>expert.</w:t>
      </w:r>
      <w:r>
        <w:rPr>
          <w:spacing w:val="-7"/>
        </w:rPr>
        <w:t xml:space="preserve"> </w:t>
      </w:r>
      <w:r>
        <w:t>The</w:t>
      </w:r>
      <w:r>
        <w:rPr>
          <w:spacing w:val="-10"/>
        </w:rPr>
        <w:t xml:space="preserve"> </w:t>
      </w:r>
      <w:r>
        <w:t>EUIPO will</w:t>
      </w:r>
      <w:r>
        <w:rPr>
          <w:spacing w:val="-6"/>
        </w:rPr>
        <w:t xml:space="preserve"> </w:t>
      </w:r>
      <w:r>
        <w:t>provide</w:t>
      </w:r>
      <w:r>
        <w:rPr>
          <w:spacing w:val="-5"/>
        </w:rPr>
        <w:t xml:space="preserve"> </w:t>
      </w:r>
      <w:r>
        <w:t>the</w:t>
      </w:r>
      <w:r>
        <w:rPr>
          <w:spacing w:val="-7"/>
        </w:rPr>
        <w:t xml:space="preserve"> </w:t>
      </w:r>
      <w:r>
        <w:t>IPO</w:t>
      </w:r>
      <w:r>
        <w:rPr>
          <w:spacing w:val="-6"/>
        </w:rPr>
        <w:t xml:space="preserve"> </w:t>
      </w:r>
      <w:r>
        <w:t>with</w:t>
      </w:r>
      <w:r>
        <w:rPr>
          <w:spacing w:val="-9"/>
        </w:rPr>
        <w:t xml:space="preserve"> </w:t>
      </w:r>
      <w:r>
        <w:t>a</w:t>
      </w:r>
      <w:r>
        <w:rPr>
          <w:spacing w:val="-4"/>
        </w:rPr>
        <w:t xml:space="preserve"> </w:t>
      </w:r>
      <w:r>
        <w:t>template</w:t>
      </w:r>
      <w:r>
        <w:rPr>
          <w:spacing w:val="-7"/>
        </w:rPr>
        <w:t xml:space="preserve"> </w:t>
      </w:r>
      <w:r>
        <w:t>of</w:t>
      </w:r>
      <w:r>
        <w:rPr>
          <w:spacing w:val="-5"/>
        </w:rPr>
        <w:t xml:space="preserve"> </w:t>
      </w:r>
      <w:r>
        <w:t>the</w:t>
      </w:r>
      <w:r>
        <w:rPr>
          <w:spacing w:val="-8"/>
        </w:rPr>
        <w:t xml:space="preserve"> </w:t>
      </w:r>
      <w:r>
        <w:t>non-disclosure</w:t>
      </w:r>
      <w:r>
        <w:rPr>
          <w:spacing w:val="-4"/>
        </w:rPr>
        <w:t xml:space="preserve"> </w:t>
      </w:r>
      <w:r>
        <w:t>agreement</w:t>
      </w:r>
      <w:r>
        <w:rPr>
          <w:spacing w:val="-6"/>
        </w:rPr>
        <w:t xml:space="preserve"> </w:t>
      </w:r>
      <w:r>
        <w:t>for</w:t>
      </w:r>
      <w:r>
        <w:rPr>
          <w:spacing w:val="-5"/>
        </w:rPr>
        <w:t xml:space="preserve"> </w:t>
      </w:r>
      <w:r>
        <w:t>the</w:t>
      </w:r>
      <w:r>
        <w:rPr>
          <w:spacing w:val="-5"/>
        </w:rPr>
        <w:t xml:space="preserve"> </w:t>
      </w:r>
      <w:r>
        <w:t>purpose</w:t>
      </w:r>
      <w:r>
        <w:rPr>
          <w:spacing w:val="-5"/>
        </w:rPr>
        <w:t xml:space="preserve"> </w:t>
      </w:r>
      <w:r>
        <w:t>of</w:t>
      </w:r>
      <w:r>
        <w:rPr>
          <w:spacing w:val="-5"/>
        </w:rPr>
        <w:t xml:space="preserve"> </w:t>
      </w:r>
      <w:r>
        <w:t>the</w:t>
      </w:r>
      <w:r>
        <w:rPr>
          <w:spacing w:val="-7"/>
        </w:rPr>
        <w:t xml:space="preserve"> </w:t>
      </w:r>
      <w:r>
        <w:t>IP Scan service.</w:t>
      </w:r>
    </w:p>
    <w:p w14:paraId="491780C5" w14:textId="77777777" w:rsidR="00D757DA" w:rsidRDefault="00D757DA">
      <w:pPr>
        <w:pStyle w:val="Zkladntext"/>
        <w:spacing w:before="11"/>
        <w:rPr>
          <w:sz w:val="20"/>
        </w:rPr>
      </w:pPr>
    </w:p>
    <w:p w14:paraId="25B3E04E" w14:textId="77777777" w:rsidR="00D757DA" w:rsidRDefault="0033254E">
      <w:pPr>
        <w:pStyle w:val="Zkladntext"/>
        <w:ind w:left="120"/>
        <w:jc w:val="both"/>
      </w:pPr>
      <w:r>
        <w:t>The IP Scan service will consist of the following main steps:</w:t>
      </w:r>
    </w:p>
    <w:p w14:paraId="00B0E8E8" w14:textId="77777777" w:rsidR="00D757DA" w:rsidRDefault="00D757DA">
      <w:pPr>
        <w:pStyle w:val="Zkladntext"/>
        <w:spacing w:before="10"/>
        <w:rPr>
          <w:sz w:val="28"/>
        </w:rPr>
      </w:pPr>
    </w:p>
    <w:p w14:paraId="1DE3B438" w14:textId="77777777" w:rsidR="00D757DA" w:rsidRDefault="0033254E">
      <w:pPr>
        <w:pStyle w:val="Odstavecseseznamem"/>
        <w:numPr>
          <w:ilvl w:val="0"/>
          <w:numId w:val="13"/>
        </w:numPr>
        <w:tabs>
          <w:tab w:val="left" w:pos="687"/>
        </w:tabs>
        <w:spacing w:line="237" w:lineRule="auto"/>
        <w:ind w:right="1437"/>
      </w:pPr>
      <w:r>
        <w:t xml:space="preserve">Initial analysis: The EU SME will complete a self-assessment survey provided by the IPO. The expert will </w:t>
      </w:r>
      <w:proofErr w:type="spellStart"/>
      <w:r>
        <w:t>analyse</w:t>
      </w:r>
      <w:proofErr w:type="spellEnd"/>
      <w:r>
        <w:t xml:space="preserve"> the competitive environment of the EU SME and their survey responses to gain an initial understanding of the beneficiary’s IP</w:t>
      </w:r>
      <w:r>
        <w:rPr>
          <w:spacing w:val="-30"/>
        </w:rPr>
        <w:t xml:space="preserve"> </w:t>
      </w:r>
      <w:r>
        <w:t>situation.</w:t>
      </w:r>
    </w:p>
    <w:p w14:paraId="43859B11" w14:textId="77777777" w:rsidR="00D757DA" w:rsidRDefault="00D757DA">
      <w:pPr>
        <w:pStyle w:val="Zkladntext"/>
        <w:spacing w:before="2"/>
      </w:pPr>
    </w:p>
    <w:p w14:paraId="779AAE88" w14:textId="77777777" w:rsidR="00D757DA" w:rsidRDefault="0033254E">
      <w:pPr>
        <w:pStyle w:val="Odstavecseseznamem"/>
        <w:numPr>
          <w:ilvl w:val="0"/>
          <w:numId w:val="13"/>
        </w:numPr>
        <w:tabs>
          <w:tab w:val="left" w:pos="687"/>
        </w:tabs>
        <w:ind w:right="1435"/>
      </w:pPr>
      <w:r>
        <w:t>Visit and interview: The expert will visit the EU SME and conduct an in-depth interview, using a questionnaire as a guide. The EUIPO will provide a template questionnaire for this purpose. Online communication can also be</w:t>
      </w:r>
      <w:r>
        <w:rPr>
          <w:spacing w:val="-7"/>
        </w:rPr>
        <w:t xml:space="preserve"> </w:t>
      </w:r>
      <w:r>
        <w:t>used.</w:t>
      </w:r>
    </w:p>
    <w:p w14:paraId="0426875A" w14:textId="77777777" w:rsidR="00D757DA" w:rsidRDefault="00D757DA">
      <w:pPr>
        <w:pStyle w:val="Zkladntext"/>
        <w:spacing w:before="1"/>
      </w:pPr>
    </w:p>
    <w:p w14:paraId="5523498E" w14:textId="77777777" w:rsidR="00D757DA" w:rsidRDefault="0033254E">
      <w:pPr>
        <w:pStyle w:val="Odstavecseseznamem"/>
        <w:numPr>
          <w:ilvl w:val="0"/>
          <w:numId w:val="13"/>
        </w:numPr>
        <w:tabs>
          <w:tab w:val="left" w:pos="687"/>
        </w:tabs>
        <w:spacing w:line="237" w:lineRule="auto"/>
        <w:ind w:right="1441"/>
      </w:pPr>
      <w:r>
        <w:t>Result: The expert will submit a draft report to the IPO for a quality check. The EUIPO will provide a template</w:t>
      </w:r>
      <w:r>
        <w:rPr>
          <w:spacing w:val="-3"/>
        </w:rPr>
        <w:t xml:space="preserve"> </w:t>
      </w:r>
      <w:r>
        <w:t>report.</w:t>
      </w:r>
    </w:p>
    <w:p w14:paraId="45C9BFD3" w14:textId="77777777" w:rsidR="00D757DA" w:rsidRDefault="00D757DA">
      <w:pPr>
        <w:pStyle w:val="Zkladntext"/>
        <w:spacing w:before="5"/>
      </w:pPr>
    </w:p>
    <w:p w14:paraId="67D0E96D" w14:textId="77777777" w:rsidR="00D757DA" w:rsidRDefault="0033254E">
      <w:pPr>
        <w:pStyle w:val="Odstavecseseznamem"/>
        <w:numPr>
          <w:ilvl w:val="0"/>
          <w:numId w:val="13"/>
        </w:numPr>
        <w:tabs>
          <w:tab w:val="left" w:pos="687"/>
        </w:tabs>
        <w:spacing w:line="237" w:lineRule="auto"/>
        <w:ind w:right="1435"/>
      </w:pPr>
      <w:r>
        <w:t>Interview</w:t>
      </w:r>
      <w:r>
        <w:rPr>
          <w:spacing w:val="-12"/>
        </w:rPr>
        <w:t xml:space="preserve"> </w:t>
      </w:r>
      <w:r>
        <w:t>with</w:t>
      </w:r>
      <w:r>
        <w:rPr>
          <w:spacing w:val="-14"/>
        </w:rPr>
        <w:t xml:space="preserve"> </w:t>
      </w:r>
      <w:r>
        <w:t>the</w:t>
      </w:r>
      <w:r>
        <w:rPr>
          <w:spacing w:val="-13"/>
        </w:rPr>
        <w:t xml:space="preserve"> </w:t>
      </w:r>
      <w:r>
        <w:t>SME</w:t>
      </w:r>
      <w:r>
        <w:rPr>
          <w:spacing w:val="-14"/>
        </w:rPr>
        <w:t xml:space="preserve"> </w:t>
      </w:r>
      <w:r>
        <w:t>before</w:t>
      </w:r>
      <w:r>
        <w:rPr>
          <w:spacing w:val="-14"/>
        </w:rPr>
        <w:t xml:space="preserve"> </w:t>
      </w:r>
      <w:r>
        <w:t>the</w:t>
      </w:r>
      <w:r>
        <w:rPr>
          <w:spacing w:val="-13"/>
        </w:rPr>
        <w:t xml:space="preserve"> </w:t>
      </w:r>
      <w:r>
        <w:t>delivery</w:t>
      </w:r>
      <w:r>
        <w:rPr>
          <w:spacing w:val="-13"/>
        </w:rPr>
        <w:t xml:space="preserve"> </w:t>
      </w:r>
      <w:r>
        <w:t>of</w:t>
      </w:r>
      <w:r>
        <w:rPr>
          <w:spacing w:val="-14"/>
        </w:rPr>
        <w:t xml:space="preserve"> </w:t>
      </w:r>
      <w:r>
        <w:t>the</w:t>
      </w:r>
      <w:r>
        <w:rPr>
          <w:spacing w:val="-14"/>
        </w:rPr>
        <w:t xml:space="preserve"> </w:t>
      </w:r>
      <w:r>
        <w:t>final</w:t>
      </w:r>
      <w:r>
        <w:rPr>
          <w:spacing w:val="-12"/>
        </w:rPr>
        <w:t xml:space="preserve"> </w:t>
      </w:r>
      <w:r>
        <w:t>report.</w:t>
      </w:r>
      <w:r>
        <w:rPr>
          <w:spacing w:val="-14"/>
        </w:rPr>
        <w:t xml:space="preserve"> </w:t>
      </w:r>
      <w:r>
        <w:t>Once</w:t>
      </w:r>
      <w:r>
        <w:rPr>
          <w:spacing w:val="-14"/>
        </w:rPr>
        <w:t xml:space="preserve"> </w:t>
      </w:r>
      <w:r>
        <w:t>approved</w:t>
      </w:r>
      <w:r>
        <w:rPr>
          <w:spacing w:val="-10"/>
        </w:rPr>
        <w:t xml:space="preserve"> </w:t>
      </w:r>
      <w:r>
        <w:t>by</w:t>
      </w:r>
      <w:r>
        <w:rPr>
          <w:spacing w:val="-14"/>
        </w:rPr>
        <w:t xml:space="preserve"> </w:t>
      </w:r>
      <w:r>
        <w:t>the</w:t>
      </w:r>
      <w:r>
        <w:rPr>
          <w:spacing w:val="-14"/>
        </w:rPr>
        <w:t xml:space="preserve"> </w:t>
      </w:r>
      <w:r>
        <w:t>IPO, the</w:t>
      </w:r>
      <w:r>
        <w:rPr>
          <w:spacing w:val="-15"/>
        </w:rPr>
        <w:t xml:space="preserve"> </w:t>
      </w:r>
      <w:r>
        <w:t>expert</w:t>
      </w:r>
      <w:r>
        <w:rPr>
          <w:spacing w:val="-15"/>
        </w:rPr>
        <w:t xml:space="preserve"> </w:t>
      </w:r>
      <w:r>
        <w:t>will</w:t>
      </w:r>
      <w:r>
        <w:rPr>
          <w:spacing w:val="-14"/>
        </w:rPr>
        <w:t xml:space="preserve"> </w:t>
      </w:r>
      <w:r>
        <w:t>deliver</w:t>
      </w:r>
      <w:r>
        <w:rPr>
          <w:spacing w:val="-13"/>
        </w:rPr>
        <w:t xml:space="preserve"> </w:t>
      </w:r>
      <w:r>
        <w:t>the</w:t>
      </w:r>
      <w:r>
        <w:rPr>
          <w:spacing w:val="-16"/>
        </w:rPr>
        <w:t xml:space="preserve"> </w:t>
      </w:r>
      <w:r>
        <w:t>results</w:t>
      </w:r>
      <w:r>
        <w:rPr>
          <w:spacing w:val="-13"/>
        </w:rPr>
        <w:t xml:space="preserve"> </w:t>
      </w:r>
      <w:r>
        <w:t>of</w:t>
      </w:r>
      <w:r>
        <w:rPr>
          <w:spacing w:val="-15"/>
        </w:rPr>
        <w:t xml:space="preserve"> </w:t>
      </w:r>
      <w:r>
        <w:t>the</w:t>
      </w:r>
      <w:r>
        <w:rPr>
          <w:spacing w:val="-14"/>
        </w:rPr>
        <w:t xml:space="preserve"> </w:t>
      </w:r>
      <w:r>
        <w:t>complete</w:t>
      </w:r>
      <w:r>
        <w:rPr>
          <w:spacing w:val="-16"/>
        </w:rPr>
        <w:t xml:space="preserve"> </w:t>
      </w:r>
      <w:r>
        <w:t>analysis</w:t>
      </w:r>
      <w:r>
        <w:rPr>
          <w:spacing w:val="-14"/>
        </w:rPr>
        <w:t xml:space="preserve"> </w:t>
      </w:r>
      <w:r>
        <w:t>to</w:t>
      </w:r>
      <w:r>
        <w:rPr>
          <w:spacing w:val="-16"/>
        </w:rPr>
        <w:t xml:space="preserve"> </w:t>
      </w:r>
      <w:r>
        <w:t>the</w:t>
      </w:r>
      <w:r>
        <w:rPr>
          <w:spacing w:val="-14"/>
        </w:rPr>
        <w:t xml:space="preserve"> </w:t>
      </w:r>
      <w:r>
        <w:t>EU</w:t>
      </w:r>
      <w:r>
        <w:rPr>
          <w:spacing w:val="-14"/>
        </w:rPr>
        <w:t xml:space="preserve"> </w:t>
      </w:r>
      <w:r>
        <w:t>SME</w:t>
      </w:r>
      <w:r>
        <w:rPr>
          <w:spacing w:val="-10"/>
        </w:rPr>
        <w:t xml:space="preserve"> </w:t>
      </w:r>
      <w:r>
        <w:t>either</w:t>
      </w:r>
      <w:r>
        <w:rPr>
          <w:spacing w:val="-13"/>
        </w:rPr>
        <w:t xml:space="preserve"> </w:t>
      </w:r>
      <w:r>
        <w:t>in</w:t>
      </w:r>
      <w:r>
        <w:rPr>
          <w:spacing w:val="-14"/>
        </w:rPr>
        <w:t xml:space="preserve"> </w:t>
      </w:r>
      <w:r>
        <w:t>person or via video/teleconference. The expert will explain the content of the report to the EU SME</w:t>
      </w:r>
      <w:r>
        <w:rPr>
          <w:spacing w:val="-14"/>
        </w:rPr>
        <w:t xml:space="preserve"> </w:t>
      </w:r>
      <w:r>
        <w:t>including</w:t>
      </w:r>
      <w:r>
        <w:rPr>
          <w:spacing w:val="-13"/>
        </w:rPr>
        <w:t xml:space="preserve"> </w:t>
      </w:r>
      <w:r>
        <w:t>the</w:t>
      </w:r>
      <w:r>
        <w:rPr>
          <w:spacing w:val="-15"/>
        </w:rPr>
        <w:t xml:space="preserve"> </w:t>
      </w:r>
      <w:r>
        <w:t>risks</w:t>
      </w:r>
      <w:r>
        <w:rPr>
          <w:spacing w:val="-14"/>
        </w:rPr>
        <w:t xml:space="preserve"> </w:t>
      </w:r>
      <w:r>
        <w:t>identified;</w:t>
      </w:r>
      <w:r>
        <w:rPr>
          <w:spacing w:val="-12"/>
        </w:rPr>
        <w:t xml:space="preserve"> </w:t>
      </w:r>
      <w:r>
        <w:t>it</w:t>
      </w:r>
      <w:r>
        <w:rPr>
          <w:spacing w:val="-11"/>
        </w:rPr>
        <w:t xml:space="preserve"> </w:t>
      </w:r>
      <w:r>
        <w:t>will</w:t>
      </w:r>
      <w:r>
        <w:rPr>
          <w:spacing w:val="-14"/>
        </w:rPr>
        <w:t xml:space="preserve"> </w:t>
      </w:r>
      <w:r>
        <w:t>also</w:t>
      </w:r>
      <w:r>
        <w:rPr>
          <w:spacing w:val="-12"/>
        </w:rPr>
        <w:t xml:space="preserve"> </w:t>
      </w:r>
      <w:r>
        <w:t>provide</w:t>
      </w:r>
      <w:r>
        <w:rPr>
          <w:spacing w:val="-13"/>
        </w:rPr>
        <w:t xml:space="preserve"> </w:t>
      </w:r>
      <w:r>
        <w:t>the</w:t>
      </w:r>
      <w:r>
        <w:rPr>
          <w:spacing w:val="-15"/>
        </w:rPr>
        <w:t xml:space="preserve"> </w:t>
      </w:r>
      <w:r>
        <w:t>SME</w:t>
      </w:r>
      <w:r>
        <w:rPr>
          <w:spacing w:val="-16"/>
        </w:rPr>
        <w:t xml:space="preserve"> </w:t>
      </w:r>
      <w:r>
        <w:t>with</w:t>
      </w:r>
      <w:r>
        <w:rPr>
          <w:spacing w:val="-12"/>
        </w:rPr>
        <w:t xml:space="preserve"> </w:t>
      </w:r>
      <w:r>
        <w:t>its</w:t>
      </w:r>
      <w:r>
        <w:rPr>
          <w:spacing w:val="-14"/>
        </w:rPr>
        <w:t xml:space="preserve"> </w:t>
      </w:r>
      <w:r>
        <w:t>recommendations.</w:t>
      </w:r>
    </w:p>
    <w:p w14:paraId="5497EA64" w14:textId="77777777" w:rsidR="00D757DA" w:rsidRDefault="00D757DA">
      <w:pPr>
        <w:pStyle w:val="Zkladntext"/>
        <w:spacing w:before="4"/>
      </w:pPr>
    </w:p>
    <w:p w14:paraId="6307D877" w14:textId="77777777" w:rsidR="00D757DA" w:rsidRDefault="0033254E">
      <w:pPr>
        <w:pStyle w:val="Zkladntext"/>
        <w:ind w:left="120" w:right="1437"/>
        <w:jc w:val="both"/>
      </w:pPr>
      <w:r>
        <w:t>Experts selected to provide the IP Scan service may not carry out IP Scan services for themselves</w:t>
      </w:r>
      <w:r>
        <w:rPr>
          <w:spacing w:val="-10"/>
        </w:rPr>
        <w:t xml:space="preserve"> </w:t>
      </w:r>
      <w:r>
        <w:t>(personal</w:t>
      </w:r>
      <w:r>
        <w:rPr>
          <w:spacing w:val="-7"/>
        </w:rPr>
        <w:t xml:space="preserve"> </w:t>
      </w:r>
      <w:r>
        <w:t>VAT</w:t>
      </w:r>
      <w:r>
        <w:rPr>
          <w:spacing w:val="-6"/>
        </w:rPr>
        <w:t xml:space="preserve"> </w:t>
      </w:r>
      <w:r>
        <w:t>number)</w:t>
      </w:r>
      <w:r>
        <w:rPr>
          <w:spacing w:val="-6"/>
        </w:rPr>
        <w:t xml:space="preserve"> </w:t>
      </w:r>
      <w:r>
        <w:t>or</w:t>
      </w:r>
      <w:r>
        <w:rPr>
          <w:spacing w:val="-8"/>
        </w:rPr>
        <w:t xml:space="preserve"> </w:t>
      </w:r>
      <w:r>
        <w:t>for</w:t>
      </w:r>
      <w:r>
        <w:rPr>
          <w:spacing w:val="-6"/>
        </w:rPr>
        <w:t xml:space="preserve"> </w:t>
      </w:r>
      <w:r>
        <w:t>any</w:t>
      </w:r>
      <w:r>
        <w:rPr>
          <w:spacing w:val="-7"/>
        </w:rPr>
        <w:t xml:space="preserve"> </w:t>
      </w:r>
      <w:r>
        <w:t>business</w:t>
      </w:r>
      <w:r>
        <w:rPr>
          <w:spacing w:val="-6"/>
        </w:rPr>
        <w:t xml:space="preserve"> </w:t>
      </w:r>
      <w:r>
        <w:t>in</w:t>
      </w:r>
      <w:r>
        <w:rPr>
          <w:spacing w:val="-6"/>
        </w:rPr>
        <w:t xml:space="preserve"> </w:t>
      </w:r>
      <w:r>
        <w:t>which</w:t>
      </w:r>
      <w:r>
        <w:rPr>
          <w:spacing w:val="-7"/>
        </w:rPr>
        <w:t xml:space="preserve"> </w:t>
      </w:r>
      <w:r>
        <w:t>they</w:t>
      </w:r>
      <w:r>
        <w:rPr>
          <w:spacing w:val="-8"/>
        </w:rPr>
        <w:t xml:space="preserve"> </w:t>
      </w:r>
      <w:r>
        <w:t>have</w:t>
      </w:r>
      <w:r>
        <w:rPr>
          <w:spacing w:val="-9"/>
        </w:rPr>
        <w:t xml:space="preserve"> </w:t>
      </w:r>
      <w:r>
        <w:t>a</w:t>
      </w:r>
      <w:r>
        <w:rPr>
          <w:spacing w:val="-6"/>
        </w:rPr>
        <w:t xml:space="preserve"> </w:t>
      </w:r>
      <w:r>
        <w:t>financial</w:t>
      </w:r>
      <w:r>
        <w:rPr>
          <w:spacing w:val="-8"/>
        </w:rPr>
        <w:t xml:space="preserve"> </w:t>
      </w:r>
      <w:r>
        <w:t>interest (company VAT</w:t>
      </w:r>
      <w:r>
        <w:rPr>
          <w:spacing w:val="-3"/>
        </w:rPr>
        <w:t xml:space="preserve"> </w:t>
      </w:r>
      <w:r>
        <w:t>number).</w:t>
      </w:r>
    </w:p>
    <w:p w14:paraId="3F083AC7" w14:textId="77777777" w:rsidR="00D757DA" w:rsidRDefault="00D757DA">
      <w:pPr>
        <w:pStyle w:val="Zkladntext"/>
        <w:spacing w:before="1"/>
      </w:pPr>
    </w:p>
    <w:p w14:paraId="39C3AD33" w14:textId="77777777" w:rsidR="00D757DA" w:rsidRDefault="0033254E">
      <w:pPr>
        <w:pStyle w:val="Zkladntext"/>
        <w:ind w:left="120" w:right="1441"/>
        <w:jc w:val="both"/>
      </w:pPr>
      <w:r>
        <w:t>Experts selected to provide the IP Scan service may also not request or undergo IP Scan services provided by other IP Scan experts in the network for themselves (personal VAT number) or for any business in which they have a financial interest (company VAT number).</w:t>
      </w:r>
    </w:p>
    <w:p w14:paraId="22D84D41" w14:textId="77777777" w:rsidR="00D757DA" w:rsidRDefault="00D757DA">
      <w:pPr>
        <w:pStyle w:val="Zkladntext"/>
        <w:spacing w:before="1"/>
      </w:pPr>
    </w:p>
    <w:p w14:paraId="5F187447" w14:textId="77777777" w:rsidR="00D757DA" w:rsidRDefault="0033254E">
      <w:pPr>
        <w:pStyle w:val="Zkladntext"/>
        <w:ind w:left="120" w:right="1439"/>
        <w:jc w:val="both"/>
      </w:pPr>
      <w:r>
        <w:t>MS IPOs may decline IP Scan reports prepared by experts, even if a grant award decision has already been issued, if it comes to their attention that the expert holds a financial interest in the company for which the report was prepared.</w:t>
      </w:r>
    </w:p>
    <w:p w14:paraId="4831B470" w14:textId="77777777" w:rsidR="00D757DA" w:rsidRDefault="00D757DA">
      <w:pPr>
        <w:pStyle w:val="Zkladntext"/>
        <w:spacing w:before="3"/>
        <w:rPr>
          <w:sz w:val="25"/>
        </w:rPr>
      </w:pPr>
    </w:p>
    <w:p w14:paraId="35E41510" w14:textId="77777777" w:rsidR="00D757DA" w:rsidRDefault="0033254E">
      <w:pPr>
        <w:pStyle w:val="Nadpis3"/>
        <w:numPr>
          <w:ilvl w:val="2"/>
          <w:numId w:val="9"/>
        </w:numPr>
        <w:tabs>
          <w:tab w:val="left" w:pos="1525"/>
        </w:tabs>
        <w:ind w:hanging="553"/>
      </w:pPr>
      <w:r>
        <w:t>Evidence of completion of the IP Scan</w:t>
      </w:r>
      <w:r>
        <w:rPr>
          <w:spacing w:val="-8"/>
        </w:rPr>
        <w:t xml:space="preserve"> </w:t>
      </w:r>
      <w:r>
        <w:t>service</w:t>
      </w:r>
    </w:p>
    <w:p w14:paraId="0A08E1A1" w14:textId="77777777" w:rsidR="00D757DA" w:rsidRDefault="00D757DA">
      <w:pPr>
        <w:pStyle w:val="Zkladntext"/>
        <w:spacing w:before="1"/>
        <w:rPr>
          <w:b/>
          <w:sz w:val="24"/>
        </w:rPr>
      </w:pPr>
    </w:p>
    <w:p w14:paraId="11C496A9" w14:textId="77777777" w:rsidR="00D757DA" w:rsidRDefault="0033254E">
      <w:pPr>
        <w:pStyle w:val="Zkladntext"/>
        <w:spacing w:line="276" w:lineRule="auto"/>
        <w:ind w:left="120" w:right="1436"/>
        <w:jc w:val="both"/>
      </w:pPr>
      <w:r>
        <w:t>Once</w:t>
      </w:r>
      <w:r>
        <w:rPr>
          <w:spacing w:val="-3"/>
        </w:rPr>
        <w:t xml:space="preserve"> </w:t>
      </w:r>
      <w:r>
        <w:t>the</w:t>
      </w:r>
      <w:r>
        <w:rPr>
          <w:spacing w:val="-6"/>
        </w:rPr>
        <w:t xml:space="preserve"> </w:t>
      </w:r>
      <w:r>
        <w:t>IP Scan</w:t>
      </w:r>
      <w:r>
        <w:rPr>
          <w:spacing w:val="-3"/>
        </w:rPr>
        <w:t xml:space="preserve"> </w:t>
      </w:r>
      <w:r>
        <w:t>has</w:t>
      </w:r>
      <w:r>
        <w:rPr>
          <w:spacing w:val="-3"/>
        </w:rPr>
        <w:t xml:space="preserve"> </w:t>
      </w:r>
      <w:r>
        <w:t>been</w:t>
      </w:r>
      <w:r>
        <w:rPr>
          <w:spacing w:val="-1"/>
        </w:rPr>
        <w:t xml:space="preserve"> </w:t>
      </w:r>
      <w:r>
        <w:t>provided</w:t>
      </w:r>
      <w:r>
        <w:rPr>
          <w:spacing w:val="-2"/>
        </w:rPr>
        <w:t xml:space="preserve"> </w:t>
      </w:r>
      <w:r>
        <w:t>to</w:t>
      </w:r>
      <w:r>
        <w:rPr>
          <w:spacing w:val="-5"/>
        </w:rPr>
        <w:t xml:space="preserve"> </w:t>
      </w:r>
      <w:r>
        <w:t>the</w:t>
      </w:r>
      <w:r>
        <w:rPr>
          <w:spacing w:val="-3"/>
        </w:rPr>
        <w:t xml:space="preserve"> </w:t>
      </w:r>
      <w:r>
        <w:t>EU SME,</w:t>
      </w:r>
      <w:r>
        <w:rPr>
          <w:spacing w:val="-2"/>
        </w:rPr>
        <w:t xml:space="preserve"> </w:t>
      </w:r>
      <w:r>
        <w:t>the</w:t>
      </w:r>
      <w:r>
        <w:rPr>
          <w:spacing w:val="-6"/>
        </w:rPr>
        <w:t xml:space="preserve"> </w:t>
      </w:r>
      <w:r>
        <w:t>IPO</w:t>
      </w:r>
      <w:r>
        <w:rPr>
          <w:spacing w:val="-1"/>
        </w:rPr>
        <w:t xml:space="preserve"> </w:t>
      </w:r>
      <w:r>
        <w:t>will</w:t>
      </w:r>
      <w:r>
        <w:rPr>
          <w:spacing w:val="-1"/>
        </w:rPr>
        <w:t xml:space="preserve"> </w:t>
      </w:r>
      <w:r>
        <w:t>issue</w:t>
      </w:r>
      <w:r>
        <w:rPr>
          <w:spacing w:val="-1"/>
        </w:rPr>
        <w:t xml:space="preserve"> </w:t>
      </w:r>
      <w:r>
        <w:t>a</w:t>
      </w:r>
      <w:r>
        <w:rPr>
          <w:spacing w:val="-4"/>
        </w:rPr>
        <w:t xml:space="preserve"> </w:t>
      </w:r>
      <w:r>
        <w:t>proof</w:t>
      </w:r>
      <w:r>
        <w:rPr>
          <w:spacing w:val="-2"/>
        </w:rPr>
        <w:t xml:space="preserve"> </w:t>
      </w:r>
      <w:r>
        <w:t>of</w:t>
      </w:r>
      <w:r>
        <w:rPr>
          <w:spacing w:val="-4"/>
        </w:rPr>
        <w:t xml:space="preserve"> </w:t>
      </w:r>
      <w:r>
        <w:t>the</w:t>
      </w:r>
      <w:r>
        <w:rPr>
          <w:spacing w:val="-2"/>
        </w:rPr>
        <w:t xml:space="preserve"> </w:t>
      </w:r>
      <w:r>
        <w:t>service delivery</w:t>
      </w:r>
      <w:r>
        <w:rPr>
          <w:spacing w:val="-7"/>
        </w:rPr>
        <w:t xml:space="preserve"> </w:t>
      </w:r>
      <w:r>
        <w:t>and</w:t>
      </w:r>
      <w:r>
        <w:rPr>
          <w:spacing w:val="-6"/>
        </w:rPr>
        <w:t xml:space="preserve"> </w:t>
      </w:r>
      <w:r>
        <w:t>payment</w:t>
      </w:r>
      <w:r>
        <w:rPr>
          <w:spacing w:val="-7"/>
        </w:rPr>
        <w:t xml:space="preserve"> </w:t>
      </w:r>
      <w:r>
        <w:t>in</w:t>
      </w:r>
      <w:r>
        <w:rPr>
          <w:spacing w:val="-9"/>
        </w:rPr>
        <w:t xml:space="preserve"> </w:t>
      </w:r>
      <w:r>
        <w:t>an</w:t>
      </w:r>
      <w:r>
        <w:rPr>
          <w:spacing w:val="-7"/>
        </w:rPr>
        <w:t xml:space="preserve"> </w:t>
      </w:r>
      <w:r>
        <w:t>electronic</w:t>
      </w:r>
      <w:r>
        <w:rPr>
          <w:spacing w:val="-8"/>
        </w:rPr>
        <w:t xml:space="preserve"> </w:t>
      </w:r>
      <w:r>
        <w:t>format.</w:t>
      </w:r>
      <w:r>
        <w:rPr>
          <w:spacing w:val="-7"/>
        </w:rPr>
        <w:t xml:space="preserve"> </w:t>
      </w:r>
      <w:r>
        <w:t>The</w:t>
      </w:r>
      <w:r>
        <w:rPr>
          <w:spacing w:val="-9"/>
        </w:rPr>
        <w:t xml:space="preserve"> </w:t>
      </w:r>
      <w:r>
        <w:t>EUIPO</w:t>
      </w:r>
      <w:r>
        <w:rPr>
          <w:spacing w:val="-7"/>
        </w:rPr>
        <w:t xml:space="preserve"> </w:t>
      </w:r>
      <w:r>
        <w:t>will</w:t>
      </w:r>
      <w:r>
        <w:rPr>
          <w:spacing w:val="-7"/>
        </w:rPr>
        <w:t xml:space="preserve"> </w:t>
      </w:r>
      <w:r>
        <w:t>provide</w:t>
      </w:r>
      <w:r>
        <w:rPr>
          <w:spacing w:val="-7"/>
        </w:rPr>
        <w:t xml:space="preserve"> </w:t>
      </w:r>
      <w:r>
        <w:t>to</w:t>
      </w:r>
      <w:r>
        <w:rPr>
          <w:spacing w:val="-9"/>
        </w:rPr>
        <w:t xml:space="preserve"> </w:t>
      </w:r>
      <w:r>
        <w:t>the</w:t>
      </w:r>
      <w:r>
        <w:rPr>
          <w:spacing w:val="-6"/>
        </w:rPr>
        <w:t xml:space="preserve"> </w:t>
      </w:r>
      <w:r>
        <w:t>IPO</w:t>
      </w:r>
      <w:r>
        <w:rPr>
          <w:spacing w:val="-7"/>
        </w:rPr>
        <w:t xml:space="preserve"> </w:t>
      </w:r>
      <w:r>
        <w:t>a</w:t>
      </w:r>
      <w:r>
        <w:rPr>
          <w:spacing w:val="-9"/>
        </w:rPr>
        <w:t xml:space="preserve"> </w:t>
      </w:r>
      <w:r>
        <w:t>template</w:t>
      </w:r>
      <w:r>
        <w:rPr>
          <w:spacing w:val="-6"/>
        </w:rPr>
        <w:t xml:space="preserve"> </w:t>
      </w:r>
      <w:r>
        <w:t>of</w:t>
      </w:r>
    </w:p>
    <w:p w14:paraId="3DD49B93" w14:textId="77777777" w:rsidR="00D757DA" w:rsidRDefault="00D757DA">
      <w:pPr>
        <w:spacing w:line="276" w:lineRule="auto"/>
        <w:jc w:val="both"/>
        <w:sectPr w:rsidR="00D757DA">
          <w:pgSz w:w="11910" w:h="16840"/>
          <w:pgMar w:top="1340" w:right="0" w:bottom="1160" w:left="1320" w:header="0" w:footer="881" w:gutter="0"/>
          <w:cols w:space="708"/>
        </w:sectPr>
      </w:pPr>
    </w:p>
    <w:p w14:paraId="20612980" w14:textId="77777777" w:rsidR="00D757DA" w:rsidRDefault="0033254E">
      <w:pPr>
        <w:pStyle w:val="Zkladntext"/>
        <w:spacing w:before="81" w:line="276" w:lineRule="auto"/>
        <w:ind w:left="120" w:right="1433"/>
        <w:jc w:val="both"/>
      </w:pPr>
      <w:r>
        <w:lastRenderedPageBreak/>
        <w:t>the proof of delivery and payment for the purpose of the IP Scan service. The EU SME will use</w:t>
      </w:r>
      <w:r>
        <w:rPr>
          <w:spacing w:val="-7"/>
        </w:rPr>
        <w:t xml:space="preserve"> </w:t>
      </w:r>
      <w:r>
        <w:t>the</w:t>
      </w:r>
      <w:r>
        <w:rPr>
          <w:spacing w:val="-9"/>
        </w:rPr>
        <w:t xml:space="preserve"> </w:t>
      </w:r>
      <w:r>
        <w:t>proof</w:t>
      </w:r>
      <w:r>
        <w:rPr>
          <w:spacing w:val="-4"/>
        </w:rPr>
        <w:t xml:space="preserve"> </w:t>
      </w:r>
      <w:r>
        <w:t>of</w:t>
      </w:r>
      <w:r>
        <w:rPr>
          <w:spacing w:val="-5"/>
        </w:rPr>
        <w:t xml:space="preserve"> </w:t>
      </w:r>
      <w:r>
        <w:t>service</w:t>
      </w:r>
      <w:r>
        <w:rPr>
          <w:spacing w:val="-5"/>
        </w:rPr>
        <w:t xml:space="preserve"> </w:t>
      </w:r>
      <w:r>
        <w:t>delivery</w:t>
      </w:r>
      <w:r>
        <w:rPr>
          <w:spacing w:val="-6"/>
        </w:rPr>
        <w:t xml:space="preserve"> </w:t>
      </w:r>
      <w:r>
        <w:t>and</w:t>
      </w:r>
      <w:r>
        <w:rPr>
          <w:spacing w:val="-5"/>
        </w:rPr>
        <w:t xml:space="preserve"> </w:t>
      </w:r>
      <w:r>
        <w:t>payment</w:t>
      </w:r>
      <w:r>
        <w:rPr>
          <w:spacing w:val="-7"/>
        </w:rPr>
        <w:t xml:space="preserve"> </w:t>
      </w:r>
      <w:r>
        <w:t>to</w:t>
      </w:r>
      <w:r>
        <w:rPr>
          <w:spacing w:val="-8"/>
        </w:rPr>
        <w:t xml:space="preserve"> </w:t>
      </w:r>
      <w:r>
        <w:t>request</w:t>
      </w:r>
      <w:r>
        <w:rPr>
          <w:spacing w:val="-8"/>
        </w:rPr>
        <w:t xml:space="preserve"> </w:t>
      </w:r>
      <w:r>
        <w:t>the</w:t>
      </w:r>
      <w:r>
        <w:rPr>
          <w:spacing w:val="-8"/>
        </w:rPr>
        <w:t xml:space="preserve"> </w:t>
      </w:r>
      <w:r>
        <w:t>reimbursement</w:t>
      </w:r>
      <w:r>
        <w:rPr>
          <w:spacing w:val="-7"/>
        </w:rPr>
        <w:t xml:space="preserve"> </w:t>
      </w:r>
      <w:r>
        <w:t>of</w:t>
      </w:r>
      <w:r>
        <w:rPr>
          <w:spacing w:val="-5"/>
        </w:rPr>
        <w:t xml:space="preserve"> </w:t>
      </w:r>
      <w:r>
        <w:t>90</w:t>
      </w:r>
      <w:r>
        <w:rPr>
          <w:spacing w:val="-1"/>
        </w:rPr>
        <w:t xml:space="preserve"> </w:t>
      </w:r>
      <w:r>
        <w:t>%</w:t>
      </w:r>
      <w:r>
        <w:rPr>
          <w:spacing w:val="-8"/>
        </w:rPr>
        <w:t xml:space="preserve"> </w:t>
      </w:r>
      <w:r>
        <w:t>up</w:t>
      </w:r>
      <w:r>
        <w:rPr>
          <w:spacing w:val="-8"/>
        </w:rPr>
        <w:t xml:space="preserve"> </w:t>
      </w:r>
      <w:r>
        <w:t>to</w:t>
      </w:r>
      <w:r>
        <w:rPr>
          <w:spacing w:val="-9"/>
        </w:rPr>
        <w:t xml:space="preserve"> </w:t>
      </w:r>
      <w:r>
        <w:t>the established ceiling of EUR 1400 from the EUIPO and within the limits of voucher</w:t>
      </w:r>
      <w:r>
        <w:rPr>
          <w:spacing w:val="-20"/>
        </w:rPr>
        <w:t xml:space="preserve"> </w:t>
      </w:r>
      <w:r>
        <w:t>1.</w:t>
      </w:r>
    </w:p>
    <w:p w14:paraId="4A81D7D6" w14:textId="77777777" w:rsidR="00D757DA" w:rsidRDefault="00D757DA">
      <w:pPr>
        <w:pStyle w:val="Zkladntext"/>
        <w:spacing w:before="4"/>
        <w:rPr>
          <w:sz w:val="25"/>
        </w:rPr>
      </w:pPr>
    </w:p>
    <w:p w14:paraId="7241F964" w14:textId="77777777" w:rsidR="00D757DA" w:rsidRDefault="0033254E">
      <w:pPr>
        <w:pStyle w:val="Nadpis3"/>
        <w:numPr>
          <w:ilvl w:val="2"/>
          <w:numId w:val="9"/>
        </w:numPr>
        <w:tabs>
          <w:tab w:val="left" w:pos="1525"/>
        </w:tabs>
        <w:ind w:hanging="553"/>
      </w:pPr>
      <w:r>
        <w:t>Communication aspects relating to the IP</w:t>
      </w:r>
      <w:r>
        <w:rPr>
          <w:spacing w:val="-13"/>
        </w:rPr>
        <w:t xml:space="preserve"> </w:t>
      </w:r>
      <w:r>
        <w:t>Scans</w:t>
      </w:r>
    </w:p>
    <w:p w14:paraId="68096A8F" w14:textId="77777777" w:rsidR="00D757DA" w:rsidRDefault="00D757DA">
      <w:pPr>
        <w:pStyle w:val="Zkladntext"/>
        <w:spacing w:before="2"/>
        <w:rPr>
          <w:b/>
          <w:sz w:val="24"/>
        </w:rPr>
      </w:pPr>
    </w:p>
    <w:p w14:paraId="4C49EC41" w14:textId="77777777" w:rsidR="00D757DA" w:rsidRDefault="0033254E">
      <w:pPr>
        <w:pStyle w:val="Zkladntext"/>
        <w:ind w:left="120"/>
        <w:jc w:val="both"/>
      </w:pPr>
      <w:r>
        <w:t>The EUIPO will inform the IPO of the EU SMEs established within the territory of the</w:t>
      </w:r>
    </w:p>
    <w:p w14:paraId="4AF96090" w14:textId="77777777" w:rsidR="00D757DA" w:rsidRDefault="0033254E">
      <w:pPr>
        <w:pStyle w:val="Zkladntext"/>
        <w:spacing w:before="37" w:line="278" w:lineRule="auto"/>
        <w:ind w:left="120" w:right="1436"/>
        <w:jc w:val="both"/>
      </w:pPr>
      <w:r>
        <w:t xml:space="preserve">IPO that </w:t>
      </w:r>
      <w:proofErr w:type="gramStart"/>
      <w:r>
        <w:t>have</w:t>
      </w:r>
      <w:proofErr w:type="gramEnd"/>
      <w:r>
        <w:t xml:space="preserve"> been awarded a grant covering voucher 1. Starting in October 2023, this information is provided through the Power BI.</w:t>
      </w:r>
    </w:p>
    <w:p w14:paraId="5BFA642E" w14:textId="77777777" w:rsidR="00D757DA" w:rsidRDefault="00D757DA">
      <w:pPr>
        <w:pStyle w:val="Zkladntext"/>
        <w:spacing w:before="11"/>
        <w:rPr>
          <w:sz w:val="24"/>
        </w:rPr>
      </w:pPr>
    </w:p>
    <w:p w14:paraId="2FE219D2" w14:textId="77777777" w:rsidR="00D757DA" w:rsidRDefault="0033254E">
      <w:pPr>
        <w:pStyle w:val="Zkladntext"/>
        <w:spacing w:line="276" w:lineRule="auto"/>
        <w:ind w:left="120" w:right="1433"/>
        <w:jc w:val="both"/>
      </w:pPr>
      <w:r>
        <w:t>At</w:t>
      </w:r>
      <w:r>
        <w:rPr>
          <w:spacing w:val="-3"/>
        </w:rPr>
        <w:t xml:space="preserve"> </w:t>
      </w:r>
      <w:r>
        <w:t>the</w:t>
      </w:r>
      <w:r>
        <w:rPr>
          <w:spacing w:val="-6"/>
        </w:rPr>
        <w:t xml:space="preserve"> </w:t>
      </w:r>
      <w:r>
        <w:t>end</w:t>
      </w:r>
      <w:r>
        <w:rPr>
          <w:spacing w:val="-3"/>
        </w:rPr>
        <w:t xml:space="preserve"> </w:t>
      </w:r>
      <w:r>
        <w:t>of</w:t>
      </w:r>
      <w:r>
        <w:rPr>
          <w:spacing w:val="-4"/>
        </w:rPr>
        <w:t xml:space="preserve"> </w:t>
      </w:r>
      <w:r>
        <w:t>each</w:t>
      </w:r>
      <w:r>
        <w:rPr>
          <w:spacing w:val="-5"/>
        </w:rPr>
        <w:t xml:space="preserve"> </w:t>
      </w:r>
      <w:r>
        <w:t>month,</w:t>
      </w:r>
      <w:r>
        <w:rPr>
          <w:spacing w:val="-2"/>
        </w:rPr>
        <w:t xml:space="preserve"> </w:t>
      </w:r>
      <w:r>
        <w:t>the</w:t>
      </w:r>
      <w:r>
        <w:rPr>
          <w:spacing w:val="-6"/>
        </w:rPr>
        <w:t xml:space="preserve"> </w:t>
      </w:r>
      <w:r>
        <w:t>IPO</w:t>
      </w:r>
      <w:r>
        <w:rPr>
          <w:spacing w:val="-2"/>
        </w:rPr>
        <w:t xml:space="preserve"> </w:t>
      </w:r>
      <w:r>
        <w:t>will</w:t>
      </w:r>
      <w:r>
        <w:rPr>
          <w:spacing w:val="-4"/>
        </w:rPr>
        <w:t xml:space="preserve"> </w:t>
      </w:r>
      <w:r>
        <w:t>provide</w:t>
      </w:r>
      <w:r>
        <w:rPr>
          <w:spacing w:val="-3"/>
        </w:rPr>
        <w:t xml:space="preserve"> </w:t>
      </w:r>
      <w:r>
        <w:t>the</w:t>
      </w:r>
      <w:r>
        <w:rPr>
          <w:spacing w:val="-8"/>
        </w:rPr>
        <w:t xml:space="preserve"> </w:t>
      </w:r>
      <w:r>
        <w:t>EUIPO</w:t>
      </w:r>
      <w:r>
        <w:rPr>
          <w:spacing w:val="-2"/>
        </w:rPr>
        <w:t xml:space="preserve"> </w:t>
      </w:r>
      <w:r>
        <w:t>with</w:t>
      </w:r>
      <w:r>
        <w:rPr>
          <w:spacing w:val="-3"/>
        </w:rPr>
        <w:t xml:space="preserve"> </w:t>
      </w:r>
      <w:r>
        <w:t>a</w:t>
      </w:r>
      <w:r>
        <w:rPr>
          <w:spacing w:val="-5"/>
        </w:rPr>
        <w:t xml:space="preserve"> </w:t>
      </w:r>
      <w:r>
        <w:t>report</w:t>
      </w:r>
      <w:r>
        <w:rPr>
          <w:spacing w:val="-3"/>
        </w:rPr>
        <w:t xml:space="preserve"> </w:t>
      </w:r>
      <w:r>
        <w:t>of</w:t>
      </w:r>
      <w:r>
        <w:rPr>
          <w:spacing w:val="-4"/>
        </w:rPr>
        <w:t xml:space="preserve"> </w:t>
      </w:r>
      <w:r>
        <w:t>the</w:t>
      </w:r>
      <w:r>
        <w:rPr>
          <w:spacing w:val="-3"/>
        </w:rPr>
        <w:t xml:space="preserve"> </w:t>
      </w:r>
      <w:r>
        <w:t>IP</w:t>
      </w:r>
      <w:r>
        <w:rPr>
          <w:spacing w:val="-3"/>
        </w:rPr>
        <w:t xml:space="preserve"> </w:t>
      </w:r>
      <w:r>
        <w:t>Scan</w:t>
      </w:r>
      <w:r>
        <w:rPr>
          <w:spacing w:val="-6"/>
        </w:rPr>
        <w:t xml:space="preserve"> </w:t>
      </w:r>
      <w:r>
        <w:t>service completed confirming the status and dates of the IP Scan and the type of recommendation stemming from the report. The information must also contain the contact details of the EU SME receiving the report. The EUIPO provides a template for the report or if desired, a platform in Lime survey where this info can be</w:t>
      </w:r>
      <w:r>
        <w:rPr>
          <w:spacing w:val="-14"/>
        </w:rPr>
        <w:t xml:space="preserve"> </w:t>
      </w:r>
      <w:r>
        <w:t>inserted.</w:t>
      </w:r>
    </w:p>
    <w:p w14:paraId="1005505A" w14:textId="77777777" w:rsidR="00D757DA" w:rsidRDefault="00D757DA">
      <w:pPr>
        <w:pStyle w:val="Zkladntext"/>
        <w:spacing w:before="10"/>
        <w:rPr>
          <w:sz w:val="20"/>
        </w:rPr>
      </w:pPr>
    </w:p>
    <w:p w14:paraId="36E855FA" w14:textId="77777777" w:rsidR="00D757DA" w:rsidRDefault="0033254E">
      <w:pPr>
        <w:pStyle w:val="Nadpis3"/>
        <w:numPr>
          <w:ilvl w:val="2"/>
          <w:numId w:val="9"/>
        </w:numPr>
        <w:tabs>
          <w:tab w:val="left" w:pos="1525"/>
        </w:tabs>
        <w:ind w:hanging="553"/>
      </w:pPr>
      <w:r>
        <w:t>Service level agreement applicable to IP</w:t>
      </w:r>
      <w:r>
        <w:rPr>
          <w:spacing w:val="-15"/>
        </w:rPr>
        <w:t xml:space="preserve"> </w:t>
      </w:r>
      <w:r>
        <w:t>Scan</w:t>
      </w:r>
    </w:p>
    <w:p w14:paraId="0A372407" w14:textId="77777777" w:rsidR="00D757DA" w:rsidRDefault="00D757DA">
      <w:pPr>
        <w:pStyle w:val="Zkladntext"/>
        <w:spacing w:before="2"/>
        <w:rPr>
          <w:b/>
          <w:sz w:val="24"/>
        </w:rPr>
      </w:pPr>
    </w:p>
    <w:p w14:paraId="006DC99C" w14:textId="77777777" w:rsidR="00D757DA" w:rsidRDefault="0033254E">
      <w:pPr>
        <w:pStyle w:val="Zkladntext"/>
        <w:spacing w:line="278" w:lineRule="auto"/>
        <w:ind w:left="120" w:right="1437"/>
        <w:jc w:val="both"/>
      </w:pPr>
      <w:r>
        <w:t>For the coordination of the IP Scan service, the IPO will apply the following service level indicators:</w:t>
      </w:r>
    </w:p>
    <w:p w14:paraId="0EDC0778" w14:textId="77777777" w:rsidR="00D757DA" w:rsidRDefault="00D757DA">
      <w:pPr>
        <w:pStyle w:val="Zkladntext"/>
        <w:spacing w:before="6"/>
        <w:rPr>
          <w:sz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4383"/>
        <w:gridCol w:w="2502"/>
      </w:tblGrid>
      <w:tr w:rsidR="00D757DA" w14:paraId="1AD513D2" w14:textId="77777777">
        <w:trPr>
          <w:trHeight w:val="645"/>
        </w:trPr>
        <w:tc>
          <w:tcPr>
            <w:tcW w:w="2139" w:type="dxa"/>
          </w:tcPr>
          <w:p w14:paraId="2A173700" w14:textId="77777777" w:rsidR="00D757DA" w:rsidRDefault="0033254E">
            <w:pPr>
              <w:pStyle w:val="TableParagraph"/>
              <w:spacing w:before="57"/>
              <w:ind w:left="57"/>
              <w:rPr>
                <w:b/>
              </w:rPr>
            </w:pPr>
            <w:r>
              <w:rPr>
                <w:b/>
              </w:rPr>
              <w:t>Indicator</w:t>
            </w:r>
          </w:p>
        </w:tc>
        <w:tc>
          <w:tcPr>
            <w:tcW w:w="4383" w:type="dxa"/>
          </w:tcPr>
          <w:p w14:paraId="57A5C703" w14:textId="77777777" w:rsidR="00D757DA" w:rsidRDefault="0033254E">
            <w:pPr>
              <w:pStyle w:val="TableParagraph"/>
              <w:spacing w:before="57"/>
              <w:ind w:left="57"/>
              <w:rPr>
                <w:b/>
              </w:rPr>
            </w:pPr>
            <w:r>
              <w:rPr>
                <w:b/>
              </w:rPr>
              <w:t>Description of the indicator</w:t>
            </w:r>
          </w:p>
        </w:tc>
        <w:tc>
          <w:tcPr>
            <w:tcW w:w="2502" w:type="dxa"/>
          </w:tcPr>
          <w:p w14:paraId="0DD0B5A4" w14:textId="77777777" w:rsidR="00D757DA" w:rsidRDefault="0033254E">
            <w:pPr>
              <w:pStyle w:val="TableParagraph"/>
              <w:spacing w:before="57"/>
              <w:ind w:left="57"/>
              <w:rPr>
                <w:b/>
              </w:rPr>
            </w:pPr>
            <w:r>
              <w:rPr>
                <w:b/>
              </w:rPr>
              <w:t>Max acceptable value</w:t>
            </w:r>
          </w:p>
        </w:tc>
      </w:tr>
      <w:tr w:rsidR="00D757DA" w14:paraId="27E758CE" w14:textId="77777777">
        <w:trPr>
          <w:trHeight w:val="1226"/>
        </w:trPr>
        <w:tc>
          <w:tcPr>
            <w:tcW w:w="2139" w:type="dxa"/>
          </w:tcPr>
          <w:p w14:paraId="7B661E73" w14:textId="77777777" w:rsidR="00D757DA" w:rsidRDefault="0033254E">
            <w:pPr>
              <w:pStyle w:val="TableParagraph"/>
              <w:spacing w:before="57" w:line="276" w:lineRule="auto"/>
              <w:ind w:left="57" w:right="43"/>
              <w:jc w:val="both"/>
            </w:pPr>
            <w:r>
              <w:t>IP Scan 1 – Time it took to acknowledge request</w:t>
            </w:r>
          </w:p>
        </w:tc>
        <w:tc>
          <w:tcPr>
            <w:tcW w:w="4383" w:type="dxa"/>
          </w:tcPr>
          <w:p w14:paraId="17AB26B4" w14:textId="77777777" w:rsidR="00D757DA" w:rsidRDefault="0033254E">
            <w:pPr>
              <w:pStyle w:val="TableParagraph"/>
              <w:spacing w:before="57" w:line="276" w:lineRule="auto"/>
              <w:ind w:left="57" w:right="43"/>
              <w:jc w:val="both"/>
            </w:pPr>
            <w:r>
              <w:t>Time</w:t>
            </w:r>
            <w:r>
              <w:rPr>
                <w:spacing w:val="-9"/>
              </w:rPr>
              <w:t xml:space="preserve"> </w:t>
            </w:r>
            <w:r>
              <w:t>between</w:t>
            </w:r>
            <w:r>
              <w:rPr>
                <w:spacing w:val="-9"/>
              </w:rPr>
              <w:t xml:space="preserve"> </w:t>
            </w:r>
            <w:r>
              <w:t>the</w:t>
            </w:r>
            <w:r>
              <w:rPr>
                <w:spacing w:val="-12"/>
              </w:rPr>
              <w:t xml:space="preserve"> </w:t>
            </w:r>
            <w:r>
              <w:t>request</w:t>
            </w:r>
            <w:r>
              <w:rPr>
                <w:spacing w:val="-7"/>
              </w:rPr>
              <w:t xml:space="preserve"> </w:t>
            </w:r>
            <w:r>
              <w:t>received</w:t>
            </w:r>
            <w:r>
              <w:rPr>
                <w:spacing w:val="-11"/>
              </w:rPr>
              <w:t xml:space="preserve"> </w:t>
            </w:r>
            <w:r>
              <w:t>from</w:t>
            </w:r>
            <w:r>
              <w:rPr>
                <w:spacing w:val="-10"/>
              </w:rPr>
              <w:t xml:space="preserve"> </w:t>
            </w:r>
            <w:r>
              <w:t>the EU SME and the issuing of an acknowledgement of receipt by</w:t>
            </w:r>
            <w:r>
              <w:rPr>
                <w:spacing w:val="-6"/>
              </w:rPr>
              <w:t xml:space="preserve"> </w:t>
            </w:r>
            <w:r>
              <w:t>email.</w:t>
            </w:r>
          </w:p>
        </w:tc>
        <w:tc>
          <w:tcPr>
            <w:tcW w:w="2502" w:type="dxa"/>
          </w:tcPr>
          <w:p w14:paraId="1BF883DC" w14:textId="77777777" w:rsidR="00D757DA" w:rsidRDefault="0033254E">
            <w:pPr>
              <w:pStyle w:val="TableParagraph"/>
              <w:spacing w:before="57"/>
              <w:ind w:left="57"/>
            </w:pPr>
            <w:r>
              <w:t>3 days</w:t>
            </w:r>
          </w:p>
        </w:tc>
      </w:tr>
      <w:tr w:rsidR="00D757DA" w14:paraId="0D74194E" w14:textId="77777777">
        <w:trPr>
          <w:trHeight w:val="1226"/>
        </w:trPr>
        <w:tc>
          <w:tcPr>
            <w:tcW w:w="2139" w:type="dxa"/>
          </w:tcPr>
          <w:p w14:paraId="71468E0E" w14:textId="77777777" w:rsidR="00D757DA" w:rsidRDefault="0033254E">
            <w:pPr>
              <w:pStyle w:val="TableParagraph"/>
              <w:spacing w:before="57" w:line="276" w:lineRule="auto"/>
              <w:ind w:left="57" w:right="42"/>
              <w:jc w:val="both"/>
            </w:pPr>
            <w:r>
              <w:t>IP Scan 2 – Time it took to provide an IP Scan expert</w:t>
            </w:r>
          </w:p>
        </w:tc>
        <w:tc>
          <w:tcPr>
            <w:tcW w:w="4383" w:type="dxa"/>
          </w:tcPr>
          <w:p w14:paraId="3AC4AA45" w14:textId="77777777" w:rsidR="00D757DA" w:rsidRDefault="0033254E">
            <w:pPr>
              <w:pStyle w:val="TableParagraph"/>
              <w:spacing w:before="57" w:line="276" w:lineRule="auto"/>
              <w:ind w:left="57" w:right="45"/>
              <w:jc w:val="both"/>
            </w:pPr>
            <w:r>
              <w:t>Time between reception of the EU SME’s service</w:t>
            </w:r>
            <w:r>
              <w:rPr>
                <w:spacing w:val="-12"/>
              </w:rPr>
              <w:t xml:space="preserve"> </w:t>
            </w:r>
            <w:r>
              <w:t>request</w:t>
            </w:r>
            <w:r>
              <w:rPr>
                <w:spacing w:val="-9"/>
              </w:rPr>
              <w:t xml:space="preserve"> </w:t>
            </w:r>
            <w:r>
              <w:t>by</w:t>
            </w:r>
            <w:r>
              <w:rPr>
                <w:spacing w:val="-14"/>
              </w:rPr>
              <w:t xml:space="preserve"> </w:t>
            </w:r>
            <w:r>
              <w:t>the</w:t>
            </w:r>
            <w:r>
              <w:rPr>
                <w:spacing w:val="-13"/>
              </w:rPr>
              <w:t xml:space="preserve"> </w:t>
            </w:r>
            <w:r>
              <w:t>IPO</w:t>
            </w:r>
            <w:r>
              <w:rPr>
                <w:spacing w:val="-10"/>
              </w:rPr>
              <w:t xml:space="preserve"> </w:t>
            </w:r>
            <w:r>
              <w:t>and</w:t>
            </w:r>
            <w:r>
              <w:rPr>
                <w:spacing w:val="-13"/>
              </w:rPr>
              <w:t xml:space="preserve"> </w:t>
            </w:r>
            <w:r>
              <w:t>the</w:t>
            </w:r>
            <w:r>
              <w:rPr>
                <w:spacing w:val="-12"/>
              </w:rPr>
              <w:t xml:space="preserve"> </w:t>
            </w:r>
            <w:r>
              <w:t>provision of available experts to the EU</w:t>
            </w:r>
            <w:r>
              <w:rPr>
                <w:spacing w:val="-6"/>
              </w:rPr>
              <w:t xml:space="preserve"> </w:t>
            </w:r>
            <w:r>
              <w:t>SME.</w:t>
            </w:r>
          </w:p>
        </w:tc>
        <w:tc>
          <w:tcPr>
            <w:tcW w:w="2502" w:type="dxa"/>
          </w:tcPr>
          <w:p w14:paraId="25C4E439" w14:textId="77777777" w:rsidR="00D757DA" w:rsidRDefault="0033254E">
            <w:pPr>
              <w:pStyle w:val="TableParagraph"/>
              <w:spacing w:before="57"/>
              <w:ind w:left="57"/>
            </w:pPr>
            <w:r>
              <w:t>2 weeks</w:t>
            </w:r>
          </w:p>
        </w:tc>
      </w:tr>
      <w:tr w:rsidR="00D757DA" w14:paraId="0A77FC34" w14:textId="77777777">
        <w:trPr>
          <w:trHeight w:val="1809"/>
        </w:trPr>
        <w:tc>
          <w:tcPr>
            <w:tcW w:w="2139" w:type="dxa"/>
          </w:tcPr>
          <w:p w14:paraId="39FB7A76" w14:textId="77777777" w:rsidR="00D757DA" w:rsidRDefault="0033254E">
            <w:pPr>
              <w:pStyle w:val="TableParagraph"/>
              <w:spacing w:before="57" w:line="276" w:lineRule="auto"/>
              <w:ind w:left="57" w:right="42"/>
              <w:jc w:val="both"/>
            </w:pPr>
            <w:r>
              <w:t>IP Scan 3 – Time it took to complete the IP Scan</w:t>
            </w:r>
          </w:p>
        </w:tc>
        <w:tc>
          <w:tcPr>
            <w:tcW w:w="4383" w:type="dxa"/>
          </w:tcPr>
          <w:p w14:paraId="7F95D263" w14:textId="77777777" w:rsidR="00D757DA" w:rsidRDefault="0033254E">
            <w:pPr>
              <w:pStyle w:val="TableParagraph"/>
              <w:spacing w:before="57" w:line="276" w:lineRule="auto"/>
              <w:ind w:left="57" w:right="41"/>
              <w:jc w:val="both"/>
            </w:pPr>
            <w:r>
              <w:t>Time it took to complete the service and deliver proof of service delivery (IP Scan report) and proof of payment from the time the IPO received the EU SME’s service request.</w:t>
            </w:r>
          </w:p>
        </w:tc>
        <w:tc>
          <w:tcPr>
            <w:tcW w:w="2502" w:type="dxa"/>
          </w:tcPr>
          <w:p w14:paraId="31B511C8" w14:textId="77777777" w:rsidR="00D757DA" w:rsidRDefault="0033254E">
            <w:pPr>
              <w:pStyle w:val="TableParagraph"/>
              <w:spacing w:before="57"/>
              <w:ind w:left="57"/>
            </w:pPr>
            <w:r>
              <w:t>4 months</w:t>
            </w:r>
          </w:p>
        </w:tc>
      </w:tr>
      <w:tr w:rsidR="00D757DA" w14:paraId="67D2FA25" w14:textId="77777777">
        <w:trPr>
          <w:trHeight w:val="2390"/>
        </w:trPr>
        <w:tc>
          <w:tcPr>
            <w:tcW w:w="2139" w:type="dxa"/>
          </w:tcPr>
          <w:p w14:paraId="38130280" w14:textId="77777777" w:rsidR="00D757DA" w:rsidRDefault="0033254E">
            <w:pPr>
              <w:pStyle w:val="TableParagraph"/>
              <w:spacing w:before="57" w:line="276" w:lineRule="auto"/>
              <w:ind w:left="57"/>
            </w:pPr>
            <w:r>
              <w:t>IP Scan 4 – Quality check</w:t>
            </w:r>
          </w:p>
        </w:tc>
        <w:tc>
          <w:tcPr>
            <w:tcW w:w="4383" w:type="dxa"/>
          </w:tcPr>
          <w:p w14:paraId="4C53B766" w14:textId="77777777" w:rsidR="00D757DA" w:rsidRDefault="0033254E">
            <w:pPr>
              <w:pStyle w:val="TableParagraph"/>
              <w:spacing w:before="57" w:line="276" w:lineRule="auto"/>
              <w:ind w:left="57" w:right="41"/>
              <w:jc w:val="both"/>
            </w:pPr>
            <w:r>
              <w:t xml:space="preserve">The IPO will </w:t>
            </w:r>
            <w:proofErr w:type="spellStart"/>
            <w:r>
              <w:t>organise</w:t>
            </w:r>
            <w:proofErr w:type="spellEnd"/>
            <w:r>
              <w:t>/coordinate a system of quality checks for the IP Scan report provided by the experts. The assumption is that all reports are checked for quality, but this can be adjusted according to the IPO’s capacity and a risk-based approach according to national law.</w:t>
            </w:r>
          </w:p>
        </w:tc>
        <w:tc>
          <w:tcPr>
            <w:tcW w:w="2502" w:type="dxa"/>
          </w:tcPr>
          <w:p w14:paraId="42AFA829" w14:textId="77777777" w:rsidR="00D757DA" w:rsidRDefault="0033254E">
            <w:pPr>
              <w:pStyle w:val="TableParagraph"/>
              <w:tabs>
                <w:tab w:val="left" w:pos="2077"/>
              </w:tabs>
              <w:spacing w:before="57" w:line="276" w:lineRule="auto"/>
              <w:ind w:left="57" w:right="44"/>
              <w:jc w:val="both"/>
            </w:pPr>
            <w:r>
              <w:t>At the IPO’s best convenience</w:t>
            </w:r>
            <w:r>
              <w:tab/>
            </w:r>
            <w:r>
              <w:rPr>
                <w:spacing w:val="-7"/>
              </w:rPr>
              <w:t xml:space="preserve">and </w:t>
            </w:r>
            <w:r>
              <w:t>according to the resources</w:t>
            </w:r>
            <w:r>
              <w:rPr>
                <w:spacing w:val="-4"/>
              </w:rPr>
              <w:t xml:space="preserve"> </w:t>
            </w:r>
            <w:r>
              <w:t>available.</w:t>
            </w:r>
          </w:p>
        </w:tc>
      </w:tr>
    </w:tbl>
    <w:p w14:paraId="23D341B3" w14:textId="77777777" w:rsidR="00D757DA" w:rsidRDefault="00D757DA">
      <w:pPr>
        <w:spacing w:line="276" w:lineRule="auto"/>
        <w:jc w:val="both"/>
        <w:sectPr w:rsidR="00D757DA">
          <w:pgSz w:w="11910" w:h="16840"/>
          <w:pgMar w:top="1340" w:right="0" w:bottom="1160" w:left="1320" w:header="0" w:footer="881" w:gutter="0"/>
          <w:cols w:space="708"/>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4383"/>
        <w:gridCol w:w="2502"/>
      </w:tblGrid>
      <w:tr w:rsidR="00D757DA" w14:paraId="221E5DA4" w14:textId="77777777">
        <w:trPr>
          <w:trHeight w:val="8146"/>
        </w:trPr>
        <w:tc>
          <w:tcPr>
            <w:tcW w:w="2139" w:type="dxa"/>
          </w:tcPr>
          <w:p w14:paraId="7A8C24D9" w14:textId="77777777" w:rsidR="00D757DA" w:rsidRDefault="00D757DA">
            <w:pPr>
              <w:pStyle w:val="TableParagraph"/>
              <w:rPr>
                <w:rFonts w:ascii="Times New Roman"/>
              </w:rPr>
            </w:pPr>
          </w:p>
        </w:tc>
        <w:tc>
          <w:tcPr>
            <w:tcW w:w="4383" w:type="dxa"/>
          </w:tcPr>
          <w:p w14:paraId="6D6E9B34" w14:textId="77777777" w:rsidR="00D757DA" w:rsidRDefault="0033254E">
            <w:pPr>
              <w:pStyle w:val="TableParagraph"/>
              <w:spacing w:before="58" w:line="276" w:lineRule="auto"/>
              <w:ind w:left="57" w:right="45"/>
              <w:jc w:val="both"/>
            </w:pPr>
            <w:r>
              <w:t>The main aim of the quality checks is to determine how pertinent the IP Scan report is to the targeted SME, and to ensure it is not biased.</w:t>
            </w:r>
          </w:p>
          <w:p w14:paraId="47451C31" w14:textId="77777777" w:rsidR="00D757DA" w:rsidRDefault="00D757DA">
            <w:pPr>
              <w:pStyle w:val="TableParagraph"/>
              <w:spacing w:before="10"/>
              <w:rPr>
                <w:sz w:val="20"/>
              </w:rPr>
            </w:pPr>
          </w:p>
          <w:p w14:paraId="415758D8" w14:textId="77777777" w:rsidR="00D757DA" w:rsidRDefault="0033254E">
            <w:pPr>
              <w:pStyle w:val="TableParagraph"/>
              <w:ind w:left="57"/>
              <w:jc w:val="both"/>
            </w:pPr>
            <w:r>
              <w:t>Aspects of the quality checks are:</w:t>
            </w:r>
          </w:p>
          <w:p w14:paraId="4EF83687" w14:textId="77777777" w:rsidR="00D757DA" w:rsidRDefault="00D757DA">
            <w:pPr>
              <w:pStyle w:val="TableParagraph"/>
              <w:spacing w:before="1"/>
              <w:rPr>
                <w:sz w:val="24"/>
              </w:rPr>
            </w:pPr>
          </w:p>
          <w:p w14:paraId="2350ADA4" w14:textId="77777777" w:rsidR="00D757DA" w:rsidRDefault="0033254E">
            <w:pPr>
              <w:pStyle w:val="TableParagraph"/>
              <w:numPr>
                <w:ilvl w:val="0"/>
                <w:numId w:val="7"/>
              </w:numPr>
              <w:tabs>
                <w:tab w:val="left" w:pos="509"/>
              </w:tabs>
              <w:spacing w:line="271" w:lineRule="auto"/>
              <w:ind w:right="43"/>
              <w:jc w:val="both"/>
            </w:pPr>
            <w:r>
              <w:t>Is it clear what business model is recommended</w:t>
            </w:r>
            <w:r>
              <w:rPr>
                <w:spacing w:val="-21"/>
              </w:rPr>
              <w:t xml:space="preserve"> </w:t>
            </w:r>
            <w:r>
              <w:t>for</w:t>
            </w:r>
            <w:r>
              <w:rPr>
                <w:spacing w:val="-18"/>
              </w:rPr>
              <w:t xml:space="preserve"> </w:t>
            </w:r>
            <w:r>
              <w:t>the</w:t>
            </w:r>
            <w:r>
              <w:rPr>
                <w:spacing w:val="-17"/>
              </w:rPr>
              <w:t xml:space="preserve"> </w:t>
            </w:r>
            <w:r>
              <w:t>initial</w:t>
            </w:r>
            <w:r>
              <w:rPr>
                <w:spacing w:val="-18"/>
              </w:rPr>
              <w:t xml:space="preserve"> </w:t>
            </w:r>
            <w:r>
              <w:t>IP</w:t>
            </w:r>
            <w:r>
              <w:rPr>
                <w:spacing w:val="-19"/>
              </w:rPr>
              <w:t xml:space="preserve"> </w:t>
            </w:r>
            <w:r>
              <w:t>strategy?</w:t>
            </w:r>
          </w:p>
          <w:p w14:paraId="692222D3" w14:textId="77777777" w:rsidR="00D757DA" w:rsidRDefault="0033254E">
            <w:pPr>
              <w:pStyle w:val="TableParagraph"/>
              <w:numPr>
                <w:ilvl w:val="0"/>
                <w:numId w:val="7"/>
              </w:numPr>
              <w:tabs>
                <w:tab w:val="left" w:pos="509"/>
              </w:tabs>
              <w:spacing w:before="7" w:line="273" w:lineRule="auto"/>
              <w:ind w:right="42"/>
              <w:jc w:val="both"/>
            </w:pPr>
            <w:r>
              <w:t>Are relevant IP assets identified in a plausible</w:t>
            </w:r>
            <w:r>
              <w:rPr>
                <w:spacing w:val="-7"/>
              </w:rPr>
              <w:t xml:space="preserve"> </w:t>
            </w:r>
            <w:r>
              <w:t>manner</w:t>
            </w:r>
            <w:r>
              <w:rPr>
                <w:spacing w:val="-5"/>
              </w:rPr>
              <w:t xml:space="preserve"> </w:t>
            </w:r>
            <w:r>
              <w:t>and</w:t>
            </w:r>
            <w:r>
              <w:rPr>
                <w:spacing w:val="-6"/>
              </w:rPr>
              <w:t xml:space="preserve"> </w:t>
            </w:r>
            <w:r>
              <w:t>in</w:t>
            </w:r>
            <w:r>
              <w:rPr>
                <w:spacing w:val="-9"/>
              </w:rPr>
              <w:t xml:space="preserve"> </w:t>
            </w:r>
            <w:r>
              <w:t>a</w:t>
            </w:r>
            <w:r>
              <w:rPr>
                <w:spacing w:val="-6"/>
              </w:rPr>
              <w:t xml:space="preserve"> </w:t>
            </w:r>
            <w:r>
              <w:t>way</w:t>
            </w:r>
            <w:r>
              <w:rPr>
                <w:spacing w:val="-6"/>
              </w:rPr>
              <w:t xml:space="preserve"> </w:t>
            </w:r>
            <w:r>
              <w:t>that</w:t>
            </w:r>
            <w:r>
              <w:rPr>
                <w:spacing w:val="-5"/>
              </w:rPr>
              <w:t xml:space="preserve"> </w:t>
            </w:r>
            <w:r>
              <w:t>is</w:t>
            </w:r>
            <w:r>
              <w:rPr>
                <w:spacing w:val="-6"/>
              </w:rPr>
              <w:t xml:space="preserve"> </w:t>
            </w:r>
            <w:r>
              <w:t>in keeping with the business</w:t>
            </w:r>
            <w:r>
              <w:rPr>
                <w:spacing w:val="-5"/>
              </w:rPr>
              <w:t xml:space="preserve"> </w:t>
            </w:r>
            <w:r>
              <w:t>model?</w:t>
            </w:r>
          </w:p>
          <w:p w14:paraId="5D9EE5F9" w14:textId="77777777" w:rsidR="00D757DA" w:rsidRDefault="0033254E">
            <w:pPr>
              <w:pStyle w:val="TableParagraph"/>
              <w:numPr>
                <w:ilvl w:val="0"/>
                <w:numId w:val="7"/>
              </w:numPr>
              <w:tabs>
                <w:tab w:val="left" w:pos="509"/>
              </w:tabs>
              <w:spacing w:before="2"/>
              <w:jc w:val="both"/>
            </w:pPr>
            <w:r>
              <w:t>Is there a section on IP</w:t>
            </w:r>
            <w:r>
              <w:rPr>
                <w:spacing w:val="-14"/>
              </w:rPr>
              <w:t xml:space="preserve"> </w:t>
            </w:r>
            <w:r>
              <w:t>management?</w:t>
            </w:r>
          </w:p>
          <w:p w14:paraId="33E95BD2" w14:textId="77777777" w:rsidR="00D757DA" w:rsidRDefault="0033254E">
            <w:pPr>
              <w:pStyle w:val="TableParagraph"/>
              <w:numPr>
                <w:ilvl w:val="0"/>
                <w:numId w:val="7"/>
              </w:numPr>
              <w:tabs>
                <w:tab w:val="left" w:pos="509"/>
              </w:tabs>
              <w:spacing w:before="38" w:line="271" w:lineRule="auto"/>
              <w:ind w:right="43"/>
              <w:jc w:val="both"/>
            </w:pPr>
            <w:r>
              <w:t>Are the recommendations relevant to the business model</w:t>
            </w:r>
            <w:r>
              <w:rPr>
                <w:spacing w:val="-7"/>
              </w:rPr>
              <w:t xml:space="preserve"> </w:t>
            </w:r>
            <w:r>
              <w:t>described?</w:t>
            </w:r>
          </w:p>
          <w:p w14:paraId="1A746361" w14:textId="77777777" w:rsidR="00D757DA" w:rsidRDefault="0033254E">
            <w:pPr>
              <w:pStyle w:val="TableParagraph"/>
              <w:numPr>
                <w:ilvl w:val="0"/>
                <w:numId w:val="7"/>
              </w:numPr>
              <w:tabs>
                <w:tab w:val="left" w:pos="509"/>
              </w:tabs>
              <w:spacing w:before="5" w:line="276" w:lineRule="auto"/>
              <w:ind w:right="43"/>
              <w:jc w:val="both"/>
            </w:pPr>
            <w:r>
              <w:t>Do the recommendations include references</w:t>
            </w:r>
            <w:r>
              <w:rPr>
                <w:spacing w:val="-14"/>
              </w:rPr>
              <w:t xml:space="preserve"> </w:t>
            </w:r>
            <w:r>
              <w:t>to</w:t>
            </w:r>
            <w:r>
              <w:rPr>
                <w:spacing w:val="-11"/>
              </w:rPr>
              <w:t xml:space="preserve"> </w:t>
            </w:r>
            <w:r>
              <w:t>public</w:t>
            </w:r>
            <w:r>
              <w:rPr>
                <w:spacing w:val="-14"/>
              </w:rPr>
              <w:t xml:space="preserve"> </w:t>
            </w:r>
            <w:r>
              <w:t>support</w:t>
            </w:r>
            <w:r>
              <w:rPr>
                <w:spacing w:val="-12"/>
              </w:rPr>
              <w:t xml:space="preserve"> </w:t>
            </w:r>
            <w:r>
              <w:t>and</w:t>
            </w:r>
            <w:r>
              <w:rPr>
                <w:spacing w:val="-12"/>
              </w:rPr>
              <w:t xml:space="preserve"> </w:t>
            </w:r>
            <w:r>
              <w:t>private services to facilitate their implementation?</w:t>
            </w:r>
          </w:p>
          <w:p w14:paraId="7E153CC7" w14:textId="77777777" w:rsidR="00D757DA" w:rsidRDefault="0033254E">
            <w:pPr>
              <w:pStyle w:val="TableParagraph"/>
              <w:numPr>
                <w:ilvl w:val="0"/>
                <w:numId w:val="7"/>
              </w:numPr>
              <w:tabs>
                <w:tab w:val="left" w:pos="509"/>
              </w:tabs>
              <w:spacing w:line="271" w:lineRule="auto"/>
              <w:ind w:right="45"/>
              <w:jc w:val="both"/>
            </w:pPr>
            <w:r>
              <w:t>Is the annex adapted to the recommendations</w:t>
            </w:r>
            <w:r>
              <w:rPr>
                <w:spacing w:val="-3"/>
              </w:rPr>
              <w:t xml:space="preserve"> </w:t>
            </w:r>
            <w:r>
              <w:t>made?</w:t>
            </w:r>
          </w:p>
          <w:p w14:paraId="0FC99582" w14:textId="77777777" w:rsidR="00D757DA" w:rsidRDefault="00D757DA">
            <w:pPr>
              <w:pStyle w:val="TableParagraph"/>
              <w:spacing w:before="1"/>
              <w:rPr>
                <w:sz w:val="21"/>
              </w:rPr>
            </w:pPr>
          </w:p>
          <w:p w14:paraId="43794F67" w14:textId="77777777" w:rsidR="00D757DA" w:rsidRDefault="0033254E">
            <w:pPr>
              <w:pStyle w:val="TableParagraph"/>
              <w:spacing w:line="276" w:lineRule="auto"/>
              <w:ind w:left="57" w:right="44"/>
              <w:jc w:val="both"/>
            </w:pPr>
            <w:r>
              <w:t>The</w:t>
            </w:r>
            <w:r>
              <w:rPr>
                <w:spacing w:val="-14"/>
              </w:rPr>
              <w:t xml:space="preserve"> </w:t>
            </w:r>
            <w:r>
              <w:t>IPO</w:t>
            </w:r>
            <w:r>
              <w:rPr>
                <w:spacing w:val="-15"/>
              </w:rPr>
              <w:t xml:space="preserve"> </w:t>
            </w:r>
            <w:r>
              <w:t>must</w:t>
            </w:r>
            <w:r>
              <w:rPr>
                <w:spacing w:val="-13"/>
              </w:rPr>
              <w:t xml:space="preserve"> </w:t>
            </w:r>
            <w:r>
              <w:t>also</w:t>
            </w:r>
            <w:r>
              <w:rPr>
                <w:spacing w:val="-15"/>
              </w:rPr>
              <w:t xml:space="preserve"> </w:t>
            </w:r>
            <w:r>
              <w:t>request</w:t>
            </w:r>
            <w:r>
              <w:rPr>
                <w:spacing w:val="-15"/>
              </w:rPr>
              <w:t xml:space="preserve"> </w:t>
            </w:r>
            <w:r>
              <w:t>the</w:t>
            </w:r>
            <w:r>
              <w:rPr>
                <w:spacing w:val="-14"/>
              </w:rPr>
              <w:t xml:space="preserve"> </w:t>
            </w:r>
            <w:r>
              <w:t>experts’</w:t>
            </w:r>
            <w:r>
              <w:rPr>
                <w:spacing w:val="-17"/>
              </w:rPr>
              <w:t xml:space="preserve"> </w:t>
            </w:r>
            <w:r>
              <w:t>main recommendations to facilitate the assessment of the impact of the IP Scan. The information will be reported to the EUIPO in the format described</w:t>
            </w:r>
            <w:r>
              <w:rPr>
                <w:spacing w:val="-6"/>
              </w:rPr>
              <w:t xml:space="preserve"> </w:t>
            </w:r>
            <w:r>
              <w:t>below.</w:t>
            </w:r>
          </w:p>
        </w:tc>
        <w:tc>
          <w:tcPr>
            <w:tcW w:w="2502" w:type="dxa"/>
          </w:tcPr>
          <w:p w14:paraId="1FE7FE95" w14:textId="77777777" w:rsidR="00D757DA" w:rsidRDefault="00D757DA">
            <w:pPr>
              <w:pStyle w:val="TableParagraph"/>
              <w:rPr>
                <w:rFonts w:ascii="Times New Roman"/>
              </w:rPr>
            </w:pPr>
          </w:p>
        </w:tc>
      </w:tr>
    </w:tbl>
    <w:p w14:paraId="01FB294F" w14:textId="77777777" w:rsidR="00D757DA" w:rsidRDefault="00D757DA">
      <w:pPr>
        <w:pStyle w:val="Zkladntext"/>
        <w:rPr>
          <w:sz w:val="20"/>
        </w:rPr>
      </w:pPr>
    </w:p>
    <w:p w14:paraId="1B6C6F2D" w14:textId="77777777" w:rsidR="00D757DA" w:rsidRDefault="00D757DA">
      <w:pPr>
        <w:pStyle w:val="Zkladntext"/>
        <w:spacing w:before="8"/>
      </w:pPr>
    </w:p>
    <w:p w14:paraId="29F1E306" w14:textId="77777777" w:rsidR="00D757DA" w:rsidRDefault="0033254E">
      <w:pPr>
        <w:pStyle w:val="Nadpis3"/>
        <w:numPr>
          <w:ilvl w:val="1"/>
          <w:numId w:val="9"/>
        </w:numPr>
        <w:tabs>
          <w:tab w:val="left" w:pos="517"/>
        </w:tabs>
        <w:spacing w:before="92"/>
        <w:ind w:left="516" w:hanging="397"/>
      </w:pPr>
      <w:bookmarkStart w:id="67" w:name="5.4_Provision_of_IP_Scan_Enforcement"/>
      <w:bookmarkEnd w:id="67"/>
      <w:r>
        <w:t>Provision of IP Scan</w:t>
      </w:r>
      <w:r>
        <w:rPr>
          <w:spacing w:val="-2"/>
        </w:rPr>
        <w:t xml:space="preserve"> </w:t>
      </w:r>
      <w:r>
        <w:t>Enforcement</w:t>
      </w:r>
    </w:p>
    <w:p w14:paraId="3F9F2736" w14:textId="77777777" w:rsidR="00D757DA" w:rsidRDefault="00D757DA">
      <w:pPr>
        <w:pStyle w:val="Zkladntext"/>
        <w:spacing w:before="5"/>
        <w:rPr>
          <w:b/>
          <w:sz w:val="24"/>
        </w:rPr>
      </w:pPr>
    </w:p>
    <w:p w14:paraId="57B007C6" w14:textId="77777777" w:rsidR="00D757DA" w:rsidRDefault="0033254E">
      <w:pPr>
        <w:pStyle w:val="Zkladntext"/>
        <w:ind w:left="120" w:right="1339"/>
      </w:pPr>
      <w:r>
        <w:t>This section is only applicable if the IPO provides the IP Scan Enforcement service following the Call for Expression of Interest.</w:t>
      </w:r>
    </w:p>
    <w:p w14:paraId="172729DF" w14:textId="77777777" w:rsidR="00D757DA" w:rsidRDefault="00D757DA">
      <w:pPr>
        <w:pStyle w:val="Zkladntext"/>
        <w:spacing w:before="3"/>
        <w:rPr>
          <w:sz w:val="25"/>
        </w:rPr>
      </w:pPr>
    </w:p>
    <w:p w14:paraId="547E1BEA" w14:textId="77777777" w:rsidR="00D757DA" w:rsidRDefault="0033254E">
      <w:pPr>
        <w:pStyle w:val="Zkladntext"/>
        <w:spacing w:line="276" w:lineRule="auto"/>
        <w:ind w:left="120" w:right="1433"/>
        <w:jc w:val="both"/>
      </w:pPr>
      <w:r>
        <w:t>The IPO coordinates/provides the IP Scan Enforcement service for EU SMEs that have been awarded the grant from the SME Fund. The unitary cost of the IP Scan service is EUR 1 400 as indicated in Annex to Note MBBC/25/S20/4.2.</w:t>
      </w:r>
    </w:p>
    <w:p w14:paraId="0501B9ED" w14:textId="77777777" w:rsidR="00D757DA" w:rsidRDefault="00D757DA">
      <w:pPr>
        <w:pStyle w:val="Zkladntext"/>
        <w:spacing w:before="4"/>
        <w:rPr>
          <w:sz w:val="25"/>
        </w:rPr>
      </w:pPr>
    </w:p>
    <w:p w14:paraId="2E466B60" w14:textId="77777777" w:rsidR="00D757DA" w:rsidRDefault="0033254E">
      <w:pPr>
        <w:pStyle w:val="Zkladntext"/>
        <w:spacing w:before="1"/>
        <w:ind w:left="120"/>
      </w:pPr>
      <w:r>
        <w:t>On request from the EU SME, the IPO will coordinate/provide the IP Scans service.</w:t>
      </w:r>
    </w:p>
    <w:p w14:paraId="5E921724" w14:textId="77777777" w:rsidR="00D757DA" w:rsidRDefault="00D757DA">
      <w:pPr>
        <w:pStyle w:val="Zkladntext"/>
        <w:spacing w:before="1"/>
        <w:rPr>
          <w:sz w:val="24"/>
        </w:rPr>
      </w:pPr>
    </w:p>
    <w:p w14:paraId="258EB50B" w14:textId="77777777" w:rsidR="00D757DA" w:rsidRDefault="0033254E">
      <w:pPr>
        <w:pStyle w:val="Zkladntext"/>
        <w:spacing w:line="276" w:lineRule="auto"/>
        <w:ind w:left="120" w:right="1435"/>
        <w:jc w:val="both"/>
      </w:pPr>
      <w:r>
        <w:t>The IP Scan Enforcement service is provided by experts selected by the IPO. These experts can be IPO staff and/or external experts. The IPOs experts will the appropriate experts available and facilitate the contact between the experts and the EU SME.</w:t>
      </w:r>
    </w:p>
    <w:p w14:paraId="6EC42F39" w14:textId="77777777" w:rsidR="00D757DA" w:rsidRDefault="00D757DA">
      <w:pPr>
        <w:pStyle w:val="Zkladntext"/>
        <w:spacing w:before="11"/>
        <w:rPr>
          <w:sz w:val="20"/>
        </w:rPr>
      </w:pPr>
    </w:p>
    <w:p w14:paraId="7754A1CD" w14:textId="77777777" w:rsidR="00D757DA" w:rsidRDefault="0033254E">
      <w:pPr>
        <w:pStyle w:val="Zkladntext"/>
        <w:ind w:left="120"/>
      </w:pPr>
      <w:r>
        <w:t>Experts delivering the IP Scan Enforcement service must meet the following criteria:</w:t>
      </w:r>
    </w:p>
    <w:p w14:paraId="04D03EAC" w14:textId="77777777" w:rsidR="00D757DA" w:rsidRDefault="00D757DA">
      <w:pPr>
        <w:pStyle w:val="Zkladntext"/>
        <w:spacing w:before="1"/>
        <w:rPr>
          <w:sz w:val="24"/>
        </w:rPr>
      </w:pPr>
    </w:p>
    <w:p w14:paraId="4400F013" w14:textId="77777777" w:rsidR="00D757DA" w:rsidRDefault="0033254E">
      <w:pPr>
        <w:pStyle w:val="Odstavecseseznamem"/>
        <w:numPr>
          <w:ilvl w:val="0"/>
          <w:numId w:val="6"/>
        </w:numPr>
        <w:tabs>
          <w:tab w:val="left" w:pos="1561"/>
        </w:tabs>
        <w:ind w:hanging="361"/>
      </w:pPr>
      <w:r>
        <w:t>Have experience with</w:t>
      </w:r>
      <w:r>
        <w:rPr>
          <w:spacing w:val="-3"/>
        </w:rPr>
        <w:t xml:space="preserve"> </w:t>
      </w:r>
      <w:proofErr w:type="gramStart"/>
      <w:r>
        <w:t>SMEs;</w:t>
      </w:r>
      <w:proofErr w:type="gramEnd"/>
    </w:p>
    <w:p w14:paraId="7306ED74" w14:textId="77777777" w:rsidR="00D757DA" w:rsidRDefault="00D757DA">
      <w:pPr>
        <w:sectPr w:rsidR="00D757DA">
          <w:pgSz w:w="11910" w:h="16840"/>
          <w:pgMar w:top="1420" w:right="0" w:bottom="1160" w:left="1320" w:header="0" w:footer="881" w:gutter="0"/>
          <w:cols w:space="708"/>
        </w:sectPr>
      </w:pPr>
    </w:p>
    <w:p w14:paraId="6BD07233" w14:textId="77777777" w:rsidR="00D757DA" w:rsidRDefault="0033254E">
      <w:pPr>
        <w:pStyle w:val="Odstavecseseznamem"/>
        <w:numPr>
          <w:ilvl w:val="0"/>
          <w:numId w:val="6"/>
        </w:numPr>
        <w:tabs>
          <w:tab w:val="left" w:pos="1561"/>
        </w:tabs>
        <w:spacing w:before="81"/>
        <w:ind w:hanging="361"/>
      </w:pPr>
      <w:r>
        <w:lastRenderedPageBreak/>
        <w:t>Have experience in intellectual property and intellectual property</w:t>
      </w:r>
      <w:r>
        <w:rPr>
          <w:spacing w:val="-20"/>
        </w:rPr>
        <w:t xml:space="preserve"> </w:t>
      </w:r>
      <w:proofErr w:type="gramStart"/>
      <w:r>
        <w:t>enforcement;</w:t>
      </w:r>
      <w:proofErr w:type="gramEnd"/>
    </w:p>
    <w:p w14:paraId="36BA007F" w14:textId="77777777" w:rsidR="00D757DA" w:rsidRDefault="0033254E">
      <w:pPr>
        <w:pStyle w:val="Odstavecseseznamem"/>
        <w:numPr>
          <w:ilvl w:val="0"/>
          <w:numId w:val="6"/>
        </w:numPr>
        <w:tabs>
          <w:tab w:val="left" w:pos="1561"/>
        </w:tabs>
        <w:spacing w:before="38"/>
        <w:ind w:hanging="361"/>
      </w:pPr>
      <w:r>
        <w:t>Have participated in IP Scan Enforcement training provided by the</w:t>
      </w:r>
      <w:r>
        <w:rPr>
          <w:spacing w:val="-13"/>
        </w:rPr>
        <w:t xml:space="preserve"> </w:t>
      </w:r>
      <w:proofErr w:type="gramStart"/>
      <w:r>
        <w:t>EUIPO;</w:t>
      </w:r>
      <w:proofErr w:type="gramEnd"/>
    </w:p>
    <w:p w14:paraId="18B1C641" w14:textId="77777777" w:rsidR="00D757DA" w:rsidRDefault="0033254E">
      <w:pPr>
        <w:pStyle w:val="Odstavecseseznamem"/>
        <w:numPr>
          <w:ilvl w:val="0"/>
          <w:numId w:val="6"/>
        </w:numPr>
        <w:tabs>
          <w:tab w:val="left" w:pos="1561"/>
        </w:tabs>
        <w:spacing w:before="38"/>
        <w:ind w:hanging="361"/>
      </w:pPr>
      <w:r>
        <w:t>Be a member of the national bar association (qualified</w:t>
      </w:r>
      <w:r>
        <w:rPr>
          <w:spacing w:val="-8"/>
        </w:rPr>
        <w:t xml:space="preserve"> </w:t>
      </w:r>
      <w:r>
        <w:t>lawyer).</w:t>
      </w:r>
    </w:p>
    <w:p w14:paraId="770F7557" w14:textId="77777777" w:rsidR="00D757DA" w:rsidRDefault="00D757DA">
      <w:pPr>
        <w:pStyle w:val="Zkladntext"/>
        <w:spacing w:before="3"/>
        <w:rPr>
          <w:sz w:val="24"/>
        </w:rPr>
      </w:pPr>
    </w:p>
    <w:p w14:paraId="2715809F" w14:textId="77777777" w:rsidR="00D757DA" w:rsidRDefault="0033254E">
      <w:pPr>
        <w:pStyle w:val="Zkladntext"/>
        <w:spacing w:line="276" w:lineRule="auto"/>
        <w:ind w:left="120" w:right="1440"/>
        <w:jc w:val="both"/>
      </w:pPr>
      <w:r>
        <w:t>The EUIPO will provide participating IPOs with a model Code of Conduct covering various ethical and professional aspects of the provision of the IP Scan Enforcement service.</w:t>
      </w:r>
    </w:p>
    <w:p w14:paraId="7EF40A88" w14:textId="77777777" w:rsidR="00D757DA" w:rsidRDefault="00D757DA">
      <w:pPr>
        <w:pStyle w:val="Zkladntext"/>
        <w:spacing w:before="9"/>
        <w:rPr>
          <w:sz w:val="20"/>
        </w:rPr>
      </w:pPr>
    </w:p>
    <w:p w14:paraId="7344FB24" w14:textId="77777777" w:rsidR="00D757DA" w:rsidRDefault="0033254E">
      <w:pPr>
        <w:pStyle w:val="Zkladntext"/>
        <w:spacing w:line="276" w:lineRule="auto"/>
        <w:ind w:left="120" w:right="1437"/>
        <w:jc w:val="both"/>
      </w:pPr>
      <w:r>
        <w:t>It is the sole responsibility of each participating IPOs to decide on the adoption of this model Code of Conduct. They may send this document to the national IP Scan experts designated by them, requesting their signature and collecting the signed versions.</w:t>
      </w:r>
    </w:p>
    <w:p w14:paraId="3863781C" w14:textId="77777777" w:rsidR="00D757DA" w:rsidRDefault="00D757DA">
      <w:pPr>
        <w:pStyle w:val="Zkladntext"/>
        <w:rPr>
          <w:sz w:val="21"/>
        </w:rPr>
      </w:pPr>
    </w:p>
    <w:p w14:paraId="5B039087" w14:textId="77777777" w:rsidR="00D757DA" w:rsidRDefault="0033254E">
      <w:pPr>
        <w:pStyle w:val="Zkladntext"/>
        <w:spacing w:line="276" w:lineRule="auto"/>
        <w:ind w:left="120" w:right="1437"/>
        <w:jc w:val="both"/>
      </w:pPr>
      <w:r>
        <w:t>The</w:t>
      </w:r>
      <w:r>
        <w:rPr>
          <w:spacing w:val="-11"/>
        </w:rPr>
        <w:t xml:space="preserve"> </w:t>
      </w:r>
      <w:r>
        <w:t>IPO</w:t>
      </w:r>
      <w:r>
        <w:rPr>
          <w:spacing w:val="-10"/>
        </w:rPr>
        <w:t xml:space="preserve"> </w:t>
      </w:r>
      <w:r>
        <w:t>will</w:t>
      </w:r>
      <w:r>
        <w:rPr>
          <w:spacing w:val="-12"/>
        </w:rPr>
        <w:t xml:space="preserve"> </w:t>
      </w:r>
      <w:r>
        <w:t>provide</w:t>
      </w:r>
      <w:r>
        <w:rPr>
          <w:spacing w:val="-12"/>
        </w:rPr>
        <w:t xml:space="preserve"> </w:t>
      </w:r>
      <w:r>
        <w:t>the</w:t>
      </w:r>
      <w:r>
        <w:rPr>
          <w:spacing w:val="-15"/>
        </w:rPr>
        <w:t xml:space="preserve"> </w:t>
      </w:r>
      <w:r>
        <w:t>EUIPO</w:t>
      </w:r>
      <w:r>
        <w:rPr>
          <w:spacing w:val="-10"/>
        </w:rPr>
        <w:t xml:space="preserve"> </w:t>
      </w:r>
      <w:r>
        <w:t>with</w:t>
      </w:r>
      <w:r>
        <w:rPr>
          <w:spacing w:val="-14"/>
        </w:rPr>
        <w:t xml:space="preserve"> </w:t>
      </w:r>
      <w:r>
        <w:t>a</w:t>
      </w:r>
      <w:r>
        <w:rPr>
          <w:spacing w:val="-11"/>
        </w:rPr>
        <w:t xml:space="preserve"> </w:t>
      </w:r>
      <w:r>
        <w:t>list</w:t>
      </w:r>
      <w:r>
        <w:rPr>
          <w:spacing w:val="-9"/>
        </w:rPr>
        <w:t xml:space="preserve"> </w:t>
      </w:r>
      <w:r>
        <w:t>of</w:t>
      </w:r>
      <w:r>
        <w:rPr>
          <w:spacing w:val="-12"/>
        </w:rPr>
        <w:t xml:space="preserve"> </w:t>
      </w:r>
      <w:r>
        <w:t>the</w:t>
      </w:r>
      <w:r>
        <w:rPr>
          <w:spacing w:val="-12"/>
        </w:rPr>
        <w:t xml:space="preserve"> </w:t>
      </w:r>
      <w:r>
        <w:t>experts</w:t>
      </w:r>
      <w:r>
        <w:rPr>
          <w:spacing w:val="-13"/>
        </w:rPr>
        <w:t xml:space="preserve"> </w:t>
      </w:r>
      <w:r>
        <w:t>selected.</w:t>
      </w:r>
      <w:r>
        <w:rPr>
          <w:spacing w:val="-10"/>
        </w:rPr>
        <w:t xml:space="preserve"> </w:t>
      </w:r>
      <w:r>
        <w:t>Any</w:t>
      </w:r>
      <w:r>
        <w:rPr>
          <w:spacing w:val="-13"/>
        </w:rPr>
        <w:t xml:space="preserve"> </w:t>
      </w:r>
      <w:r>
        <w:t>changes</w:t>
      </w:r>
      <w:r>
        <w:rPr>
          <w:spacing w:val="-11"/>
        </w:rPr>
        <w:t xml:space="preserve"> </w:t>
      </w:r>
      <w:r>
        <w:t>to</w:t>
      </w:r>
      <w:r>
        <w:rPr>
          <w:spacing w:val="-14"/>
        </w:rPr>
        <w:t xml:space="preserve"> </w:t>
      </w:r>
      <w:r>
        <w:t>the</w:t>
      </w:r>
      <w:r>
        <w:rPr>
          <w:spacing w:val="-13"/>
        </w:rPr>
        <w:t xml:space="preserve"> </w:t>
      </w:r>
      <w:r>
        <w:t>list</w:t>
      </w:r>
      <w:r>
        <w:rPr>
          <w:spacing w:val="-12"/>
        </w:rPr>
        <w:t xml:space="preserve"> </w:t>
      </w:r>
      <w:r>
        <w:t>must be reported to the</w:t>
      </w:r>
      <w:r>
        <w:rPr>
          <w:spacing w:val="-7"/>
        </w:rPr>
        <w:t xml:space="preserve"> </w:t>
      </w:r>
      <w:r>
        <w:t>EUIPO.</w:t>
      </w:r>
    </w:p>
    <w:p w14:paraId="32CC7A63" w14:textId="77777777" w:rsidR="00D757DA" w:rsidRDefault="00D757DA">
      <w:pPr>
        <w:pStyle w:val="Zkladntext"/>
        <w:spacing w:before="9"/>
        <w:rPr>
          <w:sz w:val="20"/>
        </w:rPr>
      </w:pPr>
    </w:p>
    <w:p w14:paraId="697FFEA8" w14:textId="77777777" w:rsidR="00D757DA" w:rsidRDefault="0033254E">
      <w:pPr>
        <w:pStyle w:val="Zkladntext"/>
        <w:ind w:left="120" w:right="1434"/>
        <w:jc w:val="both"/>
      </w:pPr>
      <w:r>
        <w:t>A</w:t>
      </w:r>
      <w:r>
        <w:rPr>
          <w:spacing w:val="-8"/>
        </w:rPr>
        <w:t xml:space="preserve"> </w:t>
      </w:r>
      <w:r>
        <w:t>non-disclosure</w:t>
      </w:r>
      <w:r>
        <w:rPr>
          <w:spacing w:val="-6"/>
        </w:rPr>
        <w:t xml:space="preserve"> </w:t>
      </w:r>
      <w:r>
        <w:t>agreement</w:t>
      </w:r>
      <w:r>
        <w:rPr>
          <w:spacing w:val="-5"/>
        </w:rPr>
        <w:t xml:space="preserve"> </w:t>
      </w:r>
      <w:r>
        <w:t>is</w:t>
      </w:r>
      <w:r>
        <w:rPr>
          <w:spacing w:val="-11"/>
        </w:rPr>
        <w:t xml:space="preserve"> </w:t>
      </w:r>
      <w:r>
        <w:t>to</w:t>
      </w:r>
      <w:r>
        <w:rPr>
          <w:spacing w:val="-9"/>
        </w:rPr>
        <w:t xml:space="preserve"> </w:t>
      </w:r>
      <w:r>
        <w:t>be</w:t>
      </w:r>
      <w:r>
        <w:rPr>
          <w:spacing w:val="-9"/>
        </w:rPr>
        <w:t xml:space="preserve"> </w:t>
      </w:r>
      <w:r>
        <w:t>signed</w:t>
      </w:r>
      <w:r>
        <w:rPr>
          <w:spacing w:val="-8"/>
        </w:rPr>
        <w:t xml:space="preserve"> </w:t>
      </w:r>
      <w:r>
        <w:t>between</w:t>
      </w:r>
      <w:r>
        <w:rPr>
          <w:spacing w:val="-7"/>
        </w:rPr>
        <w:t xml:space="preserve"> </w:t>
      </w:r>
      <w:r>
        <w:t>the</w:t>
      </w:r>
      <w:r>
        <w:rPr>
          <w:spacing w:val="-9"/>
        </w:rPr>
        <w:t xml:space="preserve"> </w:t>
      </w:r>
      <w:r>
        <w:t>EU</w:t>
      </w:r>
      <w:r>
        <w:rPr>
          <w:spacing w:val="-9"/>
        </w:rPr>
        <w:t xml:space="preserve"> </w:t>
      </w:r>
      <w:r>
        <w:t>SME</w:t>
      </w:r>
      <w:r>
        <w:rPr>
          <w:spacing w:val="-9"/>
        </w:rPr>
        <w:t xml:space="preserve"> </w:t>
      </w:r>
      <w:r>
        <w:t>and</w:t>
      </w:r>
      <w:r>
        <w:rPr>
          <w:spacing w:val="-11"/>
        </w:rPr>
        <w:t xml:space="preserve"> </w:t>
      </w:r>
      <w:r>
        <w:t>the</w:t>
      </w:r>
      <w:r>
        <w:rPr>
          <w:spacing w:val="-9"/>
        </w:rPr>
        <w:t xml:space="preserve"> </w:t>
      </w:r>
      <w:r>
        <w:t>expert.</w:t>
      </w:r>
      <w:r>
        <w:rPr>
          <w:spacing w:val="-7"/>
        </w:rPr>
        <w:t xml:space="preserve"> </w:t>
      </w:r>
      <w:r>
        <w:t>The</w:t>
      </w:r>
      <w:r>
        <w:rPr>
          <w:spacing w:val="-10"/>
        </w:rPr>
        <w:t xml:space="preserve"> </w:t>
      </w:r>
      <w:r>
        <w:t>EUIPO will</w:t>
      </w:r>
      <w:r>
        <w:rPr>
          <w:spacing w:val="-6"/>
        </w:rPr>
        <w:t xml:space="preserve"> </w:t>
      </w:r>
      <w:r>
        <w:t>provide</w:t>
      </w:r>
      <w:r>
        <w:rPr>
          <w:spacing w:val="-5"/>
        </w:rPr>
        <w:t xml:space="preserve"> </w:t>
      </w:r>
      <w:r>
        <w:t>the</w:t>
      </w:r>
      <w:r>
        <w:rPr>
          <w:spacing w:val="-7"/>
        </w:rPr>
        <w:t xml:space="preserve"> </w:t>
      </w:r>
      <w:r>
        <w:t>IPO</w:t>
      </w:r>
      <w:r>
        <w:rPr>
          <w:spacing w:val="-6"/>
        </w:rPr>
        <w:t xml:space="preserve"> </w:t>
      </w:r>
      <w:r>
        <w:t>with</w:t>
      </w:r>
      <w:r>
        <w:rPr>
          <w:spacing w:val="-9"/>
        </w:rPr>
        <w:t xml:space="preserve"> </w:t>
      </w:r>
      <w:r>
        <w:t>a</w:t>
      </w:r>
      <w:r>
        <w:rPr>
          <w:spacing w:val="-4"/>
        </w:rPr>
        <w:t xml:space="preserve"> </w:t>
      </w:r>
      <w:r>
        <w:t>template</w:t>
      </w:r>
      <w:r>
        <w:rPr>
          <w:spacing w:val="-7"/>
        </w:rPr>
        <w:t xml:space="preserve"> </w:t>
      </w:r>
      <w:r>
        <w:t>of</w:t>
      </w:r>
      <w:r>
        <w:rPr>
          <w:spacing w:val="-5"/>
        </w:rPr>
        <w:t xml:space="preserve"> </w:t>
      </w:r>
      <w:r>
        <w:t>the</w:t>
      </w:r>
      <w:r>
        <w:rPr>
          <w:spacing w:val="-8"/>
        </w:rPr>
        <w:t xml:space="preserve"> </w:t>
      </w:r>
      <w:r>
        <w:t>non-disclosure</w:t>
      </w:r>
      <w:r>
        <w:rPr>
          <w:spacing w:val="-4"/>
        </w:rPr>
        <w:t xml:space="preserve"> </w:t>
      </w:r>
      <w:r>
        <w:t>agreement</w:t>
      </w:r>
      <w:r>
        <w:rPr>
          <w:spacing w:val="-6"/>
        </w:rPr>
        <w:t xml:space="preserve"> </w:t>
      </w:r>
      <w:r>
        <w:t>for</w:t>
      </w:r>
      <w:r>
        <w:rPr>
          <w:spacing w:val="-5"/>
        </w:rPr>
        <w:t xml:space="preserve"> </w:t>
      </w:r>
      <w:r>
        <w:t>the</w:t>
      </w:r>
      <w:r>
        <w:rPr>
          <w:spacing w:val="-5"/>
        </w:rPr>
        <w:t xml:space="preserve"> </w:t>
      </w:r>
      <w:r>
        <w:t>purpose</w:t>
      </w:r>
      <w:r>
        <w:rPr>
          <w:spacing w:val="-5"/>
        </w:rPr>
        <w:t xml:space="preserve"> </w:t>
      </w:r>
      <w:r>
        <w:t>of</w:t>
      </w:r>
      <w:r>
        <w:rPr>
          <w:spacing w:val="-5"/>
        </w:rPr>
        <w:t xml:space="preserve"> </w:t>
      </w:r>
      <w:r>
        <w:t>the</w:t>
      </w:r>
      <w:r>
        <w:rPr>
          <w:spacing w:val="-7"/>
        </w:rPr>
        <w:t xml:space="preserve"> </w:t>
      </w:r>
      <w:r>
        <w:t>IP Scan Enforcement</w:t>
      </w:r>
      <w:r>
        <w:rPr>
          <w:spacing w:val="-2"/>
        </w:rPr>
        <w:t xml:space="preserve"> </w:t>
      </w:r>
      <w:r>
        <w:t>service.</w:t>
      </w:r>
    </w:p>
    <w:p w14:paraId="6E5952F0" w14:textId="77777777" w:rsidR="00D757DA" w:rsidRDefault="00D757DA">
      <w:pPr>
        <w:pStyle w:val="Zkladntext"/>
        <w:spacing w:before="1"/>
      </w:pPr>
    </w:p>
    <w:p w14:paraId="73CFAE35" w14:textId="77777777" w:rsidR="00D757DA" w:rsidRDefault="0033254E">
      <w:pPr>
        <w:pStyle w:val="Zkladntext"/>
        <w:ind w:left="120"/>
        <w:jc w:val="both"/>
      </w:pPr>
      <w:r>
        <w:t>The IP Scan Enforcement service will consist of the following main steps:</w:t>
      </w:r>
    </w:p>
    <w:p w14:paraId="015B0C30" w14:textId="77777777" w:rsidR="00D757DA" w:rsidRDefault="00D757DA">
      <w:pPr>
        <w:pStyle w:val="Zkladntext"/>
        <w:spacing w:before="8"/>
        <w:rPr>
          <w:sz w:val="28"/>
        </w:rPr>
      </w:pPr>
    </w:p>
    <w:p w14:paraId="1CEF3454" w14:textId="77777777" w:rsidR="00D757DA" w:rsidRDefault="0033254E">
      <w:pPr>
        <w:pStyle w:val="Odstavecseseznamem"/>
        <w:numPr>
          <w:ilvl w:val="0"/>
          <w:numId w:val="13"/>
        </w:numPr>
        <w:tabs>
          <w:tab w:val="left" w:pos="687"/>
        </w:tabs>
        <w:ind w:right="1431"/>
      </w:pPr>
      <w:r>
        <w:t>Initial analysis: The SME will complete a self-assessment survey provided by the IPO. The</w:t>
      </w:r>
      <w:r>
        <w:rPr>
          <w:spacing w:val="-15"/>
        </w:rPr>
        <w:t xml:space="preserve"> </w:t>
      </w:r>
      <w:r>
        <w:t>expert</w:t>
      </w:r>
      <w:r>
        <w:rPr>
          <w:spacing w:val="-13"/>
        </w:rPr>
        <w:t xml:space="preserve"> </w:t>
      </w:r>
      <w:r>
        <w:t>will</w:t>
      </w:r>
      <w:r>
        <w:rPr>
          <w:spacing w:val="-14"/>
        </w:rPr>
        <w:t xml:space="preserve"> </w:t>
      </w:r>
      <w:proofErr w:type="spellStart"/>
      <w:r>
        <w:t>analyse</w:t>
      </w:r>
      <w:proofErr w:type="spellEnd"/>
      <w:r>
        <w:rPr>
          <w:spacing w:val="-14"/>
        </w:rPr>
        <w:t xml:space="preserve"> </w:t>
      </w:r>
      <w:r>
        <w:t>the</w:t>
      </w:r>
      <w:r>
        <w:rPr>
          <w:spacing w:val="-15"/>
        </w:rPr>
        <w:t xml:space="preserve"> </w:t>
      </w:r>
      <w:r>
        <w:t>circumstances</w:t>
      </w:r>
      <w:r>
        <w:rPr>
          <w:spacing w:val="-16"/>
        </w:rPr>
        <w:t xml:space="preserve"> </w:t>
      </w:r>
      <w:r>
        <w:t>of</w:t>
      </w:r>
      <w:r>
        <w:rPr>
          <w:spacing w:val="-16"/>
        </w:rPr>
        <w:t xml:space="preserve"> </w:t>
      </w:r>
      <w:r>
        <w:t>the</w:t>
      </w:r>
      <w:r>
        <w:rPr>
          <w:spacing w:val="-16"/>
        </w:rPr>
        <w:t xml:space="preserve"> </w:t>
      </w:r>
      <w:r>
        <w:t>case,</w:t>
      </w:r>
      <w:r>
        <w:rPr>
          <w:spacing w:val="-13"/>
        </w:rPr>
        <w:t xml:space="preserve"> </w:t>
      </w:r>
      <w:r>
        <w:t>including</w:t>
      </w:r>
      <w:r>
        <w:rPr>
          <w:spacing w:val="-15"/>
        </w:rPr>
        <w:t xml:space="preserve"> </w:t>
      </w:r>
      <w:r>
        <w:t>the</w:t>
      </w:r>
      <w:r>
        <w:rPr>
          <w:spacing w:val="-14"/>
        </w:rPr>
        <w:t xml:space="preserve"> </w:t>
      </w:r>
      <w:r>
        <w:t>current</w:t>
      </w:r>
      <w:r>
        <w:rPr>
          <w:spacing w:val="-16"/>
        </w:rPr>
        <w:t xml:space="preserve"> </w:t>
      </w:r>
      <w:r>
        <w:t>enforcement measures</w:t>
      </w:r>
      <w:r>
        <w:rPr>
          <w:spacing w:val="-11"/>
        </w:rPr>
        <w:t xml:space="preserve"> </w:t>
      </w:r>
      <w:r>
        <w:t>taken</w:t>
      </w:r>
      <w:r>
        <w:rPr>
          <w:spacing w:val="-8"/>
        </w:rPr>
        <w:t xml:space="preserve"> </w:t>
      </w:r>
      <w:r>
        <w:t>by</w:t>
      </w:r>
      <w:r>
        <w:rPr>
          <w:spacing w:val="-8"/>
        </w:rPr>
        <w:t xml:space="preserve"> </w:t>
      </w:r>
      <w:r>
        <w:t>the</w:t>
      </w:r>
      <w:r>
        <w:rPr>
          <w:spacing w:val="-8"/>
        </w:rPr>
        <w:t xml:space="preserve"> </w:t>
      </w:r>
      <w:r>
        <w:t>EU</w:t>
      </w:r>
      <w:r>
        <w:rPr>
          <w:spacing w:val="-6"/>
        </w:rPr>
        <w:t xml:space="preserve"> </w:t>
      </w:r>
      <w:r>
        <w:t>SME</w:t>
      </w:r>
      <w:r>
        <w:rPr>
          <w:spacing w:val="-8"/>
        </w:rPr>
        <w:t xml:space="preserve"> </w:t>
      </w:r>
      <w:r>
        <w:t>(if</w:t>
      </w:r>
      <w:r>
        <w:rPr>
          <w:spacing w:val="-6"/>
        </w:rPr>
        <w:t xml:space="preserve"> </w:t>
      </w:r>
      <w:r>
        <w:t>any).</w:t>
      </w:r>
      <w:r>
        <w:rPr>
          <w:spacing w:val="-7"/>
        </w:rPr>
        <w:t xml:space="preserve"> </w:t>
      </w:r>
      <w:r>
        <w:t>The</w:t>
      </w:r>
      <w:r>
        <w:rPr>
          <w:spacing w:val="-5"/>
        </w:rPr>
        <w:t xml:space="preserve"> </w:t>
      </w:r>
      <w:r>
        <w:t>expert</w:t>
      </w:r>
      <w:r>
        <w:rPr>
          <w:spacing w:val="-6"/>
        </w:rPr>
        <w:t xml:space="preserve"> </w:t>
      </w:r>
      <w:r>
        <w:t>will</w:t>
      </w:r>
      <w:r>
        <w:rPr>
          <w:spacing w:val="-6"/>
        </w:rPr>
        <w:t xml:space="preserve"> </w:t>
      </w:r>
      <w:r>
        <w:t>also</w:t>
      </w:r>
      <w:r>
        <w:rPr>
          <w:spacing w:val="-5"/>
        </w:rPr>
        <w:t xml:space="preserve"> </w:t>
      </w:r>
      <w:proofErr w:type="spellStart"/>
      <w:r>
        <w:t>analyse</w:t>
      </w:r>
      <w:proofErr w:type="spellEnd"/>
      <w:r>
        <w:rPr>
          <w:spacing w:val="-9"/>
        </w:rPr>
        <w:t xml:space="preserve"> </w:t>
      </w:r>
      <w:r>
        <w:t>the</w:t>
      </w:r>
      <w:r>
        <w:rPr>
          <w:spacing w:val="-8"/>
        </w:rPr>
        <w:t xml:space="preserve"> </w:t>
      </w:r>
      <w:r>
        <w:t>risks</w:t>
      </w:r>
      <w:r>
        <w:rPr>
          <w:spacing w:val="-7"/>
        </w:rPr>
        <w:t xml:space="preserve"> </w:t>
      </w:r>
      <w:r>
        <w:t>to</w:t>
      </w:r>
      <w:r>
        <w:rPr>
          <w:spacing w:val="-4"/>
        </w:rPr>
        <w:t xml:space="preserve"> </w:t>
      </w:r>
      <w:r>
        <w:t>the</w:t>
      </w:r>
      <w:r>
        <w:rPr>
          <w:spacing w:val="-6"/>
        </w:rPr>
        <w:t xml:space="preserve"> </w:t>
      </w:r>
      <w:r>
        <w:t>EU SME to gain an initial understanding of the situation, and/or third-party IPRs, and of the enforcement or preventive actions that could be taken by the EU</w:t>
      </w:r>
      <w:r>
        <w:rPr>
          <w:spacing w:val="-18"/>
        </w:rPr>
        <w:t xml:space="preserve"> </w:t>
      </w:r>
      <w:r>
        <w:t>SME.</w:t>
      </w:r>
    </w:p>
    <w:p w14:paraId="1FB73869" w14:textId="77777777" w:rsidR="00D757DA" w:rsidRDefault="00D757DA">
      <w:pPr>
        <w:pStyle w:val="Zkladntext"/>
        <w:spacing w:before="9"/>
        <w:rPr>
          <w:sz w:val="21"/>
        </w:rPr>
      </w:pPr>
    </w:p>
    <w:p w14:paraId="52FBD478" w14:textId="77777777" w:rsidR="00D757DA" w:rsidRDefault="0033254E">
      <w:pPr>
        <w:pStyle w:val="Odstavecseseznamem"/>
        <w:numPr>
          <w:ilvl w:val="0"/>
          <w:numId w:val="13"/>
        </w:numPr>
        <w:tabs>
          <w:tab w:val="left" w:pos="687"/>
        </w:tabs>
        <w:ind w:right="1435"/>
      </w:pPr>
      <w:r>
        <w:t>Visit and interview: The expert will visit the EU SME and conduct an in-depth interview, using a questionnaire as a guide. The EUIPO will provide a template questionnaire for this purpose. Online communication can also be</w:t>
      </w:r>
      <w:r>
        <w:rPr>
          <w:spacing w:val="-7"/>
        </w:rPr>
        <w:t xml:space="preserve"> </w:t>
      </w:r>
      <w:r>
        <w:t>used.</w:t>
      </w:r>
    </w:p>
    <w:p w14:paraId="2212EA42" w14:textId="77777777" w:rsidR="00D757DA" w:rsidRDefault="00D757DA">
      <w:pPr>
        <w:pStyle w:val="Zkladntext"/>
      </w:pPr>
    </w:p>
    <w:p w14:paraId="4AB19BED" w14:textId="77777777" w:rsidR="00D757DA" w:rsidRDefault="0033254E">
      <w:pPr>
        <w:pStyle w:val="Odstavecseseznamem"/>
        <w:numPr>
          <w:ilvl w:val="0"/>
          <w:numId w:val="13"/>
        </w:numPr>
        <w:tabs>
          <w:tab w:val="left" w:pos="687"/>
        </w:tabs>
        <w:spacing w:before="1" w:line="237" w:lineRule="auto"/>
        <w:ind w:right="1441"/>
      </w:pPr>
      <w:r>
        <w:t>Result: The expert will submit a draft report to the IPO for a quality check. The EUIPO will provide a template</w:t>
      </w:r>
      <w:r>
        <w:rPr>
          <w:spacing w:val="-3"/>
        </w:rPr>
        <w:t xml:space="preserve"> </w:t>
      </w:r>
      <w:r>
        <w:t>report.</w:t>
      </w:r>
    </w:p>
    <w:p w14:paraId="1AB7A48C" w14:textId="77777777" w:rsidR="00D757DA" w:rsidRDefault="00D757DA">
      <w:pPr>
        <w:pStyle w:val="Zkladntext"/>
        <w:spacing w:before="2"/>
      </w:pPr>
    </w:p>
    <w:p w14:paraId="12305359" w14:textId="77777777" w:rsidR="00D757DA" w:rsidRDefault="0033254E">
      <w:pPr>
        <w:pStyle w:val="Odstavecseseznamem"/>
        <w:numPr>
          <w:ilvl w:val="0"/>
          <w:numId w:val="13"/>
        </w:numPr>
        <w:tabs>
          <w:tab w:val="left" w:pos="687"/>
        </w:tabs>
        <w:ind w:right="1433"/>
      </w:pPr>
      <w:r>
        <w:t>Interview</w:t>
      </w:r>
      <w:r>
        <w:rPr>
          <w:spacing w:val="-12"/>
        </w:rPr>
        <w:t xml:space="preserve"> </w:t>
      </w:r>
      <w:r>
        <w:t>with</w:t>
      </w:r>
      <w:r>
        <w:rPr>
          <w:spacing w:val="-14"/>
        </w:rPr>
        <w:t xml:space="preserve"> </w:t>
      </w:r>
      <w:r>
        <w:t>the</w:t>
      </w:r>
      <w:r>
        <w:rPr>
          <w:spacing w:val="-13"/>
        </w:rPr>
        <w:t xml:space="preserve"> </w:t>
      </w:r>
      <w:r>
        <w:t>SME</w:t>
      </w:r>
      <w:r>
        <w:rPr>
          <w:spacing w:val="-14"/>
        </w:rPr>
        <w:t xml:space="preserve"> </w:t>
      </w:r>
      <w:r>
        <w:t>before</w:t>
      </w:r>
      <w:r>
        <w:rPr>
          <w:spacing w:val="-13"/>
        </w:rPr>
        <w:t xml:space="preserve"> </w:t>
      </w:r>
      <w:r>
        <w:t>the</w:t>
      </w:r>
      <w:r>
        <w:rPr>
          <w:spacing w:val="-14"/>
        </w:rPr>
        <w:t xml:space="preserve"> </w:t>
      </w:r>
      <w:r>
        <w:t>delivery</w:t>
      </w:r>
      <w:r>
        <w:rPr>
          <w:spacing w:val="-13"/>
        </w:rPr>
        <w:t xml:space="preserve"> </w:t>
      </w:r>
      <w:r>
        <w:t>of</w:t>
      </w:r>
      <w:r>
        <w:rPr>
          <w:spacing w:val="-14"/>
        </w:rPr>
        <w:t xml:space="preserve"> </w:t>
      </w:r>
      <w:r>
        <w:t>the</w:t>
      </w:r>
      <w:r>
        <w:rPr>
          <w:spacing w:val="-14"/>
        </w:rPr>
        <w:t xml:space="preserve"> </w:t>
      </w:r>
      <w:r>
        <w:t>final</w:t>
      </w:r>
      <w:r>
        <w:rPr>
          <w:spacing w:val="-11"/>
        </w:rPr>
        <w:t xml:space="preserve"> </w:t>
      </w:r>
      <w:r>
        <w:t>report.</w:t>
      </w:r>
      <w:r>
        <w:rPr>
          <w:spacing w:val="-15"/>
        </w:rPr>
        <w:t xml:space="preserve"> </w:t>
      </w:r>
      <w:r>
        <w:t>Once</w:t>
      </w:r>
      <w:r>
        <w:rPr>
          <w:spacing w:val="-14"/>
        </w:rPr>
        <w:t xml:space="preserve"> </w:t>
      </w:r>
      <w:r>
        <w:t>approved</w:t>
      </w:r>
      <w:r>
        <w:rPr>
          <w:spacing w:val="-10"/>
        </w:rPr>
        <w:t xml:space="preserve"> </w:t>
      </w:r>
      <w:r>
        <w:t>by</w:t>
      </w:r>
      <w:r>
        <w:rPr>
          <w:spacing w:val="-14"/>
        </w:rPr>
        <w:t xml:space="preserve"> </w:t>
      </w:r>
      <w:r>
        <w:t>the</w:t>
      </w:r>
      <w:r>
        <w:rPr>
          <w:spacing w:val="-13"/>
        </w:rPr>
        <w:t xml:space="preserve"> </w:t>
      </w:r>
      <w:r>
        <w:t>IPO, the</w:t>
      </w:r>
      <w:r>
        <w:rPr>
          <w:spacing w:val="-15"/>
        </w:rPr>
        <w:t xml:space="preserve"> </w:t>
      </w:r>
      <w:r>
        <w:t>expert</w:t>
      </w:r>
      <w:r>
        <w:rPr>
          <w:spacing w:val="-15"/>
        </w:rPr>
        <w:t xml:space="preserve"> </w:t>
      </w:r>
      <w:r>
        <w:t>will</w:t>
      </w:r>
      <w:r>
        <w:rPr>
          <w:spacing w:val="-14"/>
        </w:rPr>
        <w:t xml:space="preserve"> </w:t>
      </w:r>
      <w:r>
        <w:t>deliver</w:t>
      </w:r>
      <w:r>
        <w:rPr>
          <w:spacing w:val="-13"/>
        </w:rPr>
        <w:t xml:space="preserve"> </w:t>
      </w:r>
      <w:r>
        <w:t>the</w:t>
      </w:r>
      <w:r>
        <w:rPr>
          <w:spacing w:val="-16"/>
        </w:rPr>
        <w:t xml:space="preserve"> </w:t>
      </w:r>
      <w:r>
        <w:t>results</w:t>
      </w:r>
      <w:r>
        <w:rPr>
          <w:spacing w:val="-13"/>
        </w:rPr>
        <w:t xml:space="preserve"> </w:t>
      </w:r>
      <w:r>
        <w:t>of</w:t>
      </w:r>
      <w:r>
        <w:rPr>
          <w:spacing w:val="-15"/>
        </w:rPr>
        <w:t xml:space="preserve"> </w:t>
      </w:r>
      <w:r>
        <w:t>the</w:t>
      </w:r>
      <w:r>
        <w:rPr>
          <w:spacing w:val="-14"/>
        </w:rPr>
        <w:t xml:space="preserve"> </w:t>
      </w:r>
      <w:r>
        <w:t>complete</w:t>
      </w:r>
      <w:r>
        <w:rPr>
          <w:spacing w:val="-16"/>
        </w:rPr>
        <w:t xml:space="preserve"> </w:t>
      </w:r>
      <w:r>
        <w:t>analysis</w:t>
      </w:r>
      <w:r>
        <w:rPr>
          <w:spacing w:val="-13"/>
        </w:rPr>
        <w:t xml:space="preserve"> </w:t>
      </w:r>
      <w:r>
        <w:t>to</w:t>
      </w:r>
      <w:r>
        <w:rPr>
          <w:spacing w:val="-16"/>
        </w:rPr>
        <w:t xml:space="preserve"> </w:t>
      </w:r>
      <w:r>
        <w:t>the</w:t>
      </w:r>
      <w:r>
        <w:rPr>
          <w:spacing w:val="-15"/>
        </w:rPr>
        <w:t xml:space="preserve"> </w:t>
      </w:r>
      <w:r>
        <w:t>EU</w:t>
      </w:r>
      <w:r>
        <w:rPr>
          <w:spacing w:val="-14"/>
        </w:rPr>
        <w:t xml:space="preserve"> </w:t>
      </w:r>
      <w:r>
        <w:t>SME</w:t>
      </w:r>
      <w:r>
        <w:rPr>
          <w:spacing w:val="-14"/>
        </w:rPr>
        <w:t xml:space="preserve"> </w:t>
      </w:r>
      <w:r>
        <w:t>either</w:t>
      </w:r>
      <w:r>
        <w:rPr>
          <w:spacing w:val="-13"/>
        </w:rPr>
        <w:t xml:space="preserve"> </w:t>
      </w:r>
      <w:r>
        <w:t>in</w:t>
      </w:r>
      <w:r>
        <w:rPr>
          <w:spacing w:val="-14"/>
        </w:rPr>
        <w:t xml:space="preserve"> </w:t>
      </w:r>
      <w:r>
        <w:t>person or</w:t>
      </w:r>
      <w:r>
        <w:rPr>
          <w:spacing w:val="-4"/>
        </w:rPr>
        <w:t xml:space="preserve"> </w:t>
      </w:r>
      <w:r>
        <w:t>via</w:t>
      </w:r>
      <w:r>
        <w:rPr>
          <w:spacing w:val="-3"/>
        </w:rPr>
        <w:t xml:space="preserve"> </w:t>
      </w:r>
      <w:r>
        <w:t>video/teleconference.</w:t>
      </w:r>
      <w:r>
        <w:rPr>
          <w:spacing w:val="-3"/>
        </w:rPr>
        <w:t xml:space="preserve"> </w:t>
      </w:r>
      <w:r>
        <w:t>The</w:t>
      </w:r>
      <w:r>
        <w:rPr>
          <w:spacing w:val="-5"/>
        </w:rPr>
        <w:t xml:space="preserve"> </w:t>
      </w:r>
      <w:r>
        <w:t>expert</w:t>
      </w:r>
      <w:r>
        <w:rPr>
          <w:spacing w:val="-4"/>
        </w:rPr>
        <w:t xml:space="preserve"> </w:t>
      </w:r>
      <w:r>
        <w:t>will</w:t>
      </w:r>
      <w:r>
        <w:rPr>
          <w:spacing w:val="-2"/>
        </w:rPr>
        <w:t xml:space="preserve"> </w:t>
      </w:r>
      <w:r>
        <w:t>explain</w:t>
      </w:r>
      <w:r>
        <w:rPr>
          <w:spacing w:val="-3"/>
        </w:rPr>
        <w:t xml:space="preserve"> </w:t>
      </w:r>
      <w:r>
        <w:t>content</w:t>
      </w:r>
      <w:r>
        <w:rPr>
          <w:spacing w:val="-4"/>
        </w:rPr>
        <w:t xml:space="preserve"> </w:t>
      </w:r>
      <w:r>
        <w:t>of</w:t>
      </w:r>
      <w:r>
        <w:rPr>
          <w:spacing w:val="-3"/>
        </w:rPr>
        <w:t xml:space="preserve"> </w:t>
      </w:r>
      <w:r>
        <w:t>the</w:t>
      </w:r>
      <w:r>
        <w:rPr>
          <w:spacing w:val="-8"/>
        </w:rPr>
        <w:t xml:space="preserve"> </w:t>
      </w:r>
      <w:r>
        <w:t>report to</w:t>
      </w:r>
      <w:r>
        <w:rPr>
          <w:spacing w:val="-6"/>
        </w:rPr>
        <w:t xml:space="preserve"> </w:t>
      </w:r>
      <w:r>
        <w:t>the</w:t>
      </w:r>
      <w:r>
        <w:rPr>
          <w:spacing w:val="-5"/>
        </w:rPr>
        <w:t xml:space="preserve"> </w:t>
      </w:r>
      <w:r>
        <w:t>EU</w:t>
      </w:r>
      <w:r>
        <w:rPr>
          <w:spacing w:val="-3"/>
        </w:rPr>
        <w:t xml:space="preserve"> </w:t>
      </w:r>
      <w:r>
        <w:t>SME the including the risks identified; it will also provide the SME</w:t>
      </w:r>
      <w:r>
        <w:rPr>
          <w:spacing w:val="-45"/>
        </w:rPr>
        <w:t xml:space="preserve"> </w:t>
      </w:r>
      <w:r>
        <w:t>with its recommendations.</w:t>
      </w:r>
    </w:p>
    <w:p w14:paraId="62FA318E" w14:textId="77777777" w:rsidR="00D757DA" w:rsidRDefault="00D757DA">
      <w:pPr>
        <w:pStyle w:val="Zkladntext"/>
        <w:spacing w:before="7"/>
        <w:rPr>
          <w:sz w:val="21"/>
        </w:rPr>
      </w:pPr>
    </w:p>
    <w:p w14:paraId="334C0594" w14:textId="77777777" w:rsidR="00D757DA" w:rsidRDefault="0033254E">
      <w:pPr>
        <w:pStyle w:val="Zkladntext"/>
        <w:spacing w:before="1" w:line="276" w:lineRule="auto"/>
        <w:ind w:left="120" w:right="1437"/>
        <w:jc w:val="both"/>
      </w:pPr>
      <w:r>
        <w:t>Experts selected to provide the IP Scan Enforcement service may not carry out IP Scan Enforcement services for themselves (personal VAT number) or for any business in which they have a financial interest (company VAT number).</w:t>
      </w:r>
    </w:p>
    <w:p w14:paraId="067ED550" w14:textId="77777777" w:rsidR="00D757DA" w:rsidRDefault="00D757DA">
      <w:pPr>
        <w:pStyle w:val="Zkladntext"/>
        <w:spacing w:before="4"/>
        <w:rPr>
          <w:sz w:val="25"/>
        </w:rPr>
      </w:pPr>
    </w:p>
    <w:p w14:paraId="4ACA09AC" w14:textId="77777777" w:rsidR="00D757DA" w:rsidRDefault="0033254E">
      <w:pPr>
        <w:pStyle w:val="Zkladntext"/>
        <w:spacing w:line="276" w:lineRule="auto"/>
        <w:ind w:left="120" w:right="1435"/>
        <w:jc w:val="both"/>
      </w:pPr>
      <w:r>
        <w:t>Experts</w:t>
      </w:r>
      <w:r>
        <w:rPr>
          <w:spacing w:val="-13"/>
        </w:rPr>
        <w:t xml:space="preserve"> </w:t>
      </w:r>
      <w:r>
        <w:t>selected</w:t>
      </w:r>
      <w:r>
        <w:rPr>
          <w:spacing w:val="-13"/>
        </w:rPr>
        <w:t xml:space="preserve"> </w:t>
      </w:r>
      <w:r>
        <w:t>to</w:t>
      </w:r>
      <w:r>
        <w:rPr>
          <w:spacing w:val="-11"/>
        </w:rPr>
        <w:t xml:space="preserve"> </w:t>
      </w:r>
      <w:r>
        <w:t>provide</w:t>
      </w:r>
      <w:r>
        <w:rPr>
          <w:spacing w:val="-11"/>
        </w:rPr>
        <w:t xml:space="preserve"> </w:t>
      </w:r>
      <w:r>
        <w:t>the</w:t>
      </w:r>
      <w:r>
        <w:rPr>
          <w:spacing w:val="-12"/>
        </w:rPr>
        <w:t xml:space="preserve"> </w:t>
      </w:r>
      <w:r>
        <w:t>IP</w:t>
      </w:r>
      <w:r>
        <w:rPr>
          <w:spacing w:val="-12"/>
        </w:rPr>
        <w:t xml:space="preserve"> </w:t>
      </w:r>
      <w:r>
        <w:t>Scan</w:t>
      </w:r>
      <w:r>
        <w:rPr>
          <w:spacing w:val="-13"/>
        </w:rPr>
        <w:t xml:space="preserve"> </w:t>
      </w:r>
      <w:r>
        <w:t>Enforcement</w:t>
      </w:r>
      <w:r>
        <w:rPr>
          <w:spacing w:val="-10"/>
        </w:rPr>
        <w:t xml:space="preserve"> </w:t>
      </w:r>
      <w:r>
        <w:t>service</w:t>
      </w:r>
      <w:r>
        <w:rPr>
          <w:spacing w:val="-11"/>
        </w:rPr>
        <w:t xml:space="preserve"> </w:t>
      </w:r>
      <w:r>
        <w:t>may</w:t>
      </w:r>
      <w:r>
        <w:rPr>
          <w:spacing w:val="-11"/>
        </w:rPr>
        <w:t xml:space="preserve"> </w:t>
      </w:r>
      <w:r>
        <w:t>also</w:t>
      </w:r>
      <w:r>
        <w:rPr>
          <w:spacing w:val="-10"/>
        </w:rPr>
        <w:t xml:space="preserve"> </w:t>
      </w:r>
      <w:r>
        <w:t>not</w:t>
      </w:r>
      <w:r>
        <w:rPr>
          <w:spacing w:val="-12"/>
        </w:rPr>
        <w:t xml:space="preserve"> </w:t>
      </w:r>
      <w:r>
        <w:t>request</w:t>
      </w:r>
      <w:r>
        <w:rPr>
          <w:spacing w:val="-10"/>
        </w:rPr>
        <w:t xml:space="preserve"> </w:t>
      </w:r>
      <w:r>
        <w:t>or</w:t>
      </w:r>
      <w:r>
        <w:rPr>
          <w:spacing w:val="-10"/>
        </w:rPr>
        <w:t xml:space="preserve"> </w:t>
      </w:r>
      <w:r>
        <w:t>undergo IP Scan Enforcement services provided by other IP Scan experts in the network for themselves</w:t>
      </w:r>
      <w:r>
        <w:rPr>
          <w:spacing w:val="-9"/>
        </w:rPr>
        <w:t xml:space="preserve"> </w:t>
      </w:r>
      <w:r>
        <w:t>(personal</w:t>
      </w:r>
      <w:r>
        <w:rPr>
          <w:spacing w:val="-8"/>
        </w:rPr>
        <w:t xml:space="preserve"> </w:t>
      </w:r>
      <w:r>
        <w:t>VAT</w:t>
      </w:r>
      <w:r>
        <w:rPr>
          <w:spacing w:val="-6"/>
        </w:rPr>
        <w:t xml:space="preserve"> </w:t>
      </w:r>
      <w:r>
        <w:t>number)</w:t>
      </w:r>
      <w:r>
        <w:rPr>
          <w:spacing w:val="-5"/>
        </w:rPr>
        <w:t xml:space="preserve"> </w:t>
      </w:r>
      <w:r>
        <w:t>or</w:t>
      </w:r>
      <w:r>
        <w:rPr>
          <w:spacing w:val="-8"/>
        </w:rPr>
        <w:t xml:space="preserve"> </w:t>
      </w:r>
      <w:r>
        <w:t>for</w:t>
      </w:r>
      <w:r>
        <w:rPr>
          <w:spacing w:val="-6"/>
        </w:rPr>
        <w:t xml:space="preserve"> </w:t>
      </w:r>
      <w:r>
        <w:t>any</w:t>
      </w:r>
      <w:r>
        <w:rPr>
          <w:spacing w:val="-6"/>
        </w:rPr>
        <w:t xml:space="preserve"> </w:t>
      </w:r>
      <w:r>
        <w:t>business</w:t>
      </w:r>
      <w:r>
        <w:rPr>
          <w:spacing w:val="-6"/>
        </w:rPr>
        <w:t xml:space="preserve"> </w:t>
      </w:r>
      <w:r>
        <w:t>in</w:t>
      </w:r>
      <w:r>
        <w:rPr>
          <w:spacing w:val="-6"/>
        </w:rPr>
        <w:t xml:space="preserve"> </w:t>
      </w:r>
      <w:r>
        <w:t>which</w:t>
      </w:r>
      <w:r>
        <w:rPr>
          <w:spacing w:val="-7"/>
        </w:rPr>
        <w:t xml:space="preserve"> </w:t>
      </w:r>
      <w:r>
        <w:t>they</w:t>
      </w:r>
      <w:r>
        <w:rPr>
          <w:spacing w:val="-8"/>
        </w:rPr>
        <w:t xml:space="preserve"> </w:t>
      </w:r>
      <w:r>
        <w:t>have</w:t>
      </w:r>
      <w:r>
        <w:rPr>
          <w:spacing w:val="-9"/>
        </w:rPr>
        <w:t xml:space="preserve"> </w:t>
      </w:r>
      <w:r>
        <w:t>a</w:t>
      </w:r>
      <w:r>
        <w:rPr>
          <w:spacing w:val="-6"/>
        </w:rPr>
        <w:t xml:space="preserve"> </w:t>
      </w:r>
      <w:r>
        <w:t>financial</w:t>
      </w:r>
      <w:r>
        <w:rPr>
          <w:spacing w:val="-7"/>
        </w:rPr>
        <w:t xml:space="preserve"> </w:t>
      </w:r>
      <w:r>
        <w:t>interest (company VAT</w:t>
      </w:r>
      <w:r>
        <w:rPr>
          <w:spacing w:val="-3"/>
        </w:rPr>
        <w:t xml:space="preserve"> </w:t>
      </w:r>
      <w:r>
        <w:t>number).</w:t>
      </w:r>
    </w:p>
    <w:p w14:paraId="43E1DA62" w14:textId="77777777" w:rsidR="00D757DA" w:rsidRDefault="00D757DA">
      <w:pPr>
        <w:pStyle w:val="Zkladntext"/>
        <w:spacing w:before="3"/>
        <w:rPr>
          <w:sz w:val="25"/>
        </w:rPr>
      </w:pPr>
    </w:p>
    <w:p w14:paraId="4A83C5B5" w14:textId="77777777" w:rsidR="00D757DA" w:rsidRDefault="0033254E">
      <w:pPr>
        <w:pStyle w:val="Zkladntext"/>
        <w:spacing w:line="276" w:lineRule="auto"/>
        <w:ind w:left="120" w:right="1434"/>
        <w:jc w:val="both"/>
      </w:pPr>
      <w:r>
        <w:t>MS</w:t>
      </w:r>
      <w:r>
        <w:rPr>
          <w:spacing w:val="-15"/>
        </w:rPr>
        <w:t xml:space="preserve"> </w:t>
      </w:r>
      <w:r>
        <w:t>IPOs</w:t>
      </w:r>
      <w:r>
        <w:rPr>
          <w:spacing w:val="-16"/>
        </w:rPr>
        <w:t xml:space="preserve"> </w:t>
      </w:r>
      <w:r>
        <w:t>may</w:t>
      </w:r>
      <w:r>
        <w:rPr>
          <w:spacing w:val="-14"/>
        </w:rPr>
        <w:t xml:space="preserve"> </w:t>
      </w:r>
      <w:r>
        <w:t>decline</w:t>
      </w:r>
      <w:r>
        <w:rPr>
          <w:spacing w:val="-16"/>
        </w:rPr>
        <w:t xml:space="preserve"> </w:t>
      </w:r>
      <w:r>
        <w:t>IP</w:t>
      </w:r>
      <w:r>
        <w:rPr>
          <w:spacing w:val="-18"/>
        </w:rPr>
        <w:t xml:space="preserve"> </w:t>
      </w:r>
      <w:r>
        <w:t>Scan</w:t>
      </w:r>
      <w:r>
        <w:rPr>
          <w:spacing w:val="-14"/>
        </w:rPr>
        <w:t xml:space="preserve"> </w:t>
      </w:r>
      <w:r>
        <w:t>Enforcement</w:t>
      </w:r>
      <w:r>
        <w:rPr>
          <w:spacing w:val="-12"/>
        </w:rPr>
        <w:t xml:space="preserve"> </w:t>
      </w:r>
      <w:r>
        <w:t>reports</w:t>
      </w:r>
      <w:r>
        <w:rPr>
          <w:spacing w:val="-14"/>
        </w:rPr>
        <w:t xml:space="preserve"> </w:t>
      </w:r>
      <w:r>
        <w:t>prepared</w:t>
      </w:r>
      <w:r>
        <w:rPr>
          <w:spacing w:val="-16"/>
        </w:rPr>
        <w:t xml:space="preserve"> </w:t>
      </w:r>
      <w:r>
        <w:t>by</w:t>
      </w:r>
      <w:r>
        <w:rPr>
          <w:spacing w:val="-14"/>
        </w:rPr>
        <w:t xml:space="preserve"> </w:t>
      </w:r>
      <w:r>
        <w:t>experts,</w:t>
      </w:r>
      <w:r>
        <w:rPr>
          <w:spacing w:val="-12"/>
        </w:rPr>
        <w:t xml:space="preserve"> </w:t>
      </w:r>
      <w:r>
        <w:t>even</w:t>
      </w:r>
      <w:r>
        <w:rPr>
          <w:spacing w:val="-15"/>
        </w:rPr>
        <w:t xml:space="preserve"> </w:t>
      </w:r>
      <w:r>
        <w:t>if</w:t>
      </w:r>
      <w:r>
        <w:rPr>
          <w:spacing w:val="-12"/>
        </w:rPr>
        <w:t xml:space="preserve"> </w:t>
      </w:r>
      <w:r>
        <w:t>a</w:t>
      </w:r>
      <w:r>
        <w:rPr>
          <w:spacing w:val="-14"/>
        </w:rPr>
        <w:t xml:space="preserve"> </w:t>
      </w:r>
      <w:r>
        <w:t>grant</w:t>
      </w:r>
      <w:r>
        <w:rPr>
          <w:spacing w:val="-13"/>
        </w:rPr>
        <w:t xml:space="preserve"> </w:t>
      </w:r>
      <w:r>
        <w:t>award decision</w:t>
      </w:r>
      <w:r>
        <w:rPr>
          <w:spacing w:val="-8"/>
        </w:rPr>
        <w:t xml:space="preserve"> </w:t>
      </w:r>
      <w:r>
        <w:t>has</w:t>
      </w:r>
      <w:r>
        <w:rPr>
          <w:spacing w:val="-7"/>
        </w:rPr>
        <w:t xml:space="preserve"> </w:t>
      </w:r>
      <w:r>
        <w:t>already</w:t>
      </w:r>
      <w:r>
        <w:rPr>
          <w:spacing w:val="-7"/>
        </w:rPr>
        <w:t xml:space="preserve"> </w:t>
      </w:r>
      <w:r>
        <w:t>been</w:t>
      </w:r>
      <w:r>
        <w:rPr>
          <w:spacing w:val="-8"/>
        </w:rPr>
        <w:t xml:space="preserve"> </w:t>
      </w:r>
      <w:r>
        <w:t>issued,</w:t>
      </w:r>
      <w:r>
        <w:rPr>
          <w:spacing w:val="-8"/>
        </w:rPr>
        <w:t xml:space="preserve"> </w:t>
      </w:r>
      <w:r>
        <w:t>if</w:t>
      </w:r>
      <w:r>
        <w:rPr>
          <w:spacing w:val="-8"/>
        </w:rPr>
        <w:t xml:space="preserve"> </w:t>
      </w:r>
      <w:r>
        <w:t>it</w:t>
      </w:r>
      <w:r>
        <w:rPr>
          <w:spacing w:val="-8"/>
        </w:rPr>
        <w:t xml:space="preserve"> </w:t>
      </w:r>
      <w:r>
        <w:t>comes</w:t>
      </w:r>
      <w:r>
        <w:rPr>
          <w:spacing w:val="-10"/>
        </w:rPr>
        <w:t xml:space="preserve"> </w:t>
      </w:r>
      <w:r>
        <w:t>to</w:t>
      </w:r>
      <w:r>
        <w:rPr>
          <w:spacing w:val="-10"/>
        </w:rPr>
        <w:t xml:space="preserve"> </w:t>
      </w:r>
      <w:r>
        <w:t>their</w:t>
      </w:r>
      <w:r>
        <w:rPr>
          <w:spacing w:val="-6"/>
        </w:rPr>
        <w:t xml:space="preserve"> </w:t>
      </w:r>
      <w:r>
        <w:t>attention</w:t>
      </w:r>
      <w:r>
        <w:rPr>
          <w:spacing w:val="-8"/>
        </w:rPr>
        <w:t xml:space="preserve"> </w:t>
      </w:r>
      <w:r>
        <w:t>that</w:t>
      </w:r>
      <w:r>
        <w:rPr>
          <w:spacing w:val="-8"/>
        </w:rPr>
        <w:t xml:space="preserve"> </w:t>
      </w:r>
      <w:r>
        <w:t>the</w:t>
      </w:r>
      <w:r>
        <w:rPr>
          <w:spacing w:val="-10"/>
        </w:rPr>
        <w:t xml:space="preserve"> </w:t>
      </w:r>
      <w:r>
        <w:t>expert</w:t>
      </w:r>
      <w:r>
        <w:rPr>
          <w:spacing w:val="-8"/>
        </w:rPr>
        <w:t xml:space="preserve"> </w:t>
      </w:r>
      <w:r>
        <w:t>holds</w:t>
      </w:r>
      <w:r>
        <w:rPr>
          <w:spacing w:val="-7"/>
        </w:rPr>
        <w:t xml:space="preserve"> </w:t>
      </w:r>
      <w:r>
        <w:t>a</w:t>
      </w:r>
      <w:r>
        <w:rPr>
          <w:spacing w:val="-12"/>
        </w:rPr>
        <w:t xml:space="preserve"> </w:t>
      </w:r>
      <w:r>
        <w:t>financial interest in the company for which the report was</w:t>
      </w:r>
      <w:r>
        <w:rPr>
          <w:spacing w:val="-14"/>
        </w:rPr>
        <w:t xml:space="preserve"> </w:t>
      </w:r>
      <w:r>
        <w:t>prepared.</w:t>
      </w:r>
    </w:p>
    <w:p w14:paraId="3C447E01" w14:textId="77777777" w:rsidR="00D757DA" w:rsidRDefault="00D757DA">
      <w:pPr>
        <w:spacing w:line="276" w:lineRule="auto"/>
        <w:jc w:val="both"/>
        <w:sectPr w:rsidR="00D757DA">
          <w:pgSz w:w="11910" w:h="16840"/>
          <w:pgMar w:top="1340" w:right="0" w:bottom="1160" w:left="1320" w:header="0" w:footer="881" w:gutter="0"/>
          <w:cols w:space="708"/>
        </w:sectPr>
      </w:pPr>
    </w:p>
    <w:p w14:paraId="2AA2D09E" w14:textId="77777777" w:rsidR="00D757DA" w:rsidRDefault="0033254E">
      <w:pPr>
        <w:pStyle w:val="Nadpis3"/>
        <w:numPr>
          <w:ilvl w:val="2"/>
          <w:numId w:val="9"/>
        </w:numPr>
        <w:tabs>
          <w:tab w:val="left" w:pos="1525"/>
        </w:tabs>
        <w:spacing w:before="81"/>
        <w:ind w:hanging="553"/>
      </w:pPr>
      <w:r>
        <w:lastRenderedPageBreak/>
        <w:t>Evidence of completion of IP Scan Enforcement</w:t>
      </w:r>
      <w:r>
        <w:rPr>
          <w:spacing w:val="-7"/>
        </w:rPr>
        <w:t xml:space="preserve"> </w:t>
      </w:r>
      <w:r>
        <w:t>service</w:t>
      </w:r>
    </w:p>
    <w:p w14:paraId="432A1896" w14:textId="77777777" w:rsidR="00D757DA" w:rsidRDefault="00D757DA">
      <w:pPr>
        <w:pStyle w:val="Zkladntext"/>
        <w:spacing w:before="2"/>
        <w:rPr>
          <w:b/>
          <w:sz w:val="24"/>
        </w:rPr>
      </w:pPr>
    </w:p>
    <w:p w14:paraId="40FE0E81" w14:textId="77777777" w:rsidR="00D757DA" w:rsidRDefault="0033254E">
      <w:pPr>
        <w:pStyle w:val="Zkladntext"/>
        <w:spacing w:line="276" w:lineRule="auto"/>
        <w:ind w:left="120" w:right="1435"/>
        <w:jc w:val="both"/>
      </w:pPr>
      <w:r>
        <w:t>Once the IP Scan Enforcement has been provided to the EU SME, the IPO will issue a proof of</w:t>
      </w:r>
      <w:r>
        <w:rPr>
          <w:spacing w:val="-3"/>
        </w:rPr>
        <w:t xml:space="preserve"> </w:t>
      </w:r>
      <w:r>
        <w:t>the</w:t>
      </w:r>
      <w:r>
        <w:rPr>
          <w:spacing w:val="-4"/>
        </w:rPr>
        <w:t xml:space="preserve"> </w:t>
      </w:r>
      <w:r>
        <w:t>service</w:t>
      </w:r>
      <w:r>
        <w:rPr>
          <w:spacing w:val="-4"/>
        </w:rPr>
        <w:t xml:space="preserve"> </w:t>
      </w:r>
      <w:r>
        <w:t>delivery</w:t>
      </w:r>
      <w:r>
        <w:rPr>
          <w:spacing w:val="-3"/>
        </w:rPr>
        <w:t xml:space="preserve"> </w:t>
      </w:r>
      <w:r>
        <w:t>and</w:t>
      </w:r>
      <w:r>
        <w:rPr>
          <w:spacing w:val="-4"/>
        </w:rPr>
        <w:t xml:space="preserve"> </w:t>
      </w:r>
      <w:r>
        <w:t>payment</w:t>
      </w:r>
      <w:r>
        <w:rPr>
          <w:spacing w:val="-5"/>
        </w:rPr>
        <w:t xml:space="preserve"> </w:t>
      </w:r>
      <w:r>
        <w:t>in</w:t>
      </w:r>
      <w:r>
        <w:rPr>
          <w:spacing w:val="-4"/>
        </w:rPr>
        <w:t xml:space="preserve"> </w:t>
      </w:r>
      <w:r>
        <w:t>an</w:t>
      </w:r>
      <w:r>
        <w:rPr>
          <w:spacing w:val="-4"/>
        </w:rPr>
        <w:t xml:space="preserve"> </w:t>
      </w:r>
      <w:r>
        <w:t>electronic</w:t>
      </w:r>
      <w:r>
        <w:rPr>
          <w:spacing w:val="-4"/>
        </w:rPr>
        <w:t xml:space="preserve"> </w:t>
      </w:r>
      <w:r>
        <w:t>format.</w:t>
      </w:r>
      <w:r>
        <w:rPr>
          <w:spacing w:val="-2"/>
        </w:rPr>
        <w:t xml:space="preserve"> </w:t>
      </w:r>
      <w:r>
        <w:t>The</w:t>
      </w:r>
      <w:r>
        <w:rPr>
          <w:spacing w:val="-4"/>
        </w:rPr>
        <w:t xml:space="preserve"> </w:t>
      </w:r>
      <w:r>
        <w:t>EU</w:t>
      </w:r>
      <w:r>
        <w:rPr>
          <w:spacing w:val="-5"/>
        </w:rPr>
        <w:t xml:space="preserve"> </w:t>
      </w:r>
      <w:r>
        <w:t>SME</w:t>
      </w:r>
      <w:r>
        <w:rPr>
          <w:spacing w:val="-4"/>
        </w:rPr>
        <w:t xml:space="preserve"> </w:t>
      </w:r>
      <w:r>
        <w:t>will</w:t>
      </w:r>
      <w:r>
        <w:rPr>
          <w:spacing w:val="-5"/>
        </w:rPr>
        <w:t xml:space="preserve"> </w:t>
      </w:r>
      <w:r>
        <w:t>use</w:t>
      </w:r>
      <w:r>
        <w:rPr>
          <w:spacing w:val="-4"/>
        </w:rPr>
        <w:t xml:space="preserve"> </w:t>
      </w:r>
      <w:r>
        <w:t>the</w:t>
      </w:r>
      <w:r>
        <w:rPr>
          <w:spacing w:val="-4"/>
        </w:rPr>
        <w:t xml:space="preserve"> </w:t>
      </w:r>
      <w:r>
        <w:t>proof</w:t>
      </w:r>
      <w:r>
        <w:rPr>
          <w:spacing w:val="-3"/>
        </w:rPr>
        <w:t xml:space="preserve"> </w:t>
      </w:r>
      <w:r>
        <w:t>of service delivery and payment to request the reimbursement of 90 % up to the established ceiling of EUR 1400 from the EUIPO and within the limits of voucher</w:t>
      </w:r>
      <w:r>
        <w:rPr>
          <w:spacing w:val="-14"/>
        </w:rPr>
        <w:t xml:space="preserve"> </w:t>
      </w:r>
      <w:r>
        <w:t>1.</w:t>
      </w:r>
    </w:p>
    <w:p w14:paraId="6D7F46CC" w14:textId="77777777" w:rsidR="00D757DA" w:rsidRDefault="00D757DA">
      <w:pPr>
        <w:pStyle w:val="Zkladntext"/>
        <w:spacing w:before="3"/>
        <w:rPr>
          <w:sz w:val="25"/>
        </w:rPr>
      </w:pPr>
    </w:p>
    <w:p w14:paraId="46CBFB71" w14:textId="77777777" w:rsidR="00D757DA" w:rsidRDefault="0033254E">
      <w:pPr>
        <w:pStyle w:val="Nadpis3"/>
        <w:numPr>
          <w:ilvl w:val="2"/>
          <w:numId w:val="9"/>
        </w:numPr>
        <w:tabs>
          <w:tab w:val="left" w:pos="1525"/>
        </w:tabs>
        <w:ind w:hanging="553"/>
      </w:pPr>
      <w:r>
        <w:t>Communication aspects relating to IP Scan Enforcement</w:t>
      </w:r>
      <w:r>
        <w:rPr>
          <w:spacing w:val="-13"/>
        </w:rPr>
        <w:t xml:space="preserve"> </w:t>
      </w:r>
      <w:r>
        <w:t>service</w:t>
      </w:r>
    </w:p>
    <w:p w14:paraId="1A79F74B" w14:textId="77777777" w:rsidR="00D757DA" w:rsidRDefault="00D757DA">
      <w:pPr>
        <w:pStyle w:val="Zkladntext"/>
        <w:spacing w:before="8"/>
        <w:rPr>
          <w:b/>
          <w:sz w:val="28"/>
        </w:rPr>
      </w:pPr>
    </w:p>
    <w:p w14:paraId="5410B889" w14:textId="77777777" w:rsidR="00D757DA" w:rsidRDefault="0033254E">
      <w:pPr>
        <w:pStyle w:val="Zkladntext"/>
        <w:spacing w:before="1" w:line="276" w:lineRule="auto"/>
        <w:ind w:left="120" w:right="1437"/>
        <w:jc w:val="both"/>
      </w:pPr>
      <w:r>
        <w:t>The</w:t>
      </w:r>
      <w:r>
        <w:rPr>
          <w:spacing w:val="-5"/>
        </w:rPr>
        <w:t xml:space="preserve"> </w:t>
      </w:r>
      <w:r>
        <w:t>EUIPO</w:t>
      </w:r>
      <w:r>
        <w:rPr>
          <w:spacing w:val="-3"/>
        </w:rPr>
        <w:t xml:space="preserve"> </w:t>
      </w:r>
      <w:r>
        <w:t>will</w:t>
      </w:r>
      <w:r>
        <w:rPr>
          <w:spacing w:val="-5"/>
        </w:rPr>
        <w:t xml:space="preserve"> </w:t>
      </w:r>
      <w:r>
        <w:t>inform</w:t>
      </w:r>
      <w:r>
        <w:rPr>
          <w:spacing w:val="-5"/>
        </w:rPr>
        <w:t xml:space="preserve"> </w:t>
      </w:r>
      <w:r>
        <w:t>the</w:t>
      </w:r>
      <w:r>
        <w:rPr>
          <w:spacing w:val="-4"/>
        </w:rPr>
        <w:t xml:space="preserve"> </w:t>
      </w:r>
      <w:r>
        <w:t>IPO</w:t>
      </w:r>
      <w:r>
        <w:rPr>
          <w:spacing w:val="-3"/>
        </w:rPr>
        <w:t xml:space="preserve"> </w:t>
      </w:r>
      <w:r>
        <w:t>of</w:t>
      </w:r>
      <w:r>
        <w:rPr>
          <w:spacing w:val="-4"/>
        </w:rPr>
        <w:t xml:space="preserve"> </w:t>
      </w:r>
      <w:r>
        <w:t>the</w:t>
      </w:r>
      <w:r>
        <w:rPr>
          <w:spacing w:val="-4"/>
        </w:rPr>
        <w:t xml:space="preserve"> </w:t>
      </w:r>
      <w:r>
        <w:t>EU</w:t>
      </w:r>
      <w:r>
        <w:rPr>
          <w:spacing w:val="-5"/>
        </w:rPr>
        <w:t xml:space="preserve"> </w:t>
      </w:r>
      <w:r>
        <w:t>SMEs</w:t>
      </w:r>
      <w:r>
        <w:rPr>
          <w:spacing w:val="-4"/>
        </w:rPr>
        <w:t xml:space="preserve"> </w:t>
      </w:r>
      <w:r>
        <w:t>established</w:t>
      </w:r>
      <w:r>
        <w:rPr>
          <w:spacing w:val="-1"/>
        </w:rPr>
        <w:t xml:space="preserve"> </w:t>
      </w:r>
      <w:r>
        <w:t>within</w:t>
      </w:r>
      <w:r>
        <w:rPr>
          <w:spacing w:val="-5"/>
        </w:rPr>
        <w:t xml:space="preserve"> </w:t>
      </w:r>
      <w:r>
        <w:t>the</w:t>
      </w:r>
      <w:r>
        <w:rPr>
          <w:spacing w:val="-4"/>
        </w:rPr>
        <w:t xml:space="preserve"> </w:t>
      </w:r>
      <w:r>
        <w:t>territory</w:t>
      </w:r>
      <w:r>
        <w:rPr>
          <w:spacing w:val="-1"/>
        </w:rPr>
        <w:t xml:space="preserve"> </w:t>
      </w:r>
      <w:r>
        <w:t>of</w:t>
      </w:r>
      <w:r>
        <w:rPr>
          <w:spacing w:val="-3"/>
        </w:rPr>
        <w:t xml:space="preserve"> </w:t>
      </w:r>
      <w:r>
        <w:t>the</w:t>
      </w:r>
      <w:r>
        <w:rPr>
          <w:spacing w:val="-7"/>
        </w:rPr>
        <w:t xml:space="preserve"> </w:t>
      </w:r>
      <w:r>
        <w:t>IPO</w:t>
      </w:r>
      <w:r>
        <w:rPr>
          <w:spacing w:val="-3"/>
        </w:rPr>
        <w:t xml:space="preserve"> </w:t>
      </w:r>
      <w:r>
        <w:t>that have been awarded a grant covering voucher</w:t>
      </w:r>
      <w:r>
        <w:rPr>
          <w:spacing w:val="-1"/>
        </w:rPr>
        <w:t xml:space="preserve"> </w:t>
      </w:r>
      <w:r>
        <w:t>1.</w:t>
      </w:r>
    </w:p>
    <w:p w14:paraId="208433C4" w14:textId="77777777" w:rsidR="00D757DA" w:rsidRDefault="00D757DA">
      <w:pPr>
        <w:pStyle w:val="Zkladntext"/>
        <w:spacing w:before="2"/>
        <w:rPr>
          <w:sz w:val="25"/>
        </w:rPr>
      </w:pPr>
    </w:p>
    <w:p w14:paraId="0AC2B16F" w14:textId="77777777" w:rsidR="00D757DA" w:rsidRDefault="0033254E">
      <w:pPr>
        <w:pStyle w:val="Zkladntext"/>
        <w:spacing w:line="276" w:lineRule="auto"/>
        <w:ind w:left="120" w:right="1433"/>
        <w:jc w:val="both"/>
      </w:pPr>
      <w:r>
        <w:t>At the end of each month, the IPO will provide the EUIPO with a report of the IP Scan Enforcement service completed confirming the status and dates of the IP Scan Enforcement and</w:t>
      </w:r>
      <w:r>
        <w:rPr>
          <w:spacing w:val="-7"/>
        </w:rPr>
        <w:t xml:space="preserve"> </w:t>
      </w:r>
      <w:r>
        <w:t>the</w:t>
      </w:r>
      <w:r>
        <w:rPr>
          <w:spacing w:val="-12"/>
        </w:rPr>
        <w:t xml:space="preserve"> </w:t>
      </w:r>
      <w:r>
        <w:t>type</w:t>
      </w:r>
      <w:r>
        <w:rPr>
          <w:spacing w:val="-9"/>
        </w:rPr>
        <w:t xml:space="preserve"> </w:t>
      </w:r>
      <w:r>
        <w:t>of</w:t>
      </w:r>
      <w:r>
        <w:rPr>
          <w:spacing w:val="-10"/>
        </w:rPr>
        <w:t xml:space="preserve"> </w:t>
      </w:r>
      <w:r>
        <w:t>recommendation</w:t>
      </w:r>
      <w:r>
        <w:rPr>
          <w:spacing w:val="-6"/>
        </w:rPr>
        <w:t xml:space="preserve"> </w:t>
      </w:r>
      <w:r>
        <w:t>stemming</w:t>
      </w:r>
      <w:r>
        <w:rPr>
          <w:spacing w:val="-9"/>
        </w:rPr>
        <w:t xml:space="preserve"> </w:t>
      </w:r>
      <w:r>
        <w:t>from</w:t>
      </w:r>
      <w:r>
        <w:rPr>
          <w:spacing w:val="-10"/>
        </w:rPr>
        <w:t xml:space="preserve"> </w:t>
      </w:r>
      <w:r>
        <w:t>the</w:t>
      </w:r>
      <w:r>
        <w:rPr>
          <w:spacing w:val="-7"/>
        </w:rPr>
        <w:t xml:space="preserve"> </w:t>
      </w:r>
      <w:r>
        <w:t>report.</w:t>
      </w:r>
      <w:r>
        <w:rPr>
          <w:spacing w:val="-8"/>
        </w:rPr>
        <w:t xml:space="preserve"> </w:t>
      </w:r>
      <w:r>
        <w:t>The</w:t>
      </w:r>
      <w:r>
        <w:rPr>
          <w:spacing w:val="-9"/>
        </w:rPr>
        <w:t xml:space="preserve"> </w:t>
      </w:r>
      <w:r>
        <w:t>information</w:t>
      </w:r>
      <w:r>
        <w:rPr>
          <w:spacing w:val="-6"/>
        </w:rPr>
        <w:t xml:space="preserve"> </w:t>
      </w:r>
      <w:r>
        <w:t>must</w:t>
      </w:r>
      <w:r>
        <w:rPr>
          <w:spacing w:val="-7"/>
        </w:rPr>
        <w:t xml:space="preserve"> </w:t>
      </w:r>
      <w:r>
        <w:t>also</w:t>
      </w:r>
      <w:r>
        <w:rPr>
          <w:spacing w:val="-9"/>
        </w:rPr>
        <w:t xml:space="preserve"> </w:t>
      </w:r>
      <w:r>
        <w:t>contain the contact details of the SME receiving the report. The EUIPO provides a template for the report or if desired, a platform in Lime survey where this info can be</w:t>
      </w:r>
      <w:r>
        <w:rPr>
          <w:spacing w:val="-19"/>
        </w:rPr>
        <w:t xml:space="preserve"> </w:t>
      </w:r>
      <w:r>
        <w:t>inserted.</w:t>
      </w:r>
    </w:p>
    <w:p w14:paraId="6A1DB0E2" w14:textId="77777777" w:rsidR="00D757DA" w:rsidRDefault="00D757DA">
      <w:pPr>
        <w:pStyle w:val="Zkladntext"/>
        <w:spacing w:before="5"/>
        <w:rPr>
          <w:sz w:val="25"/>
        </w:rPr>
      </w:pPr>
    </w:p>
    <w:p w14:paraId="1017CBD6" w14:textId="77777777" w:rsidR="00D757DA" w:rsidRDefault="0033254E">
      <w:pPr>
        <w:pStyle w:val="Nadpis3"/>
        <w:numPr>
          <w:ilvl w:val="2"/>
          <w:numId w:val="9"/>
        </w:numPr>
        <w:tabs>
          <w:tab w:val="left" w:pos="1525"/>
        </w:tabs>
        <w:ind w:hanging="553"/>
      </w:pPr>
      <w:r>
        <w:t>Service level agreement applicable to IP Scan</w:t>
      </w:r>
      <w:r>
        <w:rPr>
          <w:spacing w:val="-16"/>
        </w:rPr>
        <w:t xml:space="preserve"> </w:t>
      </w:r>
      <w:r>
        <w:t>Enforcement</w:t>
      </w:r>
    </w:p>
    <w:p w14:paraId="7BF37C46" w14:textId="77777777" w:rsidR="00D757DA" w:rsidRDefault="00D757DA">
      <w:pPr>
        <w:pStyle w:val="Zkladntext"/>
        <w:spacing w:before="6"/>
        <w:rPr>
          <w:b/>
          <w:sz w:val="28"/>
        </w:rPr>
      </w:pPr>
    </w:p>
    <w:p w14:paraId="46F377B9" w14:textId="77777777" w:rsidR="00D757DA" w:rsidRDefault="0033254E">
      <w:pPr>
        <w:pStyle w:val="Zkladntext"/>
        <w:spacing w:line="276" w:lineRule="auto"/>
        <w:ind w:left="120" w:right="1440"/>
        <w:jc w:val="both"/>
      </w:pPr>
      <w:r>
        <w:t>For the coordination of the IP Scan Enforcement service, the IPO will apply the following service level indicators:</w:t>
      </w:r>
    </w:p>
    <w:p w14:paraId="0544DC70" w14:textId="77777777" w:rsidR="00D757DA" w:rsidRDefault="00D757DA">
      <w:pPr>
        <w:pStyle w:val="Zkladntext"/>
        <w:rPr>
          <w:sz w:val="21"/>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4383"/>
        <w:gridCol w:w="2502"/>
      </w:tblGrid>
      <w:tr w:rsidR="00D757DA" w14:paraId="7C88E157" w14:textId="77777777">
        <w:trPr>
          <w:trHeight w:val="645"/>
        </w:trPr>
        <w:tc>
          <w:tcPr>
            <w:tcW w:w="2139" w:type="dxa"/>
          </w:tcPr>
          <w:p w14:paraId="3DC95B33" w14:textId="77777777" w:rsidR="00D757DA" w:rsidRDefault="0033254E">
            <w:pPr>
              <w:pStyle w:val="TableParagraph"/>
              <w:spacing w:before="57"/>
              <w:ind w:left="57"/>
              <w:rPr>
                <w:b/>
              </w:rPr>
            </w:pPr>
            <w:r>
              <w:rPr>
                <w:b/>
              </w:rPr>
              <w:t>Indicator</w:t>
            </w:r>
          </w:p>
        </w:tc>
        <w:tc>
          <w:tcPr>
            <w:tcW w:w="4383" w:type="dxa"/>
          </w:tcPr>
          <w:p w14:paraId="70BC9B4D" w14:textId="77777777" w:rsidR="00D757DA" w:rsidRDefault="0033254E">
            <w:pPr>
              <w:pStyle w:val="TableParagraph"/>
              <w:spacing w:before="57"/>
              <w:ind w:left="57"/>
              <w:rPr>
                <w:b/>
              </w:rPr>
            </w:pPr>
            <w:r>
              <w:rPr>
                <w:b/>
              </w:rPr>
              <w:t>Description of the indicator</w:t>
            </w:r>
          </w:p>
        </w:tc>
        <w:tc>
          <w:tcPr>
            <w:tcW w:w="2502" w:type="dxa"/>
          </w:tcPr>
          <w:p w14:paraId="0E9EC8C5" w14:textId="77777777" w:rsidR="00D757DA" w:rsidRDefault="0033254E">
            <w:pPr>
              <w:pStyle w:val="TableParagraph"/>
              <w:spacing w:before="57"/>
              <w:ind w:left="57"/>
              <w:rPr>
                <w:b/>
              </w:rPr>
            </w:pPr>
            <w:r>
              <w:rPr>
                <w:b/>
              </w:rPr>
              <w:t>Max acceptable value</w:t>
            </w:r>
          </w:p>
        </w:tc>
      </w:tr>
      <w:tr w:rsidR="00D757DA" w14:paraId="1604233A" w14:textId="77777777">
        <w:trPr>
          <w:trHeight w:val="1806"/>
        </w:trPr>
        <w:tc>
          <w:tcPr>
            <w:tcW w:w="2139" w:type="dxa"/>
          </w:tcPr>
          <w:p w14:paraId="2A39B427" w14:textId="77777777" w:rsidR="00D757DA" w:rsidRDefault="0033254E">
            <w:pPr>
              <w:pStyle w:val="TableParagraph"/>
              <w:tabs>
                <w:tab w:val="left" w:pos="1583"/>
              </w:tabs>
              <w:spacing w:before="55"/>
              <w:ind w:left="57"/>
            </w:pPr>
            <w:r>
              <w:t>IP</w:t>
            </w:r>
            <w:r>
              <w:tab/>
              <w:t>Scan</w:t>
            </w:r>
          </w:p>
          <w:p w14:paraId="02C1053A" w14:textId="77777777" w:rsidR="00D757DA" w:rsidRDefault="0033254E">
            <w:pPr>
              <w:pStyle w:val="TableParagraph"/>
              <w:tabs>
                <w:tab w:val="left" w:pos="822"/>
                <w:tab w:val="left" w:pos="1208"/>
                <w:tab w:val="left" w:pos="1900"/>
                <w:tab w:val="left" w:pos="1962"/>
              </w:tabs>
              <w:spacing w:before="40" w:line="276" w:lineRule="auto"/>
              <w:ind w:left="57" w:right="41"/>
            </w:pPr>
            <w:r>
              <w:t>Enforcement</w:t>
            </w:r>
            <w:r>
              <w:rPr>
                <w:spacing w:val="-1"/>
              </w:rPr>
              <w:t xml:space="preserve"> </w:t>
            </w:r>
            <w:r>
              <w:t>1</w:t>
            </w:r>
            <w:r>
              <w:tab/>
            </w:r>
            <w:r>
              <w:tab/>
            </w:r>
            <w:r>
              <w:rPr>
                <w:spacing w:val="-17"/>
              </w:rPr>
              <w:t xml:space="preserve">– </w:t>
            </w:r>
            <w:r>
              <w:t>Time</w:t>
            </w:r>
            <w:r>
              <w:tab/>
              <w:t>it</w:t>
            </w:r>
            <w:r>
              <w:tab/>
              <w:t>took</w:t>
            </w:r>
            <w:r>
              <w:tab/>
            </w:r>
            <w:r>
              <w:rPr>
                <w:spacing w:val="-9"/>
              </w:rPr>
              <w:t xml:space="preserve">to </w:t>
            </w:r>
            <w:r>
              <w:t>acknowledge request</w:t>
            </w:r>
          </w:p>
        </w:tc>
        <w:tc>
          <w:tcPr>
            <w:tcW w:w="4383" w:type="dxa"/>
          </w:tcPr>
          <w:p w14:paraId="41F2395E" w14:textId="77777777" w:rsidR="00D757DA" w:rsidRDefault="0033254E">
            <w:pPr>
              <w:pStyle w:val="TableParagraph"/>
              <w:spacing w:before="55" w:line="276" w:lineRule="auto"/>
              <w:ind w:left="57" w:right="43"/>
              <w:jc w:val="both"/>
            </w:pPr>
            <w:r>
              <w:t>Time</w:t>
            </w:r>
            <w:r>
              <w:rPr>
                <w:spacing w:val="-9"/>
              </w:rPr>
              <w:t xml:space="preserve"> </w:t>
            </w:r>
            <w:r>
              <w:t>between</w:t>
            </w:r>
            <w:r>
              <w:rPr>
                <w:spacing w:val="-9"/>
              </w:rPr>
              <w:t xml:space="preserve"> </w:t>
            </w:r>
            <w:r>
              <w:t>the</w:t>
            </w:r>
            <w:r>
              <w:rPr>
                <w:spacing w:val="-11"/>
              </w:rPr>
              <w:t xml:space="preserve"> </w:t>
            </w:r>
            <w:r>
              <w:t>request</w:t>
            </w:r>
            <w:r>
              <w:rPr>
                <w:spacing w:val="-7"/>
              </w:rPr>
              <w:t xml:space="preserve"> </w:t>
            </w:r>
            <w:r>
              <w:t>received</w:t>
            </w:r>
            <w:r>
              <w:rPr>
                <w:spacing w:val="-11"/>
              </w:rPr>
              <w:t xml:space="preserve"> </w:t>
            </w:r>
            <w:r>
              <w:t>from</w:t>
            </w:r>
            <w:r>
              <w:rPr>
                <w:spacing w:val="-10"/>
              </w:rPr>
              <w:t xml:space="preserve"> </w:t>
            </w:r>
            <w:r>
              <w:t>the EU SME and the issuing of an acknowledgement of receipt by</w:t>
            </w:r>
            <w:r>
              <w:rPr>
                <w:spacing w:val="-6"/>
              </w:rPr>
              <w:t xml:space="preserve"> </w:t>
            </w:r>
            <w:r>
              <w:t>email.</w:t>
            </w:r>
          </w:p>
        </w:tc>
        <w:tc>
          <w:tcPr>
            <w:tcW w:w="2502" w:type="dxa"/>
          </w:tcPr>
          <w:p w14:paraId="048FA6F1" w14:textId="77777777" w:rsidR="00D757DA" w:rsidRDefault="0033254E">
            <w:pPr>
              <w:pStyle w:val="TableParagraph"/>
              <w:spacing w:before="55"/>
              <w:ind w:left="57"/>
            </w:pPr>
            <w:r>
              <w:t>3 days</w:t>
            </w:r>
          </w:p>
        </w:tc>
      </w:tr>
      <w:tr w:rsidR="00D757DA" w14:paraId="4A9CC894" w14:textId="77777777">
        <w:trPr>
          <w:trHeight w:val="1809"/>
        </w:trPr>
        <w:tc>
          <w:tcPr>
            <w:tcW w:w="2139" w:type="dxa"/>
          </w:tcPr>
          <w:p w14:paraId="37C819F9" w14:textId="77777777" w:rsidR="00D757DA" w:rsidRDefault="0033254E">
            <w:pPr>
              <w:pStyle w:val="TableParagraph"/>
              <w:spacing w:before="57"/>
              <w:ind w:left="57"/>
            </w:pPr>
            <w:r>
              <w:t>IP</w:t>
            </w:r>
          </w:p>
          <w:p w14:paraId="12993E40" w14:textId="77777777" w:rsidR="00D757DA" w:rsidRDefault="0033254E">
            <w:pPr>
              <w:pStyle w:val="TableParagraph"/>
              <w:spacing w:before="38"/>
              <w:ind w:left="57"/>
              <w:jc w:val="both"/>
            </w:pPr>
            <w:r>
              <w:t>Scan Enforcement 2</w:t>
            </w:r>
          </w:p>
          <w:p w14:paraId="1BF5DA18" w14:textId="77777777" w:rsidR="00D757DA" w:rsidRDefault="0033254E">
            <w:pPr>
              <w:pStyle w:val="TableParagraph"/>
              <w:spacing w:before="39" w:line="276" w:lineRule="auto"/>
              <w:ind w:left="57" w:right="41"/>
              <w:jc w:val="both"/>
            </w:pPr>
            <w:r>
              <w:t>– Time it took to provide an IP Scan Enforcement expert</w:t>
            </w:r>
          </w:p>
        </w:tc>
        <w:tc>
          <w:tcPr>
            <w:tcW w:w="4383" w:type="dxa"/>
          </w:tcPr>
          <w:p w14:paraId="41BC9114" w14:textId="77777777" w:rsidR="00D757DA" w:rsidRDefault="0033254E">
            <w:pPr>
              <w:pStyle w:val="TableParagraph"/>
              <w:spacing w:before="57" w:line="276" w:lineRule="auto"/>
              <w:ind w:left="57" w:right="44"/>
              <w:jc w:val="both"/>
            </w:pPr>
            <w:r>
              <w:t>Time between reception of the SME’s service</w:t>
            </w:r>
            <w:r>
              <w:rPr>
                <w:spacing w:val="-12"/>
              </w:rPr>
              <w:t xml:space="preserve"> </w:t>
            </w:r>
            <w:r>
              <w:t>request</w:t>
            </w:r>
            <w:r>
              <w:rPr>
                <w:spacing w:val="-9"/>
              </w:rPr>
              <w:t xml:space="preserve"> </w:t>
            </w:r>
            <w:r>
              <w:t>by</w:t>
            </w:r>
            <w:r>
              <w:rPr>
                <w:spacing w:val="-14"/>
              </w:rPr>
              <w:t xml:space="preserve"> </w:t>
            </w:r>
            <w:r>
              <w:t>the</w:t>
            </w:r>
            <w:r>
              <w:rPr>
                <w:spacing w:val="-13"/>
              </w:rPr>
              <w:t xml:space="preserve"> </w:t>
            </w:r>
            <w:r>
              <w:t>IPO</w:t>
            </w:r>
            <w:r>
              <w:rPr>
                <w:spacing w:val="-10"/>
              </w:rPr>
              <w:t xml:space="preserve"> </w:t>
            </w:r>
            <w:r>
              <w:t>and</w:t>
            </w:r>
            <w:r>
              <w:rPr>
                <w:spacing w:val="-13"/>
              </w:rPr>
              <w:t xml:space="preserve"> </w:t>
            </w:r>
            <w:r>
              <w:t>the</w:t>
            </w:r>
            <w:r>
              <w:rPr>
                <w:spacing w:val="-12"/>
              </w:rPr>
              <w:t xml:space="preserve"> </w:t>
            </w:r>
            <w:r>
              <w:t>provision of available experts to the</w:t>
            </w:r>
            <w:r>
              <w:rPr>
                <w:spacing w:val="-5"/>
              </w:rPr>
              <w:t xml:space="preserve"> </w:t>
            </w:r>
            <w:r>
              <w:t>SME.</w:t>
            </w:r>
          </w:p>
        </w:tc>
        <w:tc>
          <w:tcPr>
            <w:tcW w:w="2502" w:type="dxa"/>
          </w:tcPr>
          <w:p w14:paraId="7A16753E" w14:textId="77777777" w:rsidR="00D757DA" w:rsidRDefault="0033254E">
            <w:pPr>
              <w:pStyle w:val="TableParagraph"/>
              <w:spacing w:before="57"/>
              <w:ind w:left="57"/>
            </w:pPr>
            <w:r>
              <w:t>2 weeks</w:t>
            </w:r>
          </w:p>
        </w:tc>
      </w:tr>
      <w:tr w:rsidR="00D757DA" w14:paraId="6E67057F" w14:textId="77777777">
        <w:trPr>
          <w:trHeight w:val="1809"/>
        </w:trPr>
        <w:tc>
          <w:tcPr>
            <w:tcW w:w="2139" w:type="dxa"/>
          </w:tcPr>
          <w:p w14:paraId="7BC7B5BF" w14:textId="77777777" w:rsidR="00D757DA" w:rsidRDefault="0033254E">
            <w:pPr>
              <w:pStyle w:val="TableParagraph"/>
              <w:tabs>
                <w:tab w:val="left" w:pos="1583"/>
              </w:tabs>
              <w:spacing w:before="57"/>
              <w:ind w:left="57"/>
              <w:jc w:val="both"/>
            </w:pPr>
            <w:r>
              <w:t>IP</w:t>
            </w:r>
            <w:r>
              <w:tab/>
              <w:t>Scan</w:t>
            </w:r>
          </w:p>
          <w:p w14:paraId="37945460" w14:textId="77777777" w:rsidR="00D757DA" w:rsidRDefault="0033254E">
            <w:pPr>
              <w:pStyle w:val="TableParagraph"/>
              <w:spacing w:before="38" w:line="276" w:lineRule="auto"/>
              <w:ind w:left="57" w:right="41"/>
              <w:jc w:val="both"/>
            </w:pPr>
            <w:r>
              <w:t xml:space="preserve">Enforcement 3 </w:t>
            </w:r>
            <w:r>
              <w:rPr>
                <w:spacing w:val="-12"/>
              </w:rPr>
              <w:t xml:space="preserve">– </w:t>
            </w:r>
            <w:r>
              <w:t xml:space="preserve">Time it took to complete the </w:t>
            </w:r>
            <w:r>
              <w:rPr>
                <w:spacing w:val="-7"/>
              </w:rPr>
              <w:t xml:space="preserve">IP </w:t>
            </w:r>
            <w:r>
              <w:t>Scan</w:t>
            </w:r>
            <w:r>
              <w:rPr>
                <w:spacing w:val="-1"/>
              </w:rPr>
              <w:t xml:space="preserve"> </w:t>
            </w:r>
            <w:r>
              <w:t>Enforcement</w:t>
            </w:r>
          </w:p>
        </w:tc>
        <w:tc>
          <w:tcPr>
            <w:tcW w:w="4383" w:type="dxa"/>
          </w:tcPr>
          <w:p w14:paraId="5075C79B" w14:textId="77777777" w:rsidR="00D757DA" w:rsidRDefault="0033254E">
            <w:pPr>
              <w:pStyle w:val="TableParagraph"/>
              <w:spacing w:before="57" w:line="276" w:lineRule="auto"/>
              <w:ind w:left="57" w:right="43"/>
              <w:jc w:val="both"/>
            </w:pPr>
            <w:r>
              <w:t>Time it took to complete the service and deliver proof of service delivery (IP Scan Enforcement report) and proof of payment from the time the IPO received the EU SME’s service request.</w:t>
            </w:r>
          </w:p>
        </w:tc>
        <w:tc>
          <w:tcPr>
            <w:tcW w:w="2502" w:type="dxa"/>
          </w:tcPr>
          <w:p w14:paraId="51777241" w14:textId="77777777" w:rsidR="00D757DA" w:rsidRDefault="0033254E">
            <w:pPr>
              <w:pStyle w:val="TableParagraph"/>
              <w:spacing w:before="57"/>
              <w:ind w:left="57"/>
            </w:pPr>
            <w:r>
              <w:t>2 months</w:t>
            </w:r>
          </w:p>
        </w:tc>
      </w:tr>
    </w:tbl>
    <w:p w14:paraId="014AC9D5" w14:textId="77777777" w:rsidR="00D757DA" w:rsidRDefault="00D757DA">
      <w:pPr>
        <w:sectPr w:rsidR="00D757DA">
          <w:pgSz w:w="11910" w:h="16840"/>
          <w:pgMar w:top="1340" w:right="0" w:bottom="1160" w:left="1320" w:header="0" w:footer="881" w:gutter="0"/>
          <w:cols w:space="708"/>
        </w:sect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9"/>
        <w:gridCol w:w="4383"/>
        <w:gridCol w:w="2502"/>
      </w:tblGrid>
      <w:tr w:rsidR="00D757DA" w14:paraId="2AE5C7A4" w14:textId="77777777">
        <w:trPr>
          <w:trHeight w:val="9433"/>
        </w:trPr>
        <w:tc>
          <w:tcPr>
            <w:tcW w:w="2139" w:type="dxa"/>
          </w:tcPr>
          <w:p w14:paraId="2D2DAB0D" w14:textId="77777777" w:rsidR="00D757DA" w:rsidRDefault="0033254E">
            <w:pPr>
              <w:pStyle w:val="TableParagraph"/>
              <w:tabs>
                <w:tab w:val="left" w:pos="1583"/>
              </w:tabs>
              <w:spacing w:before="58"/>
              <w:ind w:left="57"/>
            </w:pPr>
            <w:r>
              <w:lastRenderedPageBreak/>
              <w:t>IP</w:t>
            </w:r>
            <w:r>
              <w:tab/>
              <w:t>Scan</w:t>
            </w:r>
          </w:p>
          <w:p w14:paraId="4C07CDD1" w14:textId="77777777" w:rsidR="00D757DA" w:rsidRDefault="0033254E">
            <w:pPr>
              <w:pStyle w:val="TableParagraph"/>
              <w:tabs>
                <w:tab w:val="left" w:pos="1962"/>
              </w:tabs>
              <w:spacing w:before="37"/>
              <w:ind w:left="57"/>
            </w:pPr>
            <w:r>
              <w:t>Enforcement</w:t>
            </w:r>
            <w:r>
              <w:rPr>
                <w:spacing w:val="-1"/>
              </w:rPr>
              <w:t xml:space="preserve"> </w:t>
            </w:r>
            <w:r>
              <w:t>4</w:t>
            </w:r>
            <w:r>
              <w:tab/>
              <w:t>–</w:t>
            </w:r>
          </w:p>
          <w:p w14:paraId="626FA3D4" w14:textId="77777777" w:rsidR="00D757DA" w:rsidRDefault="0033254E">
            <w:pPr>
              <w:pStyle w:val="TableParagraph"/>
              <w:spacing w:before="37"/>
              <w:ind w:left="57"/>
            </w:pPr>
            <w:r>
              <w:t>Quality check</w:t>
            </w:r>
          </w:p>
        </w:tc>
        <w:tc>
          <w:tcPr>
            <w:tcW w:w="4383" w:type="dxa"/>
          </w:tcPr>
          <w:p w14:paraId="6FECD687" w14:textId="77777777" w:rsidR="00D757DA" w:rsidRDefault="0033254E">
            <w:pPr>
              <w:pStyle w:val="TableParagraph"/>
              <w:spacing w:before="58" w:line="276" w:lineRule="auto"/>
              <w:ind w:left="57" w:right="41"/>
              <w:jc w:val="both"/>
            </w:pPr>
            <w:r>
              <w:t xml:space="preserve">The IPO will </w:t>
            </w:r>
            <w:proofErr w:type="spellStart"/>
            <w:r>
              <w:t>organise</w:t>
            </w:r>
            <w:proofErr w:type="spellEnd"/>
            <w:r>
              <w:t>/coordinate a system of quality checks for the IP Scan Enforcement report provided by the</w:t>
            </w:r>
            <w:r>
              <w:rPr>
                <w:spacing w:val="-41"/>
              </w:rPr>
              <w:t xml:space="preserve"> </w:t>
            </w:r>
            <w:r>
              <w:t>experts. The assumption is that all reports are checked for quality, but this can be</w:t>
            </w:r>
            <w:r>
              <w:rPr>
                <w:spacing w:val="-29"/>
              </w:rPr>
              <w:t xml:space="preserve"> </w:t>
            </w:r>
            <w:r>
              <w:t>adjusted according to the IPO’s capacity and a risk- based approach according to national</w:t>
            </w:r>
            <w:r>
              <w:rPr>
                <w:spacing w:val="-17"/>
              </w:rPr>
              <w:t xml:space="preserve"> </w:t>
            </w:r>
            <w:r>
              <w:t>law.</w:t>
            </w:r>
          </w:p>
          <w:p w14:paraId="6BEEE310" w14:textId="77777777" w:rsidR="00D757DA" w:rsidRDefault="00D757DA">
            <w:pPr>
              <w:pStyle w:val="TableParagraph"/>
              <w:spacing w:before="8"/>
              <w:rPr>
                <w:sz w:val="20"/>
              </w:rPr>
            </w:pPr>
          </w:p>
          <w:p w14:paraId="4689DDEA" w14:textId="77777777" w:rsidR="00D757DA" w:rsidRDefault="0033254E">
            <w:pPr>
              <w:pStyle w:val="TableParagraph"/>
              <w:spacing w:line="276" w:lineRule="auto"/>
              <w:ind w:left="57" w:right="46"/>
              <w:jc w:val="both"/>
            </w:pPr>
            <w:r>
              <w:t>The main aim of the quality checks is to determine how pertinent extent the IP Scan Enforcement report is to the targeted SME, and to ensure it is not biased.</w:t>
            </w:r>
          </w:p>
          <w:p w14:paraId="321332A6" w14:textId="77777777" w:rsidR="00D757DA" w:rsidRDefault="00D757DA">
            <w:pPr>
              <w:pStyle w:val="TableParagraph"/>
              <w:rPr>
                <w:sz w:val="21"/>
              </w:rPr>
            </w:pPr>
          </w:p>
          <w:p w14:paraId="258ADF93" w14:textId="77777777" w:rsidR="00D757DA" w:rsidRDefault="0033254E">
            <w:pPr>
              <w:pStyle w:val="TableParagraph"/>
              <w:ind w:left="57"/>
              <w:jc w:val="both"/>
            </w:pPr>
            <w:r>
              <w:t>Aspects of the quality checks are:</w:t>
            </w:r>
          </w:p>
          <w:p w14:paraId="5BAFD900" w14:textId="77777777" w:rsidR="00D757DA" w:rsidRDefault="00D757DA">
            <w:pPr>
              <w:pStyle w:val="TableParagraph"/>
              <w:spacing w:before="5"/>
              <w:rPr>
                <w:sz w:val="24"/>
              </w:rPr>
            </w:pPr>
          </w:p>
          <w:p w14:paraId="0424C399" w14:textId="77777777" w:rsidR="00D757DA" w:rsidRDefault="0033254E">
            <w:pPr>
              <w:pStyle w:val="TableParagraph"/>
              <w:numPr>
                <w:ilvl w:val="0"/>
                <w:numId w:val="5"/>
              </w:numPr>
              <w:tabs>
                <w:tab w:val="left" w:pos="624"/>
              </w:tabs>
              <w:spacing w:line="237" w:lineRule="auto"/>
              <w:ind w:right="43"/>
              <w:jc w:val="both"/>
            </w:pPr>
            <w:r>
              <w:t>Does the report include a clear and comprehensive analysis of the</w:t>
            </w:r>
            <w:r>
              <w:rPr>
                <w:spacing w:val="-9"/>
              </w:rPr>
              <w:t xml:space="preserve"> </w:t>
            </w:r>
            <w:r>
              <w:t>case?</w:t>
            </w:r>
          </w:p>
          <w:p w14:paraId="11707BF5" w14:textId="77777777" w:rsidR="00D757DA" w:rsidRDefault="0033254E">
            <w:pPr>
              <w:pStyle w:val="TableParagraph"/>
              <w:numPr>
                <w:ilvl w:val="0"/>
                <w:numId w:val="5"/>
              </w:numPr>
              <w:tabs>
                <w:tab w:val="left" w:pos="624"/>
              </w:tabs>
              <w:spacing w:before="4" w:line="237" w:lineRule="auto"/>
              <w:ind w:right="43"/>
              <w:jc w:val="both"/>
            </w:pPr>
            <w:r>
              <w:t>Does the report address the risks to the EU SME and/or third-party</w:t>
            </w:r>
            <w:r>
              <w:rPr>
                <w:spacing w:val="-12"/>
              </w:rPr>
              <w:t xml:space="preserve"> </w:t>
            </w:r>
            <w:r>
              <w:t>IPRs?</w:t>
            </w:r>
          </w:p>
          <w:p w14:paraId="23502266" w14:textId="77777777" w:rsidR="00D757DA" w:rsidRDefault="0033254E">
            <w:pPr>
              <w:pStyle w:val="TableParagraph"/>
              <w:numPr>
                <w:ilvl w:val="0"/>
                <w:numId w:val="5"/>
              </w:numPr>
              <w:tabs>
                <w:tab w:val="left" w:pos="624"/>
              </w:tabs>
              <w:spacing w:before="1"/>
              <w:ind w:right="42"/>
              <w:jc w:val="both"/>
            </w:pPr>
            <w:r>
              <w:t>Does the report include recommendations of IP enforcement or preventive actions that can be taken?</w:t>
            </w:r>
          </w:p>
          <w:p w14:paraId="544465F7" w14:textId="77777777" w:rsidR="00D757DA" w:rsidRDefault="0033254E">
            <w:pPr>
              <w:pStyle w:val="TableParagraph"/>
              <w:numPr>
                <w:ilvl w:val="0"/>
                <w:numId w:val="5"/>
              </w:numPr>
              <w:tabs>
                <w:tab w:val="left" w:pos="624"/>
              </w:tabs>
              <w:spacing w:before="1" w:line="237" w:lineRule="auto"/>
              <w:ind w:right="44"/>
              <w:jc w:val="both"/>
            </w:pPr>
            <w:r>
              <w:t>Is the annex adapted to the recommendations</w:t>
            </w:r>
            <w:r>
              <w:rPr>
                <w:spacing w:val="-3"/>
              </w:rPr>
              <w:t xml:space="preserve"> </w:t>
            </w:r>
            <w:r>
              <w:t>made?</w:t>
            </w:r>
          </w:p>
          <w:p w14:paraId="5F08966F" w14:textId="77777777" w:rsidR="00D757DA" w:rsidRDefault="00D757DA">
            <w:pPr>
              <w:pStyle w:val="TableParagraph"/>
              <w:rPr>
                <w:sz w:val="24"/>
              </w:rPr>
            </w:pPr>
          </w:p>
          <w:p w14:paraId="67801B21" w14:textId="77777777" w:rsidR="00D757DA" w:rsidRDefault="00D757DA">
            <w:pPr>
              <w:pStyle w:val="TableParagraph"/>
              <w:spacing w:before="4"/>
            </w:pPr>
          </w:p>
          <w:p w14:paraId="389DB607" w14:textId="77777777" w:rsidR="00D757DA" w:rsidRDefault="0033254E">
            <w:pPr>
              <w:pStyle w:val="TableParagraph"/>
              <w:spacing w:line="276" w:lineRule="auto"/>
              <w:ind w:left="57" w:right="45"/>
              <w:jc w:val="both"/>
            </w:pPr>
            <w:r>
              <w:t>The</w:t>
            </w:r>
            <w:r>
              <w:rPr>
                <w:spacing w:val="-14"/>
              </w:rPr>
              <w:t xml:space="preserve"> </w:t>
            </w:r>
            <w:r>
              <w:t>IPO</w:t>
            </w:r>
            <w:r>
              <w:rPr>
                <w:spacing w:val="-15"/>
              </w:rPr>
              <w:t xml:space="preserve"> </w:t>
            </w:r>
            <w:r>
              <w:t>must</w:t>
            </w:r>
            <w:r>
              <w:rPr>
                <w:spacing w:val="-13"/>
              </w:rPr>
              <w:t xml:space="preserve"> </w:t>
            </w:r>
            <w:r>
              <w:t>also</w:t>
            </w:r>
            <w:r>
              <w:rPr>
                <w:spacing w:val="-15"/>
              </w:rPr>
              <w:t xml:space="preserve"> </w:t>
            </w:r>
            <w:r>
              <w:t>request</w:t>
            </w:r>
            <w:r>
              <w:rPr>
                <w:spacing w:val="-15"/>
              </w:rPr>
              <w:t xml:space="preserve"> </w:t>
            </w:r>
            <w:r>
              <w:t>the</w:t>
            </w:r>
            <w:r>
              <w:rPr>
                <w:spacing w:val="-14"/>
              </w:rPr>
              <w:t xml:space="preserve"> </w:t>
            </w:r>
            <w:r>
              <w:t>experts’</w:t>
            </w:r>
            <w:r>
              <w:rPr>
                <w:spacing w:val="-17"/>
              </w:rPr>
              <w:t xml:space="preserve"> </w:t>
            </w:r>
            <w:r>
              <w:t>main recommendations to facilitate the assessment of the impact of the IP Scan Enforcement. The information will be reported to the EUIPO in the format described</w:t>
            </w:r>
            <w:r>
              <w:rPr>
                <w:spacing w:val="-1"/>
              </w:rPr>
              <w:t xml:space="preserve"> </w:t>
            </w:r>
            <w:r>
              <w:t>below.</w:t>
            </w:r>
          </w:p>
        </w:tc>
        <w:tc>
          <w:tcPr>
            <w:tcW w:w="2502" w:type="dxa"/>
          </w:tcPr>
          <w:p w14:paraId="155CF9BF" w14:textId="77777777" w:rsidR="00D757DA" w:rsidRDefault="0033254E">
            <w:pPr>
              <w:pStyle w:val="TableParagraph"/>
              <w:tabs>
                <w:tab w:val="left" w:pos="2077"/>
              </w:tabs>
              <w:spacing w:before="58" w:line="276" w:lineRule="auto"/>
              <w:ind w:left="57" w:right="44"/>
              <w:jc w:val="both"/>
            </w:pPr>
            <w:r>
              <w:t>At the IPO’s best convenience</w:t>
            </w:r>
            <w:r>
              <w:tab/>
            </w:r>
            <w:r>
              <w:rPr>
                <w:spacing w:val="-7"/>
              </w:rPr>
              <w:t xml:space="preserve">and </w:t>
            </w:r>
            <w:r>
              <w:t>according to the resources</w:t>
            </w:r>
            <w:r>
              <w:rPr>
                <w:spacing w:val="-4"/>
              </w:rPr>
              <w:t xml:space="preserve"> </w:t>
            </w:r>
            <w:r>
              <w:t>available.</w:t>
            </w:r>
          </w:p>
        </w:tc>
      </w:tr>
    </w:tbl>
    <w:p w14:paraId="4C289B58" w14:textId="77777777" w:rsidR="00D757DA" w:rsidRDefault="00D757DA">
      <w:pPr>
        <w:pStyle w:val="Zkladntext"/>
        <w:spacing w:before="10"/>
        <w:rPr>
          <w:sz w:val="13"/>
        </w:rPr>
      </w:pPr>
    </w:p>
    <w:p w14:paraId="4CDC64B9" w14:textId="77777777" w:rsidR="00D757DA" w:rsidRDefault="0033254E">
      <w:pPr>
        <w:pStyle w:val="Odstavecseseznamem"/>
        <w:numPr>
          <w:ilvl w:val="0"/>
          <w:numId w:val="4"/>
        </w:numPr>
        <w:tabs>
          <w:tab w:val="left" w:pos="389"/>
        </w:tabs>
        <w:spacing w:before="93"/>
        <w:rPr>
          <w:b/>
          <w:sz w:val="24"/>
        </w:rPr>
      </w:pPr>
      <w:bookmarkStart w:id="68" w:name="6._Promotion_of_the_action"/>
      <w:bookmarkEnd w:id="68"/>
      <w:r>
        <w:rPr>
          <w:b/>
          <w:sz w:val="24"/>
        </w:rPr>
        <w:t>P</w:t>
      </w:r>
      <w:r>
        <w:rPr>
          <w:b/>
          <w:sz w:val="24"/>
        </w:rPr>
        <w:t>romotion of the</w:t>
      </w:r>
      <w:r>
        <w:rPr>
          <w:b/>
          <w:spacing w:val="-1"/>
          <w:sz w:val="24"/>
        </w:rPr>
        <w:t xml:space="preserve"> </w:t>
      </w:r>
      <w:r>
        <w:rPr>
          <w:b/>
          <w:sz w:val="24"/>
        </w:rPr>
        <w:t>action</w:t>
      </w:r>
    </w:p>
    <w:p w14:paraId="3E10DA4F" w14:textId="77777777" w:rsidR="00D757DA" w:rsidRDefault="00D757DA">
      <w:pPr>
        <w:pStyle w:val="Zkladntext"/>
        <w:spacing w:before="5"/>
        <w:rPr>
          <w:b/>
          <w:sz w:val="24"/>
        </w:rPr>
      </w:pPr>
    </w:p>
    <w:p w14:paraId="2793DF05" w14:textId="77777777" w:rsidR="00D757DA" w:rsidRDefault="0033254E">
      <w:pPr>
        <w:pStyle w:val="Zkladntext"/>
        <w:spacing w:line="276" w:lineRule="auto"/>
        <w:ind w:left="120" w:right="1436"/>
        <w:jc w:val="both"/>
      </w:pPr>
      <w:r>
        <w:t>The IPO will provide its full support to the action using its communication and promotional channels to communicate the action to the potential beneficiaries, namely EU SMEs. Promotion and communication will be done throughout the duration of the action.</w:t>
      </w:r>
    </w:p>
    <w:p w14:paraId="6EDF7FE1" w14:textId="77777777" w:rsidR="00D757DA" w:rsidRDefault="00D757DA">
      <w:pPr>
        <w:pStyle w:val="Zkladntext"/>
        <w:spacing w:before="10"/>
        <w:rPr>
          <w:sz w:val="20"/>
        </w:rPr>
      </w:pPr>
    </w:p>
    <w:p w14:paraId="0F39DC5E" w14:textId="77777777" w:rsidR="00D757DA" w:rsidRDefault="0033254E">
      <w:pPr>
        <w:pStyle w:val="Zkladntext"/>
        <w:spacing w:before="1" w:line="276" w:lineRule="auto"/>
        <w:ind w:left="120" w:right="1433"/>
        <w:jc w:val="both"/>
      </w:pPr>
      <w:r>
        <w:t>The</w:t>
      </w:r>
      <w:r>
        <w:rPr>
          <w:spacing w:val="-16"/>
        </w:rPr>
        <w:t xml:space="preserve"> </w:t>
      </w:r>
      <w:r>
        <w:t>promotional</w:t>
      </w:r>
      <w:r>
        <w:rPr>
          <w:spacing w:val="-16"/>
        </w:rPr>
        <w:t xml:space="preserve"> </w:t>
      </w:r>
      <w:r>
        <w:t>activities</w:t>
      </w:r>
      <w:r>
        <w:rPr>
          <w:spacing w:val="-15"/>
        </w:rPr>
        <w:t xml:space="preserve"> </w:t>
      </w:r>
      <w:r>
        <w:t>may</w:t>
      </w:r>
      <w:r>
        <w:rPr>
          <w:spacing w:val="-15"/>
        </w:rPr>
        <w:t xml:space="preserve"> </w:t>
      </w:r>
      <w:r>
        <w:t>be</w:t>
      </w:r>
      <w:r>
        <w:rPr>
          <w:spacing w:val="-16"/>
        </w:rPr>
        <w:t xml:space="preserve"> </w:t>
      </w:r>
      <w:r>
        <w:t>eligible</w:t>
      </w:r>
      <w:r>
        <w:rPr>
          <w:spacing w:val="-15"/>
        </w:rPr>
        <w:t xml:space="preserve"> </w:t>
      </w:r>
      <w:r>
        <w:t>under</w:t>
      </w:r>
      <w:r>
        <w:rPr>
          <w:spacing w:val="-13"/>
        </w:rPr>
        <w:t xml:space="preserve"> </w:t>
      </w:r>
      <w:r>
        <w:t>ECP4</w:t>
      </w:r>
      <w:r>
        <w:rPr>
          <w:spacing w:val="-15"/>
        </w:rPr>
        <w:t xml:space="preserve"> </w:t>
      </w:r>
      <w:r>
        <w:t>SME-focused</w:t>
      </w:r>
      <w:r>
        <w:rPr>
          <w:spacing w:val="-17"/>
        </w:rPr>
        <w:t xml:space="preserve"> </w:t>
      </w:r>
      <w:r>
        <w:t>activities.</w:t>
      </w:r>
      <w:r>
        <w:rPr>
          <w:spacing w:val="-14"/>
        </w:rPr>
        <w:t xml:space="preserve"> </w:t>
      </w:r>
      <w:r>
        <w:t>Relevant</w:t>
      </w:r>
      <w:r>
        <w:rPr>
          <w:spacing w:val="-13"/>
        </w:rPr>
        <w:t xml:space="preserve"> </w:t>
      </w:r>
      <w:r>
        <w:t xml:space="preserve">types of promotional activities under ECP4 focusing on the promotion of the </w:t>
      </w:r>
      <w:r>
        <w:rPr>
          <w:spacing w:val="-2"/>
        </w:rPr>
        <w:t xml:space="preserve">SME </w:t>
      </w:r>
      <w:r>
        <w:t>Fund 2026, such as IPR-awareness campaigns for SMEs, the dissemination events for SMEs or IPR training for SMEs, will have to be identified, proposed, and integrated into this</w:t>
      </w:r>
      <w:r>
        <w:rPr>
          <w:spacing w:val="-19"/>
        </w:rPr>
        <w:t xml:space="preserve"> </w:t>
      </w:r>
      <w:r>
        <w:t>Agreement.</w:t>
      </w:r>
    </w:p>
    <w:p w14:paraId="39C7BEEA" w14:textId="77777777" w:rsidR="00D757DA" w:rsidRDefault="00D757DA">
      <w:pPr>
        <w:pStyle w:val="Zkladntext"/>
        <w:spacing w:before="10"/>
        <w:rPr>
          <w:sz w:val="20"/>
        </w:rPr>
      </w:pPr>
    </w:p>
    <w:p w14:paraId="3EF3FCC3" w14:textId="77777777" w:rsidR="00D757DA" w:rsidRDefault="0033254E">
      <w:pPr>
        <w:pStyle w:val="Zkladntext"/>
        <w:spacing w:line="276" w:lineRule="auto"/>
        <w:ind w:left="120" w:right="1439"/>
        <w:jc w:val="both"/>
      </w:pPr>
      <w:r>
        <w:t>The IPO will provide the EUIPO with the list of the communication and promotional activities carried</w:t>
      </w:r>
      <w:r>
        <w:rPr>
          <w:spacing w:val="-4"/>
        </w:rPr>
        <w:t xml:space="preserve"> </w:t>
      </w:r>
      <w:r>
        <w:t>out</w:t>
      </w:r>
      <w:r>
        <w:rPr>
          <w:spacing w:val="-5"/>
        </w:rPr>
        <w:t xml:space="preserve"> </w:t>
      </w:r>
      <w:r>
        <w:t>each</w:t>
      </w:r>
      <w:r>
        <w:rPr>
          <w:spacing w:val="-4"/>
        </w:rPr>
        <w:t xml:space="preserve"> </w:t>
      </w:r>
      <w:r>
        <w:t>quarter</w:t>
      </w:r>
      <w:r>
        <w:rPr>
          <w:spacing w:val="-7"/>
        </w:rPr>
        <w:t xml:space="preserve"> </w:t>
      </w:r>
      <w:r>
        <w:t>(Q1:</w:t>
      </w:r>
      <w:r>
        <w:rPr>
          <w:spacing w:val="-3"/>
        </w:rPr>
        <w:t xml:space="preserve"> </w:t>
      </w:r>
      <w:r>
        <w:t>end</w:t>
      </w:r>
      <w:r>
        <w:rPr>
          <w:spacing w:val="-4"/>
        </w:rPr>
        <w:t xml:space="preserve"> </w:t>
      </w:r>
      <w:r>
        <w:t>of</w:t>
      </w:r>
      <w:r>
        <w:rPr>
          <w:spacing w:val="-3"/>
        </w:rPr>
        <w:t xml:space="preserve"> </w:t>
      </w:r>
      <w:r>
        <w:t>March,</w:t>
      </w:r>
      <w:r>
        <w:rPr>
          <w:spacing w:val="-5"/>
        </w:rPr>
        <w:t xml:space="preserve"> </w:t>
      </w:r>
      <w:r>
        <w:t>Q2:</w:t>
      </w:r>
      <w:r>
        <w:rPr>
          <w:spacing w:val="-3"/>
        </w:rPr>
        <w:t xml:space="preserve"> </w:t>
      </w:r>
      <w:r>
        <w:t>end</w:t>
      </w:r>
      <w:r>
        <w:rPr>
          <w:spacing w:val="-3"/>
        </w:rPr>
        <w:t xml:space="preserve"> </w:t>
      </w:r>
      <w:r>
        <w:t>of</w:t>
      </w:r>
      <w:r>
        <w:rPr>
          <w:spacing w:val="-3"/>
        </w:rPr>
        <w:t xml:space="preserve"> </w:t>
      </w:r>
      <w:r>
        <w:t>June,</w:t>
      </w:r>
      <w:r>
        <w:rPr>
          <w:spacing w:val="-3"/>
        </w:rPr>
        <w:t xml:space="preserve"> </w:t>
      </w:r>
      <w:r>
        <w:t>Q3:</w:t>
      </w:r>
      <w:r>
        <w:rPr>
          <w:spacing w:val="-3"/>
        </w:rPr>
        <w:t xml:space="preserve"> </w:t>
      </w:r>
      <w:r>
        <w:t>end</w:t>
      </w:r>
      <w:r>
        <w:rPr>
          <w:spacing w:val="-4"/>
        </w:rPr>
        <w:t xml:space="preserve"> </w:t>
      </w:r>
      <w:r>
        <w:t>of</w:t>
      </w:r>
      <w:r>
        <w:rPr>
          <w:spacing w:val="-2"/>
        </w:rPr>
        <w:t xml:space="preserve"> </w:t>
      </w:r>
      <w:r>
        <w:t>September,</w:t>
      </w:r>
      <w:r>
        <w:rPr>
          <w:spacing w:val="-5"/>
        </w:rPr>
        <w:t xml:space="preserve"> </w:t>
      </w:r>
      <w:r>
        <w:t>Q4:</w:t>
      </w:r>
      <w:r>
        <w:rPr>
          <w:spacing w:val="-3"/>
        </w:rPr>
        <w:t xml:space="preserve"> </w:t>
      </w:r>
      <w:r>
        <w:t>end of December). A reporting template will be provided to the IPOs by the</w:t>
      </w:r>
      <w:r>
        <w:rPr>
          <w:spacing w:val="-20"/>
        </w:rPr>
        <w:t xml:space="preserve"> </w:t>
      </w:r>
      <w:r>
        <w:t>EUIPO.</w:t>
      </w:r>
    </w:p>
    <w:p w14:paraId="313491F1" w14:textId="77777777" w:rsidR="00D757DA" w:rsidRDefault="00D757DA">
      <w:pPr>
        <w:spacing w:line="276" w:lineRule="auto"/>
        <w:jc w:val="both"/>
        <w:sectPr w:rsidR="00D757DA">
          <w:pgSz w:w="11910" w:h="16840"/>
          <w:pgMar w:top="1420" w:right="0" w:bottom="1160" w:left="1320" w:header="0" w:footer="881" w:gutter="0"/>
          <w:cols w:space="708"/>
        </w:sectPr>
      </w:pPr>
    </w:p>
    <w:p w14:paraId="48CFA0DE" w14:textId="77777777" w:rsidR="00D757DA" w:rsidRDefault="0033254E">
      <w:pPr>
        <w:pStyle w:val="Zkladntext"/>
        <w:spacing w:before="81" w:line="276" w:lineRule="auto"/>
        <w:ind w:left="120" w:right="1438"/>
        <w:jc w:val="both"/>
      </w:pPr>
      <w:r>
        <w:lastRenderedPageBreak/>
        <w:t>The EUIPO will update and share the reporting of the communication activities on a quarterly basis through the Power BI on communication activities.</w:t>
      </w:r>
    </w:p>
    <w:p w14:paraId="605B4814" w14:textId="77777777" w:rsidR="00D757DA" w:rsidRDefault="00D757DA">
      <w:pPr>
        <w:pStyle w:val="Zkladntext"/>
        <w:spacing w:before="10"/>
        <w:rPr>
          <w:sz w:val="20"/>
        </w:rPr>
      </w:pPr>
    </w:p>
    <w:p w14:paraId="28E90288" w14:textId="77777777" w:rsidR="00D757DA" w:rsidRDefault="0033254E">
      <w:pPr>
        <w:pStyle w:val="Zkladntext"/>
        <w:ind w:left="120"/>
      </w:pPr>
      <w:r>
        <w:t>In line with Article 22 of this Cooperation Agreement, the key performance indicators achieved</w:t>
      </w:r>
    </w:p>
    <w:p w14:paraId="0E12D807" w14:textId="77777777" w:rsidR="00D757DA" w:rsidRDefault="0033254E">
      <w:pPr>
        <w:pStyle w:val="Zkladntext"/>
        <w:spacing w:before="40"/>
        <w:ind w:left="120"/>
      </w:pPr>
      <w:r>
        <w:t>(</w:t>
      </w:r>
      <w:proofErr w:type="spellStart"/>
      <w:r>
        <w:t>ʻ</w:t>
      </w:r>
      <w:r>
        <w:t>KPIsʻ</w:t>
      </w:r>
      <w:proofErr w:type="spellEnd"/>
      <w:r>
        <w:t>) will preferably be reported once the promotional activity has already taken place.</w:t>
      </w:r>
    </w:p>
    <w:p w14:paraId="03F63600" w14:textId="77777777" w:rsidR="00D757DA" w:rsidRDefault="00D757DA">
      <w:pPr>
        <w:pStyle w:val="Zkladntext"/>
        <w:spacing w:before="1"/>
        <w:rPr>
          <w:sz w:val="24"/>
        </w:rPr>
      </w:pPr>
    </w:p>
    <w:tbl>
      <w:tblPr>
        <w:tblStyle w:val="TableNormal"/>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77"/>
        <w:gridCol w:w="6037"/>
      </w:tblGrid>
      <w:tr w:rsidR="00D757DA" w14:paraId="54D2C639" w14:textId="77777777">
        <w:trPr>
          <w:trHeight w:val="529"/>
        </w:trPr>
        <w:tc>
          <w:tcPr>
            <w:tcW w:w="2977" w:type="dxa"/>
          </w:tcPr>
          <w:p w14:paraId="17824CFC" w14:textId="77777777" w:rsidR="00D757DA" w:rsidRDefault="0033254E">
            <w:pPr>
              <w:pStyle w:val="TableParagraph"/>
              <w:spacing w:line="253" w:lineRule="exact"/>
              <w:ind w:left="107"/>
              <w:rPr>
                <w:b/>
              </w:rPr>
            </w:pPr>
            <w:r>
              <w:rPr>
                <w:b/>
              </w:rPr>
              <w:t>Activity</w:t>
            </w:r>
          </w:p>
        </w:tc>
        <w:tc>
          <w:tcPr>
            <w:tcW w:w="6037" w:type="dxa"/>
          </w:tcPr>
          <w:p w14:paraId="7CD00EC0" w14:textId="77777777" w:rsidR="00D757DA" w:rsidRDefault="0033254E">
            <w:pPr>
              <w:pStyle w:val="TableParagraph"/>
              <w:spacing w:line="253" w:lineRule="exact"/>
              <w:ind w:left="107"/>
              <w:rPr>
                <w:b/>
              </w:rPr>
            </w:pPr>
            <w:r>
              <w:rPr>
                <w:b/>
              </w:rPr>
              <w:t>Indicators</w:t>
            </w:r>
          </w:p>
        </w:tc>
      </w:tr>
      <w:tr w:rsidR="00D757DA" w14:paraId="2611B675" w14:textId="77777777">
        <w:trPr>
          <w:trHeight w:val="1112"/>
        </w:trPr>
        <w:tc>
          <w:tcPr>
            <w:tcW w:w="2977" w:type="dxa"/>
          </w:tcPr>
          <w:p w14:paraId="350B56E5" w14:textId="77777777" w:rsidR="00D757DA" w:rsidRDefault="0033254E">
            <w:pPr>
              <w:pStyle w:val="TableParagraph"/>
              <w:spacing w:before="2" w:line="276" w:lineRule="auto"/>
              <w:ind w:left="107" w:right="87"/>
              <w:jc w:val="both"/>
            </w:pPr>
            <w:r>
              <w:t>IPR awareness campaigns for SMEs (marketing campaigns)</w:t>
            </w:r>
          </w:p>
        </w:tc>
        <w:tc>
          <w:tcPr>
            <w:tcW w:w="6037" w:type="dxa"/>
          </w:tcPr>
          <w:p w14:paraId="0F114F09" w14:textId="77777777" w:rsidR="00D757DA" w:rsidRDefault="0033254E">
            <w:pPr>
              <w:pStyle w:val="TableParagraph"/>
              <w:spacing w:before="2" w:line="276" w:lineRule="auto"/>
              <w:ind w:left="107" w:right="2319"/>
            </w:pPr>
            <w:r>
              <w:t>KPI1.2 Satisfaction about the activity KPI1.3 Volume of reach</w:t>
            </w:r>
          </w:p>
        </w:tc>
      </w:tr>
      <w:tr w:rsidR="00D757DA" w14:paraId="57C95930" w14:textId="77777777">
        <w:trPr>
          <w:trHeight w:val="1113"/>
        </w:trPr>
        <w:tc>
          <w:tcPr>
            <w:tcW w:w="2977" w:type="dxa"/>
          </w:tcPr>
          <w:p w14:paraId="10916419" w14:textId="77777777" w:rsidR="00D757DA" w:rsidRDefault="0033254E">
            <w:pPr>
              <w:pStyle w:val="TableParagraph"/>
              <w:spacing w:before="2" w:line="276" w:lineRule="auto"/>
              <w:ind w:left="107" w:right="88"/>
              <w:jc w:val="both"/>
            </w:pPr>
            <w:r>
              <w:t>Dissemination events for SMEs (events targeted to SMEs)</w:t>
            </w:r>
          </w:p>
        </w:tc>
        <w:tc>
          <w:tcPr>
            <w:tcW w:w="6037" w:type="dxa"/>
          </w:tcPr>
          <w:p w14:paraId="34B9D266" w14:textId="77777777" w:rsidR="00D757DA" w:rsidRDefault="0033254E">
            <w:pPr>
              <w:pStyle w:val="TableParagraph"/>
              <w:spacing w:before="2" w:line="276" w:lineRule="auto"/>
              <w:ind w:left="107" w:right="2099"/>
            </w:pPr>
            <w:r>
              <w:t>KPI 2.1 Number of participants (SMEs) KPI 2.2 Satisfaction about the activity</w:t>
            </w:r>
          </w:p>
        </w:tc>
      </w:tr>
      <w:tr w:rsidR="00D757DA" w14:paraId="0387DEC0" w14:textId="77777777">
        <w:trPr>
          <w:trHeight w:val="875"/>
        </w:trPr>
        <w:tc>
          <w:tcPr>
            <w:tcW w:w="2977" w:type="dxa"/>
          </w:tcPr>
          <w:p w14:paraId="626F60E0" w14:textId="77777777" w:rsidR="00D757DA" w:rsidRDefault="0033254E">
            <w:pPr>
              <w:pStyle w:val="TableParagraph"/>
              <w:spacing w:before="2"/>
              <w:ind w:left="107"/>
            </w:pPr>
            <w:r>
              <w:t>IPR training for SMEs</w:t>
            </w:r>
          </w:p>
        </w:tc>
        <w:tc>
          <w:tcPr>
            <w:tcW w:w="6037" w:type="dxa"/>
          </w:tcPr>
          <w:p w14:paraId="65E4546E" w14:textId="77777777" w:rsidR="00D757DA" w:rsidRDefault="0033254E">
            <w:pPr>
              <w:pStyle w:val="TableParagraph"/>
              <w:spacing w:before="2" w:line="276" w:lineRule="auto"/>
              <w:ind w:left="107" w:right="2099"/>
            </w:pPr>
            <w:r>
              <w:t>KPI 3.1 Number of participants (SMEs) KPI 3.2 Satisfaction about the activity</w:t>
            </w:r>
          </w:p>
        </w:tc>
      </w:tr>
    </w:tbl>
    <w:p w14:paraId="0E79169D" w14:textId="77777777" w:rsidR="00D757DA" w:rsidRDefault="00D757DA">
      <w:pPr>
        <w:pStyle w:val="Zkladntext"/>
        <w:spacing w:before="2"/>
        <w:rPr>
          <w:sz w:val="25"/>
        </w:rPr>
      </w:pPr>
    </w:p>
    <w:p w14:paraId="5665349D" w14:textId="77777777" w:rsidR="00D757DA" w:rsidRDefault="0033254E">
      <w:pPr>
        <w:pStyle w:val="Zkladntext"/>
        <w:spacing w:before="1" w:line="278" w:lineRule="auto"/>
        <w:ind w:left="120" w:right="1442"/>
        <w:jc w:val="both"/>
      </w:pPr>
      <w:r>
        <w:t xml:space="preserve">On a regular basis (every two months) the EUIPO will </w:t>
      </w:r>
      <w:proofErr w:type="spellStart"/>
      <w:r>
        <w:t>organise</w:t>
      </w:r>
      <w:proofErr w:type="spellEnd"/>
      <w:r>
        <w:t xml:space="preserve"> meetings to exchange information and best practices amongst IPOs.</w:t>
      </w:r>
    </w:p>
    <w:p w14:paraId="03A051FE" w14:textId="77777777" w:rsidR="00D757DA" w:rsidRDefault="0033254E">
      <w:pPr>
        <w:pStyle w:val="Nadpis2"/>
        <w:numPr>
          <w:ilvl w:val="0"/>
          <w:numId w:val="4"/>
        </w:numPr>
        <w:tabs>
          <w:tab w:val="left" w:pos="323"/>
        </w:tabs>
        <w:spacing w:before="155"/>
        <w:ind w:left="322" w:hanging="203"/>
      </w:pPr>
      <w:bookmarkStart w:id="69" w:name="7.Timing_of_the_action"/>
      <w:bookmarkEnd w:id="69"/>
      <w:r>
        <w:t>Timing of the</w:t>
      </w:r>
      <w:r>
        <w:rPr>
          <w:spacing w:val="-1"/>
        </w:rPr>
        <w:t xml:space="preserve"> </w:t>
      </w:r>
      <w:r>
        <w:t>action</w:t>
      </w:r>
    </w:p>
    <w:p w14:paraId="3876206A" w14:textId="77777777" w:rsidR="00D757DA" w:rsidRDefault="00D757DA">
      <w:pPr>
        <w:pStyle w:val="Zkladntext"/>
        <w:spacing w:before="4"/>
        <w:rPr>
          <w:b/>
          <w:sz w:val="24"/>
        </w:rPr>
      </w:pPr>
    </w:p>
    <w:p w14:paraId="26C6639E" w14:textId="77777777" w:rsidR="00D757DA" w:rsidRDefault="0033254E">
      <w:pPr>
        <w:pStyle w:val="Zkladntext"/>
        <w:spacing w:before="1"/>
        <w:ind w:left="120" w:right="1339"/>
      </w:pPr>
      <w:r>
        <w:t>The SME Fund call for proposals 2026 will be launched in February 2026 and will run until the exhaustion of funds.</w:t>
      </w:r>
    </w:p>
    <w:p w14:paraId="23E86776" w14:textId="77777777" w:rsidR="00D757DA" w:rsidRDefault="00D757DA">
      <w:pPr>
        <w:pStyle w:val="Zkladntext"/>
        <w:spacing w:before="1"/>
      </w:pPr>
    </w:p>
    <w:p w14:paraId="25D5E326" w14:textId="77777777" w:rsidR="00D757DA" w:rsidRDefault="0033254E">
      <w:pPr>
        <w:pStyle w:val="Zkladntext"/>
        <w:ind w:left="120" w:right="1339"/>
      </w:pPr>
      <w:r>
        <w:t>The daily, monthly or quarterly reporting and monitoring laid down in the sections above are agreed upon.</w:t>
      </w:r>
    </w:p>
    <w:p w14:paraId="1977F502" w14:textId="77777777" w:rsidR="00D757DA" w:rsidRDefault="00D757DA">
      <w:pPr>
        <w:pStyle w:val="Zkladntext"/>
      </w:pPr>
    </w:p>
    <w:p w14:paraId="29FF1D27" w14:textId="77777777" w:rsidR="00D757DA" w:rsidRDefault="0033254E">
      <w:pPr>
        <w:pStyle w:val="Zkladntext"/>
        <w:ind w:left="120"/>
      </w:pPr>
      <w:r>
        <w:t>Summary:</w:t>
      </w:r>
    </w:p>
    <w:p w14:paraId="3B0E2953" w14:textId="77777777" w:rsidR="00D757DA" w:rsidRDefault="00D757DA">
      <w:pPr>
        <w:pStyle w:val="Zkladntext"/>
      </w:pPr>
    </w:p>
    <w:p w14:paraId="29542BEC" w14:textId="77777777" w:rsidR="00D757DA" w:rsidRDefault="0033254E">
      <w:pPr>
        <w:pStyle w:val="Odstavecseseznamem"/>
        <w:numPr>
          <w:ilvl w:val="0"/>
          <w:numId w:val="13"/>
        </w:numPr>
        <w:tabs>
          <w:tab w:val="left" w:pos="687"/>
        </w:tabs>
        <w:ind w:right="1436"/>
      </w:pPr>
      <w:r>
        <w:t>The EUIPO will provide (through the Power BI online platform) updated information on the implementation of the action (statistics of requests received and processed) as well as the list of beneficiaries that have been awarded vouchers 1, 2, 3 and</w:t>
      </w:r>
      <w:r>
        <w:rPr>
          <w:spacing w:val="-11"/>
        </w:rPr>
        <w:t xml:space="preserve"> </w:t>
      </w:r>
      <w:r>
        <w:t>4.</w:t>
      </w:r>
    </w:p>
    <w:p w14:paraId="1D25BD40" w14:textId="77777777" w:rsidR="00D757DA" w:rsidRDefault="0033254E">
      <w:pPr>
        <w:pStyle w:val="Odstavecseseznamem"/>
        <w:numPr>
          <w:ilvl w:val="0"/>
          <w:numId w:val="13"/>
        </w:numPr>
        <w:tabs>
          <w:tab w:val="left" w:pos="687"/>
        </w:tabs>
        <w:spacing w:before="2" w:line="237" w:lineRule="auto"/>
        <w:ind w:right="1438"/>
      </w:pPr>
      <w:r>
        <w:t>On a quarterly basis, the IPOs will be requested to provide a list of communication activities</w:t>
      </w:r>
      <w:r>
        <w:rPr>
          <w:spacing w:val="-11"/>
        </w:rPr>
        <w:t xml:space="preserve"> </w:t>
      </w:r>
      <w:r>
        <w:t>carried</w:t>
      </w:r>
      <w:r>
        <w:rPr>
          <w:spacing w:val="-10"/>
        </w:rPr>
        <w:t xml:space="preserve"> </w:t>
      </w:r>
      <w:r>
        <w:t>out</w:t>
      </w:r>
      <w:r>
        <w:rPr>
          <w:spacing w:val="-8"/>
        </w:rPr>
        <w:t xml:space="preserve"> </w:t>
      </w:r>
      <w:r>
        <w:t>using</w:t>
      </w:r>
      <w:r>
        <w:rPr>
          <w:spacing w:val="-11"/>
        </w:rPr>
        <w:t xml:space="preserve"> </w:t>
      </w:r>
      <w:r>
        <w:t>the</w:t>
      </w:r>
      <w:r>
        <w:rPr>
          <w:spacing w:val="-13"/>
        </w:rPr>
        <w:t xml:space="preserve"> </w:t>
      </w:r>
      <w:r>
        <w:t>template</w:t>
      </w:r>
      <w:r>
        <w:rPr>
          <w:spacing w:val="-9"/>
        </w:rPr>
        <w:t xml:space="preserve"> </w:t>
      </w:r>
      <w:r>
        <w:t>provided</w:t>
      </w:r>
      <w:r>
        <w:rPr>
          <w:spacing w:val="-10"/>
        </w:rPr>
        <w:t xml:space="preserve"> </w:t>
      </w:r>
      <w:r>
        <w:t>by</w:t>
      </w:r>
      <w:r>
        <w:rPr>
          <w:spacing w:val="-10"/>
        </w:rPr>
        <w:t xml:space="preserve"> </w:t>
      </w:r>
      <w:r>
        <w:t>the</w:t>
      </w:r>
      <w:r>
        <w:rPr>
          <w:spacing w:val="-10"/>
        </w:rPr>
        <w:t xml:space="preserve"> </w:t>
      </w:r>
      <w:r>
        <w:t>EUIPO.</w:t>
      </w:r>
      <w:r>
        <w:rPr>
          <w:spacing w:val="-6"/>
        </w:rPr>
        <w:t xml:space="preserve"> </w:t>
      </w:r>
      <w:r>
        <w:t>The</w:t>
      </w:r>
      <w:r>
        <w:rPr>
          <w:spacing w:val="-11"/>
        </w:rPr>
        <w:t xml:space="preserve"> </w:t>
      </w:r>
      <w:r>
        <w:t>input</w:t>
      </w:r>
      <w:r>
        <w:rPr>
          <w:spacing w:val="-11"/>
        </w:rPr>
        <w:t xml:space="preserve"> </w:t>
      </w:r>
      <w:r>
        <w:t>received</w:t>
      </w:r>
      <w:r>
        <w:rPr>
          <w:spacing w:val="-10"/>
        </w:rPr>
        <w:t xml:space="preserve"> </w:t>
      </w:r>
      <w:r>
        <w:t>from the IPOs will be consolidated with the communication activities delivered by the EUIPO in a Power BI report. This report will be shared with the</w:t>
      </w:r>
      <w:r>
        <w:rPr>
          <w:spacing w:val="-12"/>
        </w:rPr>
        <w:t xml:space="preserve"> </w:t>
      </w:r>
      <w:r>
        <w:t>IPOs.</w:t>
      </w:r>
    </w:p>
    <w:p w14:paraId="4BDA02C9" w14:textId="77777777" w:rsidR="00D757DA" w:rsidRDefault="00D757DA">
      <w:pPr>
        <w:pStyle w:val="Zkladntext"/>
        <w:spacing w:before="4"/>
      </w:pPr>
    </w:p>
    <w:p w14:paraId="05A9BE40" w14:textId="77777777" w:rsidR="00D757DA" w:rsidRDefault="0033254E">
      <w:pPr>
        <w:pStyle w:val="Zkladntext"/>
        <w:spacing w:line="276" w:lineRule="auto"/>
        <w:ind w:left="120" w:right="1434"/>
        <w:jc w:val="both"/>
      </w:pPr>
      <w:r>
        <w:t xml:space="preserve">In addition, training sessions will be </w:t>
      </w:r>
      <w:proofErr w:type="spellStart"/>
      <w:r>
        <w:t>organised</w:t>
      </w:r>
      <w:proofErr w:type="spellEnd"/>
      <w:r>
        <w:t xml:space="preserve"> by the EUIPO for the experts designated by IPOs</w:t>
      </w:r>
      <w:r>
        <w:rPr>
          <w:spacing w:val="-13"/>
        </w:rPr>
        <w:t xml:space="preserve"> </w:t>
      </w:r>
      <w:r>
        <w:t>to</w:t>
      </w:r>
      <w:r>
        <w:rPr>
          <w:spacing w:val="-9"/>
        </w:rPr>
        <w:t xml:space="preserve"> </w:t>
      </w:r>
      <w:r>
        <w:t>deliver</w:t>
      </w:r>
      <w:r>
        <w:rPr>
          <w:spacing w:val="-13"/>
        </w:rPr>
        <w:t xml:space="preserve"> </w:t>
      </w:r>
      <w:r>
        <w:t>the</w:t>
      </w:r>
      <w:r>
        <w:rPr>
          <w:spacing w:val="-11"/>
        </w:rPr>
        <w:t xml:space="preserve"> </w:t>
      </w:r>
      <w:r>
        <w:t>IP</w:t>
      </w:r>
      <w:r>
        <w:rPr>
          <w:spacing w:val="-9"/>
        </w:rPr>
        <w:t xml:space="preserve"> </w:t>
      </w:r>
      <w:r>
        <w:t>Scan</w:t>
      </w:r>
      <w:r>
        <w:rPr>
          <w:spacing w:val="-9"/>
        </w:rPr>
        <w:t xml:space="preserve"> </w:t>
      </w:r>
      <w:r>
        <w:t>and/or</w:t>
      </w:r>
      <w:r>
        <w:rPr>
          <w:spacing w:val="-10"/>
        </w:rPr>
        <w:t xml:space="preserve"> </w:t>
      </w:r>
      <w:r>
        <w:t>IP</w:t>
      </w:r>
      <w:r>
        <w:rPr>
          <w:spacing w:val="-11"/>
        </w:rPr>
        <w:t xml:space="preserve"> </w:t>
      </w:r>
      <w:r>
        <w:t>Scan</w:t>
      </w:r>
      <w:r>
        <w:rPr>
          <w:spacing w:val="-12"/>
        </w:rPr>
        <w:t xml:space="preserve"> </w:t>
      </w:r>
      <w:r>
        <w:t>Enforcement</w:t>
      </w:r>
      <w:r>
        <w:rPr>
          <w:spacing w:val="-10"/>
        </w:rPr>
        <w:t xml:space="preserve"> </w:t>
      </w:r>
      <w:r>
        <w:t>services</w:t>
      </w:r>
      <w:r>
        <w:rPr>
          <w:spacing w:val="-10"/>
        </w:rPr>
        <w:t xml:space="preserve"> </w:t>
      </w:r>
      <w:r>
        <w:t>and</w:t>
      </w:r>
      <w:r>
        <w:rPr>
          <w:spacing w:val="-11"/>
        </w:rPr>
        <w:t xml:space="preserve"> </w:t>
      </w:r>
      <w:r>
        <w:t>regular</w:t>
      </w:r>
      <w:r>
        <w:rPr>
          <w:spacing w:val="-10"/>
        </w:rPr>
        <w:t xml:space="preserve"> </w:t>
      </w:r>
      <w:r>
        <w:t>meetings</w:t>
      </w:r>
      <w:r>
        <w:rPr>
          <w:spacing w:val="-11"/>
        </w:rPr>
        <w:t xml:space="preserve"> </w:t>
      </w:r>
      <w:r>
        <w:t>(every two months approximately) will take place to discuss and coordinate communication and promotion aspects linked to this</w:t>
      </w:r>
      <w:r>
        <w:rPr>
          <w:spacing w:val="-4"/>
        </w:rPr>
        <w:t xml:space="preserve"> </w:t>
      </w:r>
      <w:r>
        <w:t>initiative.</w:t>
      </w:r>
    </w:p>
    <w:p w14:paraId="5BF45FEF" w14:textId="77777777" w:rsidR="00D757DA" w:rsidRDefault="0033254E">
      <w:pPr>
        <w:pStyle w:val="Nadpis2"/>
        <w:numPr>
          <w:ilvl w:val="0"/>
          <w:numId w:val="4"/>
        </w:numPr>
        <w:tabs>
          <w:tab w:val="left" w:pos="390"/>
        </w:tabs>
        <w:spacing w:before="162"/>
        <w:ind w:left="389" w:hanging="270"/>
      </w:pPr>
      <w:bookmarkStart w:id="70" w:name="8._Data_Protection"/>
      <w:bookmarkEnd w:id="70"/>
      <w:r>
        <w:t>Data</w:t>
      </w:r>
      <w:r>
        <w:rPr>
          <w:spacing w:val="-3"/>
        </w:rPr>
        <w:t xml:space="preserve"> </w:t>
      </w:r>
      <w:r>
        <w:t>Protection</w:t>
      </w:r>
    </w:p>
    <w:p w14:paraId="491146FD" w14:textId="77777777" w:rsidR="00D757DA" w:rsidRDefault="00D757DA">
      <w:pPr>
        <w:pStyle w:val="Zkladntext"/>
        <w:spacing w:before="4"/>
        <w:rPr>
          <w:b/>
          <w:sz w:val="24"/>
        </w:rPr>
      </w:pPr>
    </w:p>
    <w:p w14:paraId="36DD38B8" w14:textId="77777777" w:rsidR="00D757DA" w:rsidRDefault="0033254E">
      <w:pPr>
        <w:pStyle w:val="Zkladntext"/>
        <w:spacing w:line="276" w:lineRule="auto"/>
        <w:ind w:left="120" w:right="1433"/>
        <w:jc w:val="both"/>
      </w:pPr>
      <w:r>
        <w:t>The EUIPO and the IPOs will take appropriate measures to ensure compliance with the data protection regulation applicable to them (Regulation (EU) 2018/1725 for the EUIPO and Regulation (EU) 2016/679 for the IPOs). The EUIPO and the IPOs undertake to act as sole</w:t>
      </w:r>
    </w:p>
    <w:p w14:paraId="5FD5B865" w14:textId="77777777" w:rsidR="00D757DA" w:rsidRDefault="00D757DA">
      <w:pPr>
        <w:spacing w:line="276" w:lineRule="auto"/>
        <w:jc w:val="both"/>
        <w:sectPr w:rsidR="00D757DA">
          <w:pgSz w:w="11910" w:h="16840"/>
          <w:pgMar w:top="1340" w:right="0" w:bottom="1160" w:left="1320" w:header="0" w:footer="881" w:gutter="0"/>
          <w:cols w:space="708"/>
        </w:sectPr>
      </w:pPr>
    </w:p>
    <w:p w14:paraId="250FD475" w14:textId="77777777" w:rsidR="00D757DA" w:rsidRDefault="0033254E">
      <w:pPr>
        <w:pStyle w:val="Zkladntext"/>
        <w:spacing w:before="81" w:line="276" w:lineRule="auto"/>
        <w:ind w:left="120" w:right="1438"/>
        <w:jc w:val="both"/>
      </w:pPr>
      <w:r>
        <w:lastRenderedPageBreak/>
        <w:t>controllers within the meaning of Regulation (EU) 2018/1725 or Regulation (EU) 2016/679, respectively,</w:t>
      </w:r>
      <w:r>
        <w:rPr>
          <w:spacing w:val="-8"/>
        </w:rPr>
        <w:t xml:space="preserve"> </w:t>
      </w:r>
      <w:r>
        <w:t>as</w:t>
      </w:r>
      <w:r>
        <w:rPr>
          <w:spacing w:val="-12"/>
        </w:rPr>
        <w:t xml:space="preserve"> </w:t>
      </w:r>
      <w:r>
        <w:t>regards</w:t>
      </w:r>
      <w:r>
        <w:rPr>
          <w:spacing w:val="-11"/>
        </w:rPr>
        <w:t xml:space="preserve"> </w:t>
      </w:r>
      <w:r>
        <w:t>the</w:t>
      </w:r>
      <w:r>
        <w:rPr>
          <w:spacing w:val="-10"/>
        </w:rPr>
        <w:t xml:space="preserve"> </w:t>
      </w:r>
      <w:r>
        <w:t>personal</w:t>
      </w:r>
      <w:r>
        <w:rPr>
          <w:spacing w:val="-11"/>
        </w:rPr>
        <w:t xml:space="preserve"> </w:t>
      </w:r>
      <w:r>
        <w:t>data</w:t>
      </w:r>
      <w:r>
        <w:rPr>
          <w:spacing w:val="-11"/>
        </w:rPr>
        <w:t xml:space="preserve"> </w:t>
      </w:r>
      <w:r>
        <w:t>processed</w:t>
      </w:r>
      <w:r>
        <w:rPr>
          <w:spacing w:val="-10"/>
        </w:rPr>
        <w:t xml:space="preserve"> </w:t>
      </w:r>
      <w:r>
        <w:t>by</w:t>
      </w:r>
      <w:r>
        <w:rPr>
          <w:spacing w:val="-15"/>
        </w:rPr>
        <w:t xml:space="preserve"> </w:t>
      </w:r>
      <w:r>
        <w:t>them</w:t>
      </w:r>
      <w:r>
        <w:rPr>
          <w:spacing w:val="-10"/>
        </w:rPr>
        <w:t xml:space="preserve"> </w:t>
      </w:r>
      <w:r>
        <w:t>in</w:t>
      </w:r>
      <w:r>
        <w:rPr>
          <w:spacing w:val="-12"/>
        </w:rPr>
        <w:t xml:space="preserve"> </w:t>
      </w:r>
      <w:r>
        <w:t>the</w:t>
      </w:r>
      <w:r>
        <w:rPr>
          <w:spacing w:val="-12"/>
        </w:rPr>
        <w:t xml:space="preserve"> </w:t>
      </w:r>
      <w:r>
        <w:t>context</w:t>
      </w:r>
      <w:r>
        <w:rPr>
          <w:spacing w:val="-11"/>
        </w:rPr>
        <w:t xml:space="preserve"> </w:t>
      </w:r>
      <w:r>
        <w:t>of</w:t>
      </w:r>
      <w:r>
        <w:rPr>
          <w:spacing w:val="-13"/>
        </w:rPr>
        <w:t xml:space="preserve"> </w:t>
      </w:r>
      <w:r>
        <w:t>the</w:t>
      </w:r>
      <w:r>
        <w:rPr>
          <w:spacing w:val="-12"/>
        </w:rPr>
        <w:t xml:space="preserve"> </w:t>
      </w:r>
      <w:r>
        <w:t>SME</w:t>
      </w:r>
      <w:r>
        <w:rPr>
          <w:spacing w:val="-13"/>
        </w:rPr>
        <w:t xml:space="preserve"> </w:t>
      </w:r>
      <w:r>
        <w:t>Fund.</w:t>
      </w:r>
    </w:p>
    <w:p w14:paraId="6B565735" w14:textId="77777777" w:rsidR="00D757DA" w:rsidRDefault="00D757DA">
      <w:pPr>
        <w:pStyle w:val="Zkladntext"/>
        <w:spacing w:before="5"/>
        <w:rPr>
          <w:sz w:val="25"/>
        </w:rPr>
      </w:pPr>
    </w:p>
    <w:p w14:paraId="6A5C69C3" w14:textId="77777777" w:rsidR="00D757DA" w:rsidRDefault="0033254E">
      <w:pPr>
        <w:pStyle w:val="Zkladntext"/>
        <w:spacing w:line="276" w:lineRule="auto"/>
        <w:ind w:left="120" w:right="1432"/>
        <w:jc w:val="both"/>
      </w:pPr>
      <w:r>
        <w:t>The collection and exchange of personal data as described in this Annex will be carried out solely</w:t>
      </w:r>
      <w:r>
        <w:rPr>
          <w:spacing w:val="-4"/>
        </w:rPr>
        <w:t xml:space="preserve"> </w:t>
      </w:r>
      <w:r>
        <w:t>for</w:t>
      </w:r>
      <w:r>
        <w:rPr>
          <w:spacing w:val="-6"/>
        </w:rPr>
        <w:t xml:space="preserve"> </w:t>
      </w:r>
      <w:r>
        <w:t>the</w:t>
      </w:r>
      <w:r>
        <w:rPr>
          <w:spacing w:val="-7"/>
        </w:rPr>
        <w:t xml:space="preserve"> </w:t>
      </w:r>
      <w:r>
        <w:t>purpose</w:t>
      </w:r>
      <w:r>
        <w:rPr>
          <w:spacing w:val="-6"/>
        </w:rPr>
        <w:t xml:space="preserve"> </w:t>
      </w:r>
      <w:r>
        <w:t>of</w:t>
      </w:r>
      <w:r>
        <w:rPr>
          <w:spacing w:val="-7"/>
        </w:rPr>
        <w:t xml:space="preserve"> </w:t>
      </w:r>
      <w:r>
        <w:t>the</w:t>
      </w:r>
      <w:r>
        <w:rPr>
          <w:spacing w:val="-4"/>
        </w:rPr>
        <w:t xml:space="preserve"> </w:t>
      </w:r>
      <w:r>
        <w:t>implementation</w:t>
      </w:r>
      <w:r>
        <w:rPr>
          <w:spacing w:val="-4"/>
        </w:rPr>
        <w:t xml:space="preserve"> </w:t>
      </w:r>
      <w:r>
        <w:t>of</w:t>
      </w:r>
      <w:r>
        <w:rPr>
          <w:spacing w:val="-5"/>
        </w:rPr>
        <w:t xml:space="preserve"> </w:t>
      </w:r>
      <w:r>
        <w:t>the</w:t>
      </w:r>
      <w:r>
        <w:rPr>
          <w:spacing w:val="-4"/>
        </w:rPr>
        <w:t xml:space="preserve"> </w:t>
      </w:r>
      <w:r>
        <w:t>SME</w:t>
      </w:r>
      <w:r>
        <w:rPr>
          <w:spacing w:val="-3"/>
        </w:rPr>
        <w:t xml:space="preserve"> </w:t>
      </w:r>
      <w:r>
        <w:t>Fund.</w:t>
      </w:r>
      <w:r>
        <w:rPr>
          <w:spacing w:val="-3"/>
        </w:rPr>
        <w:t xml:space="preserve"> </w:t>
      </w:r>
      <w:r>
        <w:t>This</w:t>
      </w:r>
      <w:r>
        <w:rPr>
          <w:spacing w:val="-6"/>
        </w:rPr>
        <w:t xml:space="preserve"> </w:t>
      </w:r>
      <w:r>
        <w:t>personal</w:t>
      </w:r>
      <w:r>
        <w:rPr>
          <w:spacing w:val="-5"/>
        </w:rPr>
        <w:t xml:space="preserve"> </w:t>
      </w:r>
      <w:r>
        <w:t>data</w:t>
      </w:r>
      <w:r>
        <w:rPr>
          <w:spacing w:val="-6"/>
        </w:rPr>
        <w:t xml:space="preserve"> </w:t>
      </w:r>
      <w:r>
        <w:t>may</w:t>
      </w:r>
      <w:r>
        <w:rPr>
          <w:spacing w:val="-4"/>
        </w:rPr>
        <w:t xml:space="preserve"> </w:t>
      </w:r>
      <w:r>
        <w:t>not</w:t>
      </w:r>
      <w:r>
        <w:rPr>
          <w:spacing w:val="-2"/>
        </w:rPr>
        <w:t xml:space="preserve"> </w:t>
      </w:r>
      <w:r>
        <w:t>be processed</w:t>
      </w:r>
      <w:r>
        <w:rPr>
          <w:spacing w:val="-13"/>
        </w:rPr>
        <w:t xml:space="preserve"> </w:t>
      </w:r>
      <w:r>
        <w:t>for</w:t>
      </w:r>
      <w:r>
        <w:rPr>
          <w:spacing w:val="-8"/>
        </w:rPr>
        <w:t xml:space="preserve"> </w:t>
      </w:r>
      <w:r>
        <w:t>any</w:t>
      </w:r>
      <w:r>
        <w:rPr>
          <w:spacing w:val="-10"/>
        </w:rPr>
        <w:t xml:space="preserve"> </w:t>
      </w:r>
      <w:r>
        <w:t>other</w:t>
      </w:r>
      <w:r>
        <w:rPr>
          <w:spacing w:val="-10"/>
        </w:rPr>
        <w:t xml:space="preserve"> </w:t>
      </w:r>
      <w:r>
        <w:t>purpose.</w:t>
      </w:r>
      <w:r>
        <w:rPr>
          <w:spacing w:val="-10"/>
        </w:rPr>
        <w:t xml:space="preserve"> </w:t>
      </w:r>
      <w:r>
        <w:t>In</w:t>
      </w:r>
      <w:r>
        <w:rPr>
          <w:spacing w:val="-10"/>
        </w:rPr>
        <w:t xml:space="preserve"> </w:t>
      </w:r>
      <w:r>
        <w:t>particular,</w:t>
      </w:r>
      <w:r>
        <w:rPr>
          <w:spacing w:val="-7"/>
        </w:rPr>
        <w:t xml:space="preserve"> </w:t>
      </w:r>
      <w:r>
        <w:t>the</w:t>
      </w:r>
      <w:r>
        <w:rPr>
          <w:spacing w:val="-9"/>
        </w:rPr>
        <w:t xml:space="preserve"> </w:t>
      </w:r>
      <w:r>
        <w:t>lists</w:t>
      </w:r>
      <w:r>
        <w:rPr>
          <w:spacing w:val="-9"/>
        </w:rPr>
        <w:t xml:space="preserve"> </w:t>
      </w:r>
      <w:r>
        <w:t>of</w:t>
      </w:r>
      <w:r>
        <w:rPr>
          <w:spacing w:val="-10"/>
        </w:rPr>
        <w:t xml:space="preserve"> </w:t>
      </w:r>
      <w:r>
        <w:t>the</w:t>
      </w:r>
      <w:r>
        <w:rPr>
          <w:spacing w:val="-9"/>
        </w:rPr>
        <w:t xml:space="preserve"> </w:t>
      </w:r>
      <w:r>
        <w:t>SME</w:t>
      </w:r>
      <w:r>
        <w:rPr>
          <w:spacing w:val="-10"/>
        </w:rPr>
        <w:t xml:space="preserve"> </w:t>
      </w:r>
      <w:r>
        <w:t>Fund</w:t>
      </w:r>
      <w:r>
        <w:rPr>
          <w:spacing w:val="-9"/>
        </w:rPr>
        <w:t xml:space="preserve"> </w:t>
      </w:r>
      <w:r>
        <w:t>beneficiaries</w:t>
      </w:r>
      <w:r>
        <w:rPr>
          <w:spacing w:val="-9"/>
        </w:rPr>
        <w:t xml:space="preserve"> </w:t>
      </w:r>
      <w:r>
        <w:t>that</w:t>
      </w:r>
      <w:r>
        <w:rPr>
          <w:spacing w:val="-7"/>
        </w:rPr>
        <w:t xml:space="preserve"> </w:t>
      </w:r>
      <w:r>
        <w:t>are provided by the EUIPO to the IPOs may not be processed by the IPOs for any purpose not related to the SME</w:t>
      </w:r>
      <w:r>
        <w:rPr>
          <w:spacing w:val="-5"/>
        </w:rPr>
        <w:t xml:space="preserve"> </w:t>
      </w:r>
      <w:r>
        <w:t>Fund.</w:t>
      </w:r>
    </w:p>
    <w:p w14:paraId="7652520D" w14:textId="77777777" w:rsidR="00D757DA" w:rsidRDefault="00D757DA">
      <w:pPr>
        <w:pStyle w:val="Zkladntext"/>
        <w:spacing w:before="3"/>
        <w:rPr>
          <w:sz w:val="25"/>
        </w:rPr>
      </w:pPr>
    </w:p>
    <w:p w14:paraId="4F22B25C" w14:textId="77777777" w:rsidR="00D757DA" w:rsidRDefault="0033254E">
      <w:pPr>
        <w:pStyle w:val="Zkladntext"/>
        <w:spacing w:line="276" w:lineRule="auto"/>
        <w:ind w:left="120" w:right="1434"/>
        <w:jc w:val="both"/>
      </w:pPr>
      <w:r>
        <w:t xml:space="preserve">The EUIPO and the IPOs </w:t>
      </w:r>
      <w:proofErr w:type="spellStart"/>
      <w:r>
        <w:t>authorise</w:t>
      </w:r>
      <w:proofErr w:type="spellEnd"/>
      <w:r>
        <w:t xml:space="preserve"> the sharing of personal data of their contact points with Ukrainian-based SMEs, only if it is limited to that strictly necessary for the management and execution of the SME Fund and is carried out in accordance with the relevant provisions of Regulation (EU) 2018/1725 or Regulation (EU) 2016/679, respectively.</w:t>
      </w:r>
    </w:p>
    <w:p w14:paraId="01215429" w14:textId="77777777" w:rsidR="00D757DA" w:rsidRDefault="00D757DA">
      <w:pPr>
        <w:pStyle w:val="Zkladntext"/>
        <w:spacing w:before="3"/>
        <w:rPr>
          <w:sz w:val="25"/>
        </w:rPr>
      </w:pPr>
    </w:p>
    <w:p w14:paraId="76A6491C" w14:textId="77777777" w:rsidR="00D757DA" w:rsidRDefault="0033254E">
      <w:pPr>
        <w:pStyle w:val="Zkladntext"/>
        <w:spacing w:before="1" w:line="276" w:lineRule="auto"/>
        <w:ind w:left="120" w:right="1438"/>
        <w:jc w:val="both"/>
      </w:pPr>
      <w:r>
        <w:t>The</w:t>
      </w:r>
      <w:r>
        <w:rPr>
          <w:spacing w:val="-12"/>
        </w:rPr>
        <w:t xml:space="preserve"> </w:t>
      </w:r>
      <w:r>
        <w:t>EUIPO</w:t>
      </w:r>
      <w:r>
        <w:rPr>
          <w:spacing w:val="-12"/>
        </w:rPr>
        <w:t xml:space="preserve"> </w:t>
      </w:r>
      <w:r>
        <w:t>and</w:t>
      </w:r>
      <w:r>
        <w:rPr>
          <w:spacing w:val="-15"/>
        </w:rPr>
        <w:t xml:space="preserve"> </w:t>
      </w:r>
      <w:r>
        <w:t>the</w:t>
      </w:r>
      <w:r>
        <w:rPr>
          <w:spacing w:val="-16"/>
        </w:rPr>
        <w:t xml:space="preserve"> </w:t>
      </w:r>
      <w:r>
        <w:t>IPOs</w:t>
      </w:r>
      <w:r>
        <w:rPr>
          <w:spacing w:val="-13"/>
        </w:rPr>
        <w:t xml:space="preserve"> </w:t>
      </w:r>
      <w:r>
        <w:t>will</w:t>
      </w:r>
      <w:r>
        <w:rPr>
          <w:spacing w:val="-13"/>
        </w:rPr>
        <w:t xml:space="preserve"> </w:t>
      </w:r>
      <w:r>
        <w:t>cooperate</w:t>
      </w:r>
      <w:r>
        <w:rPr>
          <w:spacing w:val="-14"/>
        </w:rPr>
        <w:t xml:space="preserve"> </w:t>
      </w:r>
      <w:r>
        <w:t>and,</w:t>
      </w:r>
      <w:r>
        <w:rPr>
          <w:spacing w:val="-12"/>
        </w:rPr>
        <w:t xml:space="preserve"> </w:t>
      </w:r>
      <w:r>
        <w:t>when</w:t>
      </w:r>
      <w:r>
        <w:rPr>
          <w:spacing w:val="-15"/>
        </w:rPr>
        <w:t xml:space="preserve"> </w:t>
      </w:r>
      <w:r>
        <w:t>so</w:t>
      </w:r>
      <w:r>
        <w:rPr>
          <w:spacing w:val="-14"/>
        </w:rPr>
        <w:t xml:space="preserve"> </w:t>
      </w:r>
      <w:r>
        <w:t>requested,</w:t>
      </w:r>
      <w:r>
        <w:rPr>
          <w:spacing w:val="-12"/>
        </w:rPr>
        <w:t xml:space="preserve"> </w:t>
      </w:r>
      <w:r>
        <w:t>provide</w:t>
      </w:r>
      <w:r>
        <w:rPr>
          <w:spacing w:val="-15"/>
        </w:rPr>
        <w:t xml:space="preserve"> </w:t>
      </w:r>
      <w:r>
        <w:t>each</w:t>
      </w:r>
      <w:r>
        <w:rPr>
          <w:spacing w:val="-11"/>
        </w:rPr>
        <w:t xml:space="preserve"> </w:t>
      </w:r>
      <w:r>
        <w:t>other</w:t>
      </w:r>
      <w:r>
        <w:rPr>
          <w:spacing w:val="-13"/>
        </w:rPr>
        <w:t xml:space="preserve"> </w:t>
      </w:r>
      <w:r>
        <w:t>with</w:t>
      </w:r>
      <w:r>
        <w:rPr>
          <w:spacing w:val="-14"/>
        </w:rPr>
        <w:t xml:space="preserve"> </w:t>
      </w:r>
      <w:r>
        <w:t>swift and efficient assistance in handling any requests from data subjects. All requests from the data subjects will be replied to without undue delay, as set out in the relevant</w:t>
      </w:r>
      <w:r>
        <w:rPr>
          <w:spacing w:val="-30"/>
        </w:rPr>
        <w:t xml:space="preserve"> </w:t>
      </w:r>
      <w:r>
        <w:t>regulation.</w:t>
      </w:r>
    </w:p>
    <w:p w14:paraId="644FBB6B" w14:textId="77777777" w:rsidR="00D757DA" w:rsidRDefault="00D757DA">
      <w:pPr>
        <w:pStyle w:val="Zkladntext"/>
        <w:spacing w:before="3"/>
        <w:rPr>
          <w:sz w:val="25"/>
        </w:rPr>
      </w:pPr>
    </w:p>
    <w:p w14:paraId="61D5F42D" w14:textId="77777777" w:rsidR="00D757DA" w:rsidRDefault="0033254E">
      <w:pPr>
        <w:pStyle w:val="Zkladntext"/>
        <w:spacing w:line="276" w:lineRule="auto"/>
        <w:ind w:left="120" w:right="1435"/>
        <w:jc w:val="both"/>
      </w:pPr>
      <w:r>
        <w:t>The EUIPO and the IPOs will also cooperate in case of any security incidents, including personal</w:t>
      </w:r>
      <w:r>
        <w:rPr>
          <w:spacing w:val="-11"/>
        </w:rPr>
        <w:t xml:space="preserve"> </w:t>
      </w:r>
      <w:r>
        <w:t>data</w:t>
      </w:r>
      <w:r>
        <w:rPr>
          <w:spacing w:val="-10"/>
        </w:rPr>
        <w:t xml:space="preserve"> </w:t>
      </w:r>
      <w:r>
        <w:t>breaches.</w:t>
      </w:r>
      <w:r>
        <w:rPr>
          <w:spacing w:val="-12"/>
        </w:rPr>
        <w:t xml:space="preserve"> </w:t>
      </w:r>
      <w:r>
        <w:t>Having</w:t>
      </w:r>
      <w:r>
        <w:rPr>
          <w:spacing w:val="-10"/>
        </w:rPr>
        <w:t xml:space="preserve"> </w:t>
      </w:r>
      <w:r>
        <w:t>said</w:t>
      </w:r>
      <w:r>
        <w:rPr>
          <w:spacing w:val="-12"/>
        </w:rPr>
        <w:t xml:space="preserve"> </w:t>
      </w:r>
      <w:r>
        <w:t>that,</w:t>
      </w:r>
      <w:r>
        <w:rPr>
          <w:spacing w:val="-8"/>
        </w:rPr>
        <w:t xml:space="preserve"> </w:t>
      </w:r>
      <w:r>
        <w:t>each</w:t>
      </w:r>
      <w:r>
        <w:rPr>
          <w:spacing w:val="-8"/>
        </w:rPr>
        <w:t xml:space="preserve"> </w:t>
      </w:r>
      <w:r>
        <w:t>Party</w:t>
      </w:r>
      <w:r>
        <w:rPr>
          <w:spacing w:val="-12"/>
        </w:rPr>
        <w:t xml:space="preserve"> </w:t>
      </w:r>
      <w:r>
        <w:t>is</w:t>
      </w:r>
      <w:r>
        <w:rPr>
          <w:spacing w:val="-12"/>
        </w:rPr>
        <w:t xml:space="preserve"> </w:t>
      </w:r>
      <w:r>
        <w:t>only</w:t>
      </w:r>
      <w:r>
        <w:rPr>
          <w:spacing w:val="-11"/>
        </w:rPr>
        <w:t xml:space="preserve"> </w:t>
      </w:r>
      <w:r>
        <w:t>responsible</w:t>
      </w:r>
      <w:r>
        <w:rPr>
          <w:spacing w:val="-12"/>
        </w:rPr>
        <w:t xml:space="preserve"> </w:t>
      </w:r>
      <w:r>
        <w:t>for</w:t>
      </w:r>
      <w:r>
        <w:rPr>
          <w:spacing w:val="-10"/>
        </w:rPr>
        <w:t xml:space="preserve"> </w:t>
      </w:r>
      <w:r>
        <w:t>their</w:t>
      </w:r>
      <w:r>
        <w:rPr>
          <w:spacing w:val="-11"/>
        </w:rPr>
        <w:t xml:space="preserve"> </w:t>
      </w:r>
      <w:r>
        <w:t>own</w:t>
      </w:r>
      <w:r>
        <w:rPr>
          <w:spacing w:val="-10"/>
        </w:rPr>
        <w:t xml:space="preserve"> </w:t>
      </w:r>
      <w:r>
        <w:t>security incidents (including personal data breaches), which will be handled in accordance with the relevant</w:t>
      </w:r>
      <w:r>
        <w:rPr>
          <w:spacing w:val="-2"/>
        </w:rPr>
        <w:t xml:space="preserve"> </w:t>
      </w:r>
      <w:r>
        <w:t>regulation.</w:t>
      </w:r>
    </w:p>
    <w:p w14:paraId="6805494C" w14:textId="77777777" w:rsidR="00D757DA" w:rsidRDefault="00D757DA">
      <w:pPr>
        <w:pStyle w:val="Zkladntext"/>
        <w:spacing w:before="3"/>
        <w:rPr>
          <w:sz w:val="25"/>
        </w:rPr>
      </w:pPr>
    </w:p>
    <w:p w14:paraId="2DD9D87B" w14:textId="77777777" w:rsidR="00D757DA" w:rsidRDefault="0033254E">
      <w:pPr>
        <w:pStyle w:val="Zkladntext"/>
        <w:spacing w:before="1" w:line="276" w:lineRule="auto"/>
        <w:ind w:left="120" w:right="1433"/>
        <w:jc w:val="both"/>
      </w:pPr>
      <w:r>
        <w:t xml:space="preserve">The EUIPO and the IPOs will implement appropriate technical and </w:t>
      </w:r>
      <w:proofErr w:type="spellStart"/>
      <w:r>
        <w:t>organisational</w:t>
      </w:r>
      <w:proofErr w:type="spellEnd"/>
      <w:r>
        <w:t xml:space="preserve"> measures </w:t>
      </w:r>
      <w:proofErr w:type="gramStart"/>
      <w:r>
        <w:t>in order to</w:t>
      </w:r>
      <w:proofErr w:type="gramEnd"/>
      <w:r>
        <w:t xml:space="preserve"> ensure and protect the security, integrity and confidentiality of the personal data processed in the context of the SME Fund, as well as protect the data against any </w:t>
      </w:r>
      <w:proofErr w:type="spellStart"/>
      <w:r>
        <w:t>unauthorised</w:t>
      </w:r>
      <w:proofErr w:type="spellEnd"/>
      <w:r>
        <w:t xml:space="preserve"> or unlawful processing, access, loss, use, disclosure or acquisition.</w:t>
      </w:r>
    </w:p>
    <w:p w14:paraId="1952A16E" w14:textId="77777777" w:rsidR="00D757DA" w:rsidRDefault="00D757DA">
      <w:pPr>
        <w:pStyle w:val="Zkladntext"/>
        <w:spacing w:before="3"/>
        <w:rPr>
          <w:sz w:val="31"/>
        </w:rPr>
      </w:pPr>
    </w:p>
    <w:p w14:paraId="1207BC06" w14:textId="77777777" w:rsidR="00D757DA" w:rsidRDefault="0033254E">
      <w:pPr>
        <w:pStyle w:val="Nadpis1"/>
        <w:ind w:right="1438"/>
      </w:pPr>
      <w:bookmarkStart w:id="71" w:name="PRACTICAL_GUIDE_FOR_IMPLEMENTING_THE_IP_"/>
      <w:bookmarkEnd w:id="71"/>
      <w:r>
        <w:t>PRACTICAL GUIDE FOR IMPLEMENTING THE IP SCAN SERVICE</w:t>
      </w:r>
    </w:p>
    <w:p w14:paraId="4DC4FB76" w14:textId="77777777" w:rsidR="00D757DA" w:rsidRDefault="00D757DA">
      <w:pPr>
        <w:pStyle w:val="Zkladntext"/>
        <w:spacing w:before="2"/>
        <w:rPr>
          <w:b/>
          <w:sz w:val="46"/>
        </w:rPr>
      </w:pPr>
    </w:p>
    <w:p w14:paraId="18EFAA12" w14:textId="77777777" w:rsidR="00D757DA" w:rsidRDefault="0033254E">
      <w:pPr>
        <w:pStyle w:val="Zkladntext"/>
        <w:spacing w:line="276" w:lineRule="auto"/>
        <w:ind w:left="120" w:right="1438"/>
        <w:jc w:val="both"/>
      </w:pPr>
      <w:r>
        <w:t>The Practical Guide for implementing the IP Scan service is intended for applicants for the IP Scan service, for IP Scan service providers, and for the Industrial Property Office.</w:t>
      </w:r>
    </w:p>
    <w:p w14:paraId="3D5C43F7" w14:textId="77777777" w:rsidR="00D757DA" w:rsidRDefault="00D757DA">
      <w:pPr>
        <w:pStyle w:val="Zkladntext"/>
        <w:spacing w:before="2"/>
        <w:rPr>
          <w:sz w:val="25"/>
        </w:rPr>
      </w:pPr>
    </w:p>
    <w:p w14:paraId="17A822E4" w14:textId="77777777" w:rsidR="00D757DA" w:rsidRDefault="0033254E">
      <w:pPr>
        <w:pStyle w:val="Zkladntext"/>
        <w:spacing w:before="1" w:line="276" w:lineRule="auto"/>
        <w:ind w:left="120" w:right="1437"/>
      </w:pPr>
      <w:r>
        <w:t>The Practical Guide introduces the basic procedures for implementing the IP Scan service. Its purpose is to help users better understand and provide guidance to the public on key procedures</w:t>
      </w:r>
      <w:r>
        <w:rPr>
          <w:spacing w:val="-10"/>
        </w:rPr>
        <w:t xml:space="preserve"> </w:t>
      </w:r>
      <w:r>
        <w:t>for</w:t>
      </w:r>
      <w:r>
        <w:rPr>
          <w:spacing w:val="-6"/>
        </w:rPr>
        <w:t xml:space="preserve"> </w:t>
      </w:r>
      <w:r>
        <w:t>performing</w:t>
      </w:r>
      <w:r>
        <w:rPr>
          <w:spacing w:val="-6"/>
        </w:rPr>
        <w:t xml:space="preserve"> </w:t>
      </w:r>
      <w:r>
        <w:t>the</w:t>
      </w:r>
      <w:r>
        <w:rPr>
          <w:spacing w:val="-10"/>
        </w:rPr>
        <w:t xml:space="preserve"> </w:t>
      </w:r>
      <w:r>
        <w:t>IP</w:t>
      </w:r>
      <w:r>
        <w:rPr>
          <w:spacing w:val="-7"/>
        </w:rPr>
        <w:t xml:space="preserve"> </w:t>
      </w:r>
      <w:r>
        <w:t>Scan</w:t>
      </w:r>
      <w:r>
        <w:rPr>
          <w:spacing w:val="-8"/>
        </w:rPr>
        <w:t xml:space="preserve"> </w:t>
      </w:r>
      <w:r>
        <w:t>service,</w:t>
      </w:r>
      <w:r>
        <w:rPr>
          <w:spacing w:val="-8"/>
        </w:rPr>
        <w:t xml:space="preserve"> </w:t>
      </w:r>
      <w:r>
        <w:t>as</w:t>
      </w:r>
      <w:r>
        <w:rPr>
          <w:spacing w:val="-10"/>
        </w:rPr>
        <w:t xml:space="preserve"> </w:t>
      </w:r>
      <w:r>
        <w:t>set</w:t>
      </w:r>
      <w:r>
        <w:rPr>
          <w:spacing w:val="-5"/>
        </w:rPr>
        <w:t xml:space="preserve"> </w:t>
      </w:r>
      <w:r>
        <w:t>out</w:t>
      </w:r>
      <w:r>
        <w:rPr>
          <w:spacing w:val="-6"/>
        </w:rPr>
        <w:t xml:space="preserve"> </w:t>
      </w:r>
      <w:r>
        <w:t>in</w:t>
      </w:r>
      <w:r>
        <w:rPr>
          <w:spacing w:val="-6"/>
        </w:rPr>
        <w:t xml:space="preserve"> </w:t>
      </w:r>
      <w:r>
        <w:t>legal</w:t>
      </w:r>
      <w:r>
        <w:rPr>
          <w:spacing w:val="-8"/>
        </w:rPr>
        <w:t xml:space="preserve"> </w:t>
      </w:r>
      <w:r>
        <w:t>regulations</w:t>
      </w:r>
      <w:r>
        <w:rPr>
          <w:spacing w:val="-6"/>
        </w:rPr>
        <w:t xml:space="preserve"> </w:t>
      </w:r>
      <w:r>
        <w:t>and</w:t>
      </w:r>
      <w:r>
        <w:rPr>
          <w:spacing w:val="-7"/>
        </w:rPr>
        <w:t xml:space="preserve"> </w:t>
      </w:r>
      <w:r>
        <w:t>documents, in particular the Cooperation Agreement for 2026 concluded between the European Union Intellectual Property Office (hereinafter referred to as EUIPO) and the Industrial Property Office</w:t>
      </w:r>
      <w:r>
        <w:rPr>
          <w:spacing w:val="-4"/>
        </w:rPr>
        <w:t xml:space="preserve"> </w:t>
      </w:r>
      <w:r>
        <w:t>of</w:t>
      </w:r>
      <w:r>
        <w:rPr>
          <w:spacing w:val="-5"/>
        </w:rPr>
        <w:t xml:space="preserve"> </w:t>
      </w:r>
      <w:r>
        <w:t>the</w:t>
      </w:r>
      <w:r>
        <w:rPr>
          <w:spacing w:val="-4"/>
        </w:rPr>
        <w:t xml:space="preserve"> </w:t>
      </w:r>
      <w:r>
        <w:t>Czech</w:t>
      </w:r>
      <w:r>
        <w:rPr>
          <w:spacing w:val="-4"/>
        </w:rPr>
        <w:t xml:space="preserve"> </w:t>
      </w:r>
      <w:r>
        <w:t>Republic</w:t>
      </w:r>
      <w:r>
        <w:rPr>
          <w:spacing w:val="-4"/>
        </w:rPr>
        <w:t xml:space="preserve"> </w:t>
      </w:r>
      <w:r>
        <w:t>(hereinafter</w:t>
      </w:r>
      <w:r>
        <w:rPr>
          <w:spacing w:val="-3"/>
        </w:rPr>
        <w:t xml:space="preserve"> </w:t>
      </w:r>
      <w:r>
        <w:t>referred</w:t>
      </w:r>
      <w:r>
        <w:rPr>
          <w:spacing w:val="-7"/>
        </w:rPr>
        <w:t xml:space="preserve"> </w:t>
      </w:r>
      <w:r>
        <w:t>to</w:t>
      </w:r>
      <w:r>
        <w:rPr>
          <w:spacing w:val="-4"/>
        </w:rPr>
        <w:t xml:space="preserve"> </w:t>
      </w:r>
      <w:r>
        <w:t>as</w:t>
      </w:r>
      <w:r>
        <w:rPr>
          <w:spacing w:val="-4"/>
        </w:rPr>
        <w:t xml:space="preserve"> </w:t>
      </w:r>
      <w:r>
        <w:t>IPO</w:t>
      </w:r>
      <w:r>
        <w:rPr>
          <w:spacing w:val="-3"/>
        </w:rPr>
        <w:t xml:space="preserve"> </w:t>
      </w:r>
      <w:r>
        <w:t>CZ)</w:t>
      </w:r>
      <w:r>
        <w:rPr>
          <w:spacing w:val="-3"/>
        </w:rPr>
        <w:t xml:space="preserve"> </w:t>
      </w:r>
      <w:r>
        <w:t>on</w:t>
      </w:r>
      <w:r>
        <w:rPr>
          <w:spacing w:val="-7"/>
        </w:rPr>
        <w:t xml:space="preserve"> </w:t>
      </w:r>
      <w:r>
        <w:t>the</w:t>
      </w:r>
      <w:r>
        <w:rPr>
          <w:spacing w:val="-4"/>
        </w:rPr>
        <w:t xml:space="preserve"> </w:t>
      </w:r>
      <w:r>
        <w:t>basis</w:t>
      </w:r>
      <w:r>
        <w:rPr>
          <w:spacing w:val="-4"/>
        </w:rPr>
        <w:t xml:space="preserve"> </w:t>
      </w:r>
      <w:r>
        <w:t>of</w:t>
      </w:r>
      <w:r>
        <w:rPr>
          <w:spacing w:val="-3"/>
        </w:rPr>
        <w:t xml:space="preserve"> </w:t>
      </w:r>
      <w:r>
        <w:t>Article</w:t>
      </w:r>
      <w:r>
        <w:rPr>
          <w:spacing w:val="-4"/>
        </w:rPr>
        <w:t xml:space="preserve"> </w:t>
      </w:r>
      <w:r>
        <w:t>152</w:t>
      </w:r>
      <w:r>
        <w:rPr>
          <w:spacing w:val="-4"/>
        </w:rPr>
        <w:t xml:space="preserve"> </w:t>
      </w:r>
      <w:r>
        <w:t>of Regulation</w:t>
      </w:r>
      <w:r>
        <w:rPr>
          <w:spacing w:val="-12"/>
        </w:rPr>
        <w:t xml:space="preserve"> </w:t>
      </w:r>
      <w:r>
        <w:t>No.</w:t>
      </w:r>
      <w:r>
        <w:rPr>
          <w:spacing w:val="-11"/>
        </w:rPr>
        <w:t xml:space="preserve"> </w:t>
      </w:r>
      <w:r>
        <w:t>2017/1001</w:t>
      </w:r>
      <w:r>
        <w:rPr>
          <w:spacing w:val="-12"/>
        </w:rPr>
        <w:t xml:space="preserve"> </w:t>
      </w:r>
      <w:r>
        <w:t>of</w:t>
      </w:r>
      <w:r>
        <w:rPr>
          <w:spacing w:val="-11"/>
        </w:rPr>
        <w:t xml:space="preserve"> </w:t>
      </w:r>
      <w:r>
        <w:t>June</w:t>
      </w:r>
      <w:r>
        <w:rPr>
          <w:spacing w:val="-11"/>
        </w:rPr>
        <w:t xml:space="preserve"> </w:t>
      </w:r>
      <w:r>
        <w:t>14,</w:t>
      </w:r>
      <w:r>
        <w:rPr>
          <w:spacing w:val="-13"/>
        </w:rPr>
        <w:t xml:space="preserve"> </w:t>
      </w:r>
      <w:r>
        <w:t>2017,</w:t>
      </w:r>
      <w:r>
        <w:rPr>
          <w:spacing w:val="-11"/>
        </w:rPr>
        <w:t xml:space="preserve"> </w:t>
      </w:r>
      <w:r>
        <w:t>on</w:t>
      </w:r>
      <w:r>
        <w:rPr>
          <w:spacing w:val="-14"/>
        </w:rPr>
        <w:t xml:space="preserve"> </w:t>
      </w:r>
      <w:r>
        <w:t>the</w:t>
      </w:r>
      <w:r>
        <w:rPr>
          <w:spacing w:val="-12"/>
        </w:rPr>
        <w:t xml:space="preserve"> </w:t>
      </w:r>
      <w:r>
        <w:t>European</w:t>
      </w:r>
      <w:r>
        <w:rPr>
          <w:spacing w:val="-12"/>
        </w:rPr>
        <w:t xml:space="preserve"> </w:t>
      </w:r>
      <w:r>
        <w:t>Union</w:t>
      </w:r>
      <w:r>
        <w:rPr>
          <w:spacing w:val="-13"/>
        </w:rPr>
        <w:t xml:space="preserve"> </w:t>
      </w:r>
      <w:r>
        <w:t>trademark,</w:t>
      </w:r>
      <w:r>
        <w:rPr>
          <w:spacing w:val="-10"/>
        </w:rPr>
        <w:t xml:space="preserve"> </w:t>
      </w:r>
      <w:r>
        <w:t>effective</w:t>
      </w:r>
      <w:r>
        <w:rPr>
          <w:spacing w:val="-12"/>
        </w:rPr>
        <w:t xml:space="preserve"> </w:t>
      </w:r>
      <w:r>
        <w:t>from October 1, 2017, and Call for Proposals GR/XXX/26. Among other things, as an integral part of the Cooperation Agreement,</w:t>
      </w:r>
      <w:r>
        <w:t xml:space="preserve"> this Practical Guide defines rules, the breach of any of them may result in the IP Scan service provider being removed from the list of providers of this service.</w:t>
      </w:r>
    </w:p>
    <w:p w14:paraId="284F353C" w14:textId="77777777" w:rsidR="00D757DA" w:rsidRDefault="00D757DA">
      <w:pPr>
        <w:spacing w:line="276" w:lineRule="auto"/>
        <w:sectPr w:rsidR="00D757DA">
          <w:pgSz w:w="11910" w:h="16840"/>
          <w:pgMar w:top="1340" w:right="0" w:bottom="1160" w:left="1320" w:header="0" w:footer="881" w:gutter="0"/>
          <w:cols w:space="708"/>
        </w:sectPr>
      </w:pPr>
    </w:p>
    <w:p w14:paraId="01B9FF50" w14:textId="77777777" w:rsidR="00D757DA" w:rsidRDefault="0033254E">
      <w:pPr>
        <w:pStyle w:val="Zkladntext"/>
        <w:spacing w:before="81" w:line="276" w:lineRule="auto"/>
        <w:ind w:left="120" w:right="1437"/>
        <w:jc w:val="both"/>
      </w:pPr>
      <w:r>
        <w:lastRenderedPageBreak/>
        <w:t>The process of performing the IP Scan service at EUIPO is governed by Call for Proposals GR/XXX/26</w:t>
      </w:r>
      <w:r>
        <w:rPr>
          <w:spacing w:val="-18"/>
        </w:rPr>
        <w:t xml:space="preserve"> </w:t>
      </w:r>
      <w:r>
        <w:t>and</w:t>
      </w:r>
      <w:r>
        <w:rPr>
          <w:spacing w:val="-20"/>
        </w:rPr>
        <w:t xml:space="preserve"> </w:t>
      </w:r>
      <w:r>
        <w:t>the</w:t>
      </w:r>
      <w:r>
        <w:rPr>
          <w:spacing w:val="-17"/>
        </w:rPr>
        <w:t xml:space="preserve"> </w:t>
      </w:r>
      <w:r>
        <w:t>Cooperation</w:t>
      </w:r>
      <w:r>
        <w:rPr>
          <w:spacing w:val="-17"/>
        </w:rPr>
        <w:t xml:space="preserve"> </w:t>
      </w:r>
      <w:r>
        <w:t>Agreement</w:t>
      </w:r>
      <w:r>
        <w:rPr>
          <w:spacing w:val="-17"/>
        </w:rPr>
        <w:t xml:space="preserve"> </w:t>
      </w:r>
      <w:r>
        <w:t>concluded</w:t>
      </w:r>
      <w:r>
        <w:rPr>
          <w:spacing w:val="-15"/>
        </w:rPr>
        <w:t xml:space="preserve"> </w:t>
      </w:r>
      <w:r>
        <w:t>between</w:t>
      </w:r>
      <w:r>
        <w:rPr>
          <w:spacing w:val="-17"/>
        </w:rPr>
        <w:t xml:space="preserve"> </w:t>
      </w:r>
      <w:r>
        <w:t>EUIPO</w:t>
      </w:r>
      <w:r>
        <w:rPr>
          <w:spacing w:val="-17"/>
        </w:rPr>
        <w:t xml:space="preserve"> </w:t>
      </w:r>
      <w:r>
        <w:t>and</w:t>
      </w:r>
      <w:r>
        <w:rPr>
          <w:spacing w:val="-17"/>
        </w:rPr>
        <w:t xml:space="preserve"> </w:t>
      </w:r>
      <w:r>
        <w:t>IPO</w:t>
      </w:r>
      <w:r>
        <w:rPr>
          <w:spacing w:val="-16"/>
        </w:rPr>
        <w:t xml:space="preserve"> </w:t>
      </w:r>
      <w:r>
        <w:t>CZ</w:t>
      </w:r>
      <w:r>
        <w:rPr>
          <w:spacing w:val="-17"/>
        </w:rPr>
        <w:t xml:space="preserve"> </w:t>
      </w:r>
      <w:r>
        <w:t>for</w:t>
      </w:r>
      <w:r>
        <w:rPr>
          <w:spacing w:val="-17"/>
        </w:rPr>
        <w:t xml:space="preserve"> </w:t>
      </w:r>
      <w:r>
        <w:t>2026. The</w:t>
      </w:r>
      <w:r>
        <w:rPr>
          <w:spacing w:val="-6"/>
        </w:rPr>
        <w:t xml:space="preserve"> </w:t>
      </w:r>
      <w:r>
        <w:t>process</w:t>
      </w:r>
      <w:r>
        <w:rPr>
          <w:spacing w:val="-6"/>
        </w:rPr>
        <w:t xml:space="preserve"> </w:t>
      </w:r>
      <w:r>
        <w:t>of</w:t>
      </w:r>
      <w:r>
        <w:rPr>
          <w:spacing w:val="-5"/>
        </w:rPr>
        <w:t xml:space="preserve"> </w:t>
      </w:r>
      <w:r>
        <w:t>performing</w:t>
      </w:r>
      <w:r>
        <w:rPr>
          <w:spacing w:val="-6"/>
        </w:rPr>
        <w:t xml:space="preserve"> </w:t>
      </w:r>
      <w:r>
        <w:t>the</w:t>
      </w:r>
      <w:r>
        <w:rPr>
          <w:spacing w:val="-9"/>
        </w:rPr>
        <w:t xml:space="preserve"> </w:t>
      </w:r>
      <w:r>
        <w:t>IP</w:t>
      </w:r>
      <w:r>
        <w:rPr>
          <w:spacing w:val="-9"/>
        </w:rPr>
        <w:t xml:space="preserve"> </w:t>
      </w:r>
      <w:r>
        <w:t>Scan</w:t>
      </w:r>
      <w:r>
        <w:rPr>
          <w:spacing w:val="-8"/>
        </w:rPr>
        <w:t xml:space="preserve"> </w:t>
      </w:r>
      <w:r>
        <w:t>service</w:t>
      </w:r>
      <w:r>
        <w:rPr>
          <w:spacing w:val="-9"/>
        </w:rPr>
        <w:t xml:space="preserve"> </w:t>
      </w:r>
      <w:r>
        <w:t>at</w:t>
      </w:r>
      <w:r>
        <w:rPr>
          <w:spacing w:val="-8"/>
        </w:rPr>
        <w:t xml:space="preserve"> </w:t>
      </w:r>
      <w:r>
        <w:t>the</w:t>
      </w:r>
      <w:r>
        <w:rPr>
          <w:spacing w:val="-7"/>
        </w:rPr>
        <w:t xml:space="preserve"> </w:t>
      </w:r>
      <w:r>
        <w:t>IPO</w:t>
      </w:r>
      <w:r>
        <w:rPr>
          <w:spacing w:val="-5"/>
        </w:rPr>
        <w:t xml:space="preserve"> </w:t>
      </w:r>
      <w:r>
        <w:t>CZ</w:t>
      </w:r>
      <w:r>
        <w:rPr>
          <w:spacing w:val="-8"/>
        </w:rPr>
        <w:t xml:space="preserve"> </w:t>
      </w:r>
      <w:r>
        <w:t>is</w:t>
      </w:r>
      <w:r>
        <w:rPr>
          <w:spacing w:val="-6"/>
        </w:rPr>
        <w:t xml:space="preserve"> </w:t>
      </w:r>
      <w:r>
        <w:t>supplemented</w:t>
      </w:r>
      <w:r>
        <w:rPr>
          <w:spacing w:val="-7"/>
        </w:rPr>
        <w:t xml:space="preserve"> </w:t>
      </w:r>
      <w:r>
        <w:t>in</w:t>
      </w:r>
      <w:r>
        <w:rPr>
          <w:spacing w:val="-6"/>
        </w:rPr>
        <w:t xml:space="preserve"> </w:t>
      </w:r>
      <w:r>
        <w:t>detail</w:t>
      </w:r>
      <w:r>
        <w:rPr>
          <w:spacing w:val="-7"/>
        </w:rPr>
        <w:t xml:space="preserve"> </w:t>
      </w:r>
      <w:r>
        <w:t>by</w:t>
      </w:r>
      <w:r>
        <w:rPr>
          <w:spacing w:val="-11"/>
        </w:rPr>
        <w:t xml:space="preserve"> </w:t>
      </w:r>
      <w:r>
        <w:t>this Practical</w:t>
      </w:r>
      <w:r>
        <w:rPr>
          <w:spacing w:val="-4"/>
        </w:rPr>
        <w:t xml:space="preserve"> </w:t>
      </w:r>
      <w:r>
        <w:t>Guide.</w:t>
      </w:r>
    </w:p>
    <w:p w14:paraId="57846299" w14:textId="77777777" w:rsidR="00D757DA" w:rsidRDefault="00D757DA">
      <w:pPr>
        <w:pStyle w:val="Zkladntext"/>
        <w:spacing w:before="4"/>
        <w:rPr>
          <w:sz w:val="25"/>
        </w:rPr>
      </w:pPr>
    </w:p>
    <w:p w14:paraId="0CC76CD1" w14:textId="77777777" w:rsidR="00D757DA" w:rsidRDefault="0033254E">
      <w:pPr>
        <w:pStyle w:val="Nadpis2"/>
        <w:numPr>
          <w:ilvl w:val="0"/>
          <w:numId w:val="3"/>
        </w:numPr>
        <w:tabs>
          <w:tab w:val="left" w:pos="389"/>
        </w:tabs>
      </w:pPr>
      <w:bookmarkStart w:id="72" w:name="1._Code_of_Conduct"/>
      <w:bookmarkEnd w:id="72"/>
      <w:r>
        <w:t>Code of</w:t>
      </w:r>
      <w:r>
        <w:rPr>
          <w:spacing w:val="-1"/>
        </w:rPr>
        <w:t xml:space="preserve"> </w:t>
      </w:r>
      <w:r>
        <w:t>Conduct</w:t>
      </w:r>
    </w:p>
    <w:p w14:paraId="59A64140" w14:textId="77777777" w:rsidR="00D757DA" w:rsidRDefault="00D757DA">
      <w:pPr>
        <w:pStyle w:val="Zkladntext"/>
        <w:spacing w:before="5"/>
        <w:rPr>
          <w:b/>
          <w:sz w:val="24"/>
        </w:rPr>
      </w:pPr>
    </w:p>
    <w:p w14:paraId="5A221E59" w14:textId="77777777" w:rsidR="00D757DA" w:rsidRDefault="0033254E">
      <w:pPr>
        <w:pStyle w:val="Zkladntext"/>
        <w:spacing w:line="276" w:lineRule="auto"/>
        <w:ind w:left="120" w:right="1433"/>
        <w:jc w:val="both"/>
      </w:pPr>
      <w:r>
        <w:t>The</w:t>
      </w:r>
      <w:r>
        <w:rPr>
          <w:spacing w:val="-5"/>
        </w:rPr>
        <w:t xml:space="preserve"> </w:t>
      </w:r>
      <w:r>
        <w:t>Code</w:t>
      </w:r>
      <w:r>
        <w:rPr>
          <w:spacing w:val="-6"/>
        </w:rPr>
        <w:t xml:space="preserve"> </w:t>
      </w:r>
      <w:r>
        <w:t>of</w:t>
      </w:r>
      <w:r>
        <w:rPr>
          <w:spacing w:val="-6"/>
        </w:rPr>
        <w:t xml:space="preserve"> </w:t>
      </w:r>
      <w:r>
        <w:t>Conduct</w:t>
      </w:r>
      <w:r>
        <w:rPr>
          <w:spacing w:val="-5"/>
        </w:rPr>
        <w:t xml:space="preserve"> </w:t>
      </w:r>
      <w:r>
        <w:t>is</w:t>
      </w:r>
      <w:r>
        <w:rPr>
          <w:spacing w:val="-9"/>
        </w:rPr>
        <w:t xml:space="preserve"> </w:t>
      </w:r>
      <w:r>
        <w:t>an</w:t>
      </w:r>
      <w:r>
        <w:rPr>
          <w:spacing w:val="-4"/>
        </w:rPr>
        <w:t xml:space="preserve"> </w:t>
      </w:r>
      <w:r>
        <w:t>integral</w:t>
      </w:r>
      <w:r>
        <w:rPr>
          <w:spacing w:val="-6"/>
        </w:rPr>
        <w:t xml:space="preserve"> </w:t>
      </w:r>
      <w:r>
        <w:t>part</w:t>
      </w:r>
      <w:r>
        <w:rPr>
          <w:spacing w:val="-5"/>
        </w:rPr>
        <w:t xml:space="preserve"> </w:t>
      </w:r>
      <w:r>
        <w:t>of</w:t>
      </w:r>
      <w:r>
        <w:rPr>
          <w:spacing w:val="-6"/>
        </w:rPr>
        <w:t xml:space="preserve"> </w:t>
      </w:r>
      <w:r>
        <w:t>this</w:t>
      </w:r>
      <w:r>
        <w:rPr>
          <w:spacing w:val="-6"/>
        </w:rPr>
        <w:t xml:space="preserve"> </w:t>
      </w:r>
      <w:r>
        <w:t>Practical</w:t>
      </w:r>
      <w:r>
        <w:rPr>
          <w:spacing w:val="-7"/>
        </w:rPr>
        <w:t xml:space="preserve"> </w:t>
      </w:r>
      <w:r>
        <w:t>Guide.</w:t>
      </w:r>
      <w:r>
        <w:rPr>
          <w:spacing w:val="-6"/>
        </w:rPr>
        <w:t xml:space="preserve"> </w:t>
      </w:r>
      <w:r>
        <w:t>The</w:t>
      </w:r>
      <w:r>
        <w:rPr>
          <w:spacing w:val="-6"/>
        </w:rPr>
        <w:t xml:space="preserve"> </w:t>
      </w:r>
      <w:r>
        <w:t>Code</w:t>
      </w:r>
      <w:r>
        <w:rPr>
          <w:spacing w:val="-9"/>
        </w:rPr>
        <w:t xml:space="preserve"> </w:t>
      </w:r>
      <w:r>
        <w:t>of</w:t>
      </w:r>
      <w:r>
        <w:rPr>
          <w:spacing w:val="-6"/>
        </w:rPr>
        <w:t xml:space="preserve"> </w:t>
      </w:r>
      <w:r>
        <w:t>Conduct</w:t>
      </w:r>
      <w:r>
        <w:rPr>
          <w:spacing w:val="-5"/>
        </w:rPr>
        <w:t xml:space="preserve"> </w:t>
      </w:r>
      <w:r>
        <w:t>sets</w:t>
      </w:r>
      <w:r>
        <w:rPr>
          <w:spacing w:val="-7"/>
        </w:rPr>
        <w:t xml:space="preserve"> </w:t>
      </w:r>
      <w:r>
        <w:t>out the</w:t>
      </w:r>
      <w:r>
        <w:rPr>
          <w:spacing w:val="-8"/>
        </w:rPr>
        <w:t xml:space="preserve"> </w:t>
      </w:r>
      <w:r>
        <w:t>principles</w:t>
      </w:r>
      <w:r>
        <w:rPr>
          <w:spacing w:val="-10"/>
        </w:rPr>
        <w:t xml:space="preserve"> </w:t>
      </w:r>
      <w:r>
        <w:t>that</w:t>
      </w:r>
      <w:r>
        <w:rPr>
          <w:spacing w:val="-7"/>
        </w:rPr>
        <w:t xml:space="preserve"> </w:t>
      </w:r>
      <w:r>
        <w:t>individual</w:t>
      </w:r>
      <w:r>
        <w:rPr>
          <w:spacing w:val="-8"/>
        </w:rPr>
        <w:t xml:space="preserve"> </w:t>
      </w:r>
      <w:r>
        <w:t>IP</w:t>
      </w:r>
      <w:r>
        <w:rPr>
          <w:spacing w:val="-9"/>
        </w:rPr>
        <w:t xml:space="preserve"> </w:t>
      </w:r>
      <w:r>
        <w:t>Scan</w:t>
      </w:r>
      <w:r>
        <w:rPr>
          <w:spacing w:val="-10"/>
        </w:rPr>
        <w:t xml:space="preserve"> </w:t>
      </w:r>
      <w:r>
        <w:t>service</w:t>
      </w:r>
      <w:r>
        <w:rPr>
          <w:spacing w:val="-9"/>
        </w:rPr>
        <w:t xml:space="preserve"> </w:t>
      </w:r>
      <w:r>
        <w:t>providers</w:t>
      </w:r>
      <w:r>
        <w:rPr>
          <w:spacing w:val="-9"/>
        </w:rPr>
        <w:t xml:space="preserve"> </w:t>
      </w:r>
      <w:r>
        <w:t>are</w:t>
      </w:r>
      <w:r>
        <w:rPr>
          <w:spacing w:val="-9"/>
        </w:rPr>
        <w:t xml:space="preserve"> </w:t>
      </w:r>
      <w:r>
        <w:t>required</w:t>
      </w:r>
      <w:r>
        <w:rPr>
          <w:spacing w:val="-12"/>
        </w:rPr>
        <w:t xml:space="preserve"> </w:t>
      </w:r>
      <w:r>
        <w:t>to</w:t>
      </w:r>
      <w:r>
        <w:rPr>
          <w:spacing w:val="-9"/>
        </w:rPr>
        <w:t xml:space="preserve"> </w:t>
      </w:r>
      <w:r>
        <w:t>comply</w:t>
      </w:r>
      <w:r>
        <w:rPr>
          <w:spacing w:val="-7"/>
        </w:rPr>
        <w:t xml:space="preserve"> </w:t>
      </w:r>
      <w:r>
        <w:t>with.</w:t>
      </w:r>
      <w:r>
        <w:rPr>
          <w:spacing w:val="-6"/>
        </w:rPr>
        <w:t xml:space="preserve"> </w:t>
      </w:r>
      <w:r>
        <w:t>Applicants for IP Scan services also undertake to comply with the Code of</w:t>
      </w:r>
      <w:r>
        <w:rPr>
          <w:spacing w:val="-15"/>
        </w:rPr>
        <w:t xml:space="preserve"> </w:t>
      </w:r>
      <w:r>
        <w:t>Conduct.</w:t>
      </w:r>
    </w:p>
    <w:p w14:paraId="69F31DF6" w14:textId="77777777" w:rsidR="00D757DA" w:rsidRDefault="00D757DA">
      <w:pPr>
        <w:pStyle w:val="Zkladntext"/>
        <w:spacing w:before="4"/>
        <w:rPr>
          <w:sz w:val="25"/>
        </w:rPr>
      </w:pPr>
    </w:p>
    <w:p w14:paraId="2ED15A35" w14:textId="77777777" w:rsidR="00D757DA" w:rsidRDefault="0033254E">
      <w:pPr>
        <w:pStyle w:val="Nadpis2"/>
        <w:numPr>
          <w:ilvl w:val="0"/>
          <w:numId w:val="3"/>
        </w:numPr>
        <w:tabs>
          <w:tab w:val="left" w:pos="389"/>
        </w:tabs>
      </w:pPr>
      <w:bookmarkStart w:id="73" w:name="2._Independence_of_the_Provider_from_the"/>
      <w:bookmarkEnd w:id="73"/>
      <w:r>
        <w:t>Independence of the Provider from the</w:t>
      </w:r>
      <w:r>
        <w:rPr>
          <w:spacing w:val="-6"/>
        </w:rPr>
        <w:t xml:space="preserve"> </w:t>
      </w:r>
      <w:r>
        <w:t>Applicant</w:t>
      </w:r>
    </w:p>
    <w:p w14:paraId="307E760D" w14:textId="77777777" w:rsidR="00D757DA" w:rsidRDefault="00D757DA">
      <w:pPr>
        <w:pStyle w:val="Zkladntext"/>
        <w:spacing w:before="5"/>
        <w:rPr>
          <w:b/>
          <w:sz w:val="24"/>
        </w:rPr>
      </w:pPr>
    </w:p>
    <w:p w14:paraId="7E839F8B" w14:textId="77777777" w:rsidR="00D757DA" w:rsidRDefault="0033254E">
      <w:pPr>
        <w:pStyle w:val="Zkladntext"/>
        <w:spacing w:line="276" w:lineRule="auto"/>
        <w:ind w:left="120" w:right="1440"/>
        <w:jc w:val="both"/>
      </w:pPr>
      <w:r>
        <w:t>IP</w:t>
      </w:r>
      <w:r>
        <w:rPr>
          <w:spacing w:val="-18"/>
        </w:rPr>
        <w:t xml:space="preserve"> </w:t>
      </w:r>
      <w:r>
        <w:t>Scan</w:t>
      </w:r>
      <w:r>
        <w:rPr>
          <w:spacing w:val="-16"/>
        </w:rPr>
        <w:t xml:space="preserve"> </w:t>
      </w:r>
      <w:r>
        <w:t>service</w:t>
      </w:r>
      <w:r>
        <w:rPr>
          <w:spacing w:val="-16"/>
        </w:rPr>
        <w:t xml:space="preserve"> </w:t>
      </w:r>
      <w:r>
        <w:t>providers</w:t>
      </w:r>
      <w:r>
        <w:rPr>
          <w:spacing w:val="-18"/>
        </w:rPr>
        <w:t xml:space="preserve"> </w:t>
      </w:r>
      <w:r>
        <w:t>may</w:t>
      </w:r>
      <w:r>
        <w:rPr>
          <w:spacing w:val="-16"/>
        </w:rPr>
        <w:t xml:space="preserve"> </w:t>
      </w:r>
      <w:r>
        <w:t>not</w:t>
      </w:r>
      <w:r>
        <w:rPr>
          <w:spacing w:val="-15"/>
        </w:rPr>
        <w:t xml:space="preserve"> </w:t>
      </w:r>
      <w:r>
        <w:t>provide</w:t>
      </w:r>
      <w:r>
        <w:rPr>
          <w:spacing w:val="-16"/>
        </w:rPr>
        <w:t xml:space="preserve"> </w:t>
      </w:r>
      <w:r>
        <w:t>these</w:t>
      </w:r>
      <w:r>
        <w:rPr>
          <w:spacing w:val="-19"/>
        </w:rPr>
        <w:t xml:space="preserve"> </w:t>
      </w:r>
      <w:r>
        <w:t>services</w:t>
      </w:r>
      <w:r>
        <w:rPr>
          <w:spacing w:val="-16"/>
        </w:rPr>
        <w:t xml:space="preserve"> </w:t>
      </w:r>
      <w:r>
        <w:t>if</w:t>
      </w:r>
      <w:r>
        <w:rPr>
          <w:spacing w:val="-17"/>
        </w:rPr>
        <w:t xml:space="preserve"> </w:t>
      </w:r>
      <w:r>
        <w:t>they</w:t>
      </w:r>
      <w:r>
        <w:rPr>
          <w:spacing w:val="-17"/>
        </w:rPr>
        <w:t xml:space="preserve"> </w:t>
      </w:r>
      <w:r>
        <w:t>are</w:t>
      </w:r>
      <w:r>
        <w:rPr>
          <w:spacing w:val="-18"/>
        </w:rPr>
        <w:t xml:space="preserve"> </w:t>
      </w:r>
      <w:r>
        <w:t>members</w:t>
      </w:r>
      <w:r>
        <w:rPr>
          <w:spacing w:val="-16"/>
        </w:rPr>
        <w:t xml:space="preserve"> </w:t>
      </w:r>
      <w:r>
        <w:t>of</w:t>
      </w:r>
      <w:r>
        <w:rPr>
          <w:spacing w:val="-17"/>
        </w:rPr>
        <w:t xml:space="preserve"> </w:t>
      </w:r>
      <w:r>
        <w:t>the</w:t>
      </w:r>
      <w:r>
        <w:rPr>
          <w:spacing w:val="-16"/>
        </w:rPr>
        <w:t xml:space="preserve"> </w:t>
      </w:r>
      <w:r>
        <w:t>governing bodies of the IP Scan service recipient. Nor may they provide these services if they are part of the ownership structure of the service</w:t>
      </w:r>
      <w:r>
        <w:rPr>
          <w:spacing w:val="-5"/>
        </w:rPr>
        <w:t xml:space="preserve"> </w:t>
      </w:r>
      <w:r>
        <w:t>recipients.</w:t>
      </w:r>
    </w:p>
    <w:p w14:paraId="1A8C9AFF" w14:textId="77777777" w:rsidR="00D757DA" w:rsidRDefault="00D757DA">
      <w:pPr>
        <w:pStyle w:val="Zkladntext"/>
        <w:spacing w:before="4"/>
        <w:rPr>
          <w:sz w:val="25"/>
        </w:rPr>
      </w:pPr>
    </w:p>
    <w:p w14:paraId="1F22FA16" w14:textId="77777777" w:rsidR="00D757DA" w:rsidRDefault="0033254E">
      <w:pPr>
        <w:pStyle w:val="Zkladntext"/>
        <w:spacing w:line="278" w:lineRule="auto"/>
        <w:ind w:left="120" w:right="1440"/>
        <w:jc w:val="both"/>
      </w:pPr>
      <w:r>
        <w:t>It is also prohibited for an employee or a person in a similar dependent position to provide IP Scan services to their own legal entity.</w:t>
      </w:r>
    </w:p>
    <w:p w14:paraId="1BE0E27B" w14:textId="77777777" w:rsidR="00D757DA" w:rsidRDefault="00D757DA">
      <w:pPr>
        <w:pStyle w:val="Zkladntext"/>
        <w:spacing w:before="11"/>
        <w:rPr>
          <w:sz w:val="24"/>
        </w:rPr>
      </w:pPr>
    </w:p>
    <w:p w14:paraId="1D5D3CE9" w14:textId="77777777" w:rsidR="00D757DA" w:rsidRDefault="0033254E">
      <w:pPr>
        <w:pStyle w:val="Nadpis2"/>
        <w:numPr>
          <w:ilvl w:val="0"/>
          <w:numId w:val="3"/>
        </w:numPr>
        <w:tabs>
          <w:tab w:val="left" w:pos="389"/>
        </w:tabs>
      </w:pPr>
      <w:bookmarkStart w:id="74" w:name="3._Who_Can_Provide_IP_Scan_Services"/>
      <w:bookmarkEnd w:id="74"/>
      <w:r>
        <w:t>Who Can Provide IP Scan</w:t>
      </w:r>
      <w:r>
        <w:rPr>
          <w:spacing w:val="-1"/>
        </w:rPr>
        <w:t xml:space="preserve"> </w:t>
      </w:r>
      <w:r>
        <w:t>Services</w:t>
      </w:r>
    </w:p>
    <w:p w14:paraId="1CF68147" w14:textId="77777777" w:rsidR="00D757DA" w:rsidRDefault="00D757DA">
      <w:pPr>
        <w:pStyle w:val="Zkladntext"/>
        <w:spacing w:before="4"/>
        <w:rPr>
          <w:b/>
          <w:sz w:val="24"/>
        </w:rPr>
      </w:pPr>
    </w:p>
    <w:p w14:paraId="37CA30F9" w14:textId="77777777" w:rsidR="00D757DA" w:rsidRDefault="0033254E">
      <w:pPr>
        <w:pStyle w:val="Zkladntext"/>
        <w:spacing w:line="276" w:lineRule="auto"/>
        <w:ind w:left="120" w:right="1440"/>
        <w:jc w:val="both"/>
      </w:pPr>
      <w:r>
        <w:t>IP Scan services are offered by experts appointed by the IPO CZ, under its coordination and upon request from small and medium-sized enterprises (hereinafter “SMEs”).</w:t>
      </w:r>
    </w:p>
    <w:p w14:paraId="62C5926D" w14:textId="77777777" w:rsidR="00D757DA" w:rsidRDefault="00D757DA">
      <w:pPr>
        <w:pStyle w:val="Zkladntext"/>
        <w:spacing w:before="5"/>
        <w:rPr>
          <w:sz w:val="25"/>
        </w:rPr>
      </w:pPr>
    </w:p>
    <w:p w14:paraId="508F54DC" w14:textId="77777777" w:rsidR="00D757DA" w:rsidRDefault="0033254E">
      <w:pPr>
        <w:pStyle w:val="Zkladntext"/>
        <w:ind w:left="120"/>
        <w:jc w:val="both"/>
      </w:pPr>
      <w:r>
        <w:t>The IPO CZ appoints experts for the IP Scan service who meet the following conditions:</w:t>
      </w:r>
    </w:p>
    <w:p w14:paraId="25B76007" w14:textId="77777777" w:rsidR="00D757DA" w:rsidRDefault="00D757DA">
      <w:pPr>
        <w:pStyle w:val="Zkladntext"/>
        <w:spacing w:before="5"/>
        <w:rPr>
          <w:sz w:val="28"/>
        </w:rPr>
      </w:pPr>
    </w:p>
    <w:p w14:paraId="06EBB9CC" w14:textId="77777777" w:rsidR="00D757DA" w:rsidRDefault="0033254E">
      <w:pPr>
        <w:pStyle w:val="Odstavecseseznamem"/>
        <w:numPr>
          <w:ilvl w:val="1"/>
          <w:numId w:val="3"/>
        </w:numPr>
        <w:tabs>
          <w:tab w:val="left" w:pos="840"/>
          <w:tab w:val="left" w:pos="841"/>
        </w:tabs>
        <w:ind w:hanging="361"/>
        <w:jc w:val="left"/>
      </w:pPr>
      <w:r>
        <w:t>Have experience with</w:t>
      </w:r>
      <w:r>
        <w:rPr>
          <w:spacing w:val="-3"/>
        </w:rPr>
        <w:t xml:space="preserve"> </w:t>
      </w:r>
      <w:r>
        <w:t>SMEs</w:t>
      </w:r>
    </w:p>
    <w:p w14:paraId="1C438501" w14:textId="77777777" w:rsidR="00D757DA" w:rsidRDefault="0033254E">
      <w:pPr>
        <w:pStyle w:val="Odstavecseseznamem"/>
        <w:numPr>
          <w:ilvl w:val="1"/>
          <w:numId w:val="3"/>
        </w:numPr>
        <w:tabs>
          <w:tab w:val="left" w:pos="840"/>
          <w:tab w:val="left" w:pos="841"/>
        </w:tabs>
        <w:spacing w:before="38"/>
        <w:ind w:hanging="361"/>
        <w:jc w:val="left"/>
      </w:pPr>
      <w:r>
        <w:t>Have experience in intellectual</w:t>
      </w:r>
      <w:r>
        <w:rPr>
          <w:spacing w:val="-3"/>
        </w:rPr>
        <w:t xml:space="preserve"> </w:t>
      </w:r>
      <w:r>
        <w:t>property</w:t>
      </w:r>
    </w:p>
    <w:p w14:paraId="65522C30" w14:textId="77777777" w:rsidR="00D757DA" w:rsidRDefault="0033254E">
      <w:pPr>
        <w:pStyle w:val="Odstavecseseznamem"/>
        <w:numPr>
          <w:ilvl w:val="1"/>
          <w:numId w:val="3"/>
        </w:numPr>
        <w:tabs>
          <w:tab w:val="left" w:pos="840"/>
          <w:tab w:val="left" w:pos="841"/>
        </w:tabs>
        <w:spacing w:before="35"/>
        <w:ind w:hanging="361"/>
        <w:jc w:val="left"/>
      </w:pPr>
      <w:r>
        <w:t>Have participated in IP Scan training provided by the</w:t>
      </w:r>
      <w:r>
        <w:rPr>
          <w:spacing w:val="-8"/>
        </w:rPr>
        <w:t xml:space="preserve"> </w:t>
      </w:r>
      <w:r>
        <w:t>EUIPO</w:t>
      </w:r>
    </w:p>
    <w:p w14:paraId="1C760974" w14:textId="77777777" w:rsidR="00D757DA" w:rsidRDefault="0033254E">
      <w:pPr>
        <w:pStyle w:val="Odstavecseseznamem"/>
        <w:numPr>
          <w:ilvl w:val="1"/>
          <w:numId w:val="3"/>
        </w:numPr>
        <w:tabs>
          <w:tab w:val="left" w:pos="840"/>
          <w:tab w:val="left" w:pos="841"/>
        </w:tabs>
        <w:spacing w:before="38" w:line="271" w:lineRule="auto"/>
        <w:ind w:right="1436"/>
        <w:jc w:val="left"/>
      </w:pPr>
      <w:r>
        <w:t>Are members of the Chamber of Patent Attorneys of the Czech Republic and/or the Czech Bar Association; this does not apply to IPO CZ</w:t>
      </w:r>
      <w:r>
        <w:rPr>
          <w:spacing w:val="-9"/>
        </w:rPr>
        <w:t xml:space="preserve"> </w:t>
      </w:r>
      <w:r>
        <w:t>employees.</w:t>
      </w:r>
    </w:p>
    <w:p w14:paraId="77555CB6" w14:textId="77777777" w:rsidR="00D757DA" w:rsidRDefault="0033254E">
      <w:pPr>
        <w:pStyle w:val="Zkladntext"/>
        <w:spacing w:before="5" w:line="276" w:lineRule="auto"/>
        <w:ind w:left="120" w:right="1439"/>
        <w:jc w:val="both"/>
      </w:pPr>
      <w:r>
        <w:t>Due to breaches of obligations set out in the Cooperation Agreement or repeated failure to follow procedures defined in the Practical Guide, the IPO CZ may remove an expert from the list of IP Scan service providers.</w:t>
      </w:r>
    </w:p>
    <w:p w14:paraId="20D2AD74" w14:textId="77777777" w:rsidR="00D757DA" w:rsidRDefault="00D757DA">
      <w:pPr>
        <w:pStyle w:val="Zkladntext"/>
        <w:spacing w:before="5"/>
        <w:rPr>
          <w:sz w:val="25"/>
        </w:rPr>
      </w:pPr>
    </w:p>
    <w:p w14:paraId="4D54EE04" w14:textId="77777777" w:rsidR="00D757DA" w:rsidRDefault="0033254E">
      <w:pPr>
        <w:pStyle w:val="Nadpis2"/>
        <w:numPr>
          <w:ilvl w:val="0"/>
          <w:numId w:val="3"/>
        </w:numPr>
        <w:tabs>
          <w:tab w:val="left" w:pos="464"/>
        </w:tabs>
        <w:spacing w:line="276" w:lineRule="auto"/>
        <w:ind w:left="120" w:right="1440" w:firstLine="0"/>
      </w:pPr>
      <w:bookmarkStart w:id="75" w:name="4._Cooperation_with_the_Chamber_of_Paten"/>
      <w:bookmarkEnd w:id="75"/>
      <w:r>
        <w:t>Cooperation with the Chamber of Patent Attorneys and the Czech Bar Association</w:t>
      </w:r>
    </w:p>
    <w:p w14:paraId="4E3BF61B" w14:textId="77777777" w:rsidR="00D757DA" w:rsidRDefault="00D757DA">
      <w:pPr>
        <w:pStyle w:val="Zkladntext"/>
        <w:spacing w:before="8"/>
        <w:rPr>
          <w:b/>
          <w:sz w:val="20"/>
        </w:rPr>
      </w:pPr>
    </w:p>
    <w:p w14:paraId="6D5D3DCD" w14:textId="77777777" w:rsidR="00D757DA" w:rsidRDefault="0033254E">
      <w:pPr>
        <w:pStyle w:val="Zkladntext"/>
        <w:spacing w:line="276" w:lineRule="auto"/>
        <w:ind w:left="120" w:right="1434"/>
        <w:jc w:val="both"/>
      </w:pPr>
      <w:proofErr w:type="gramStart"/>
      <w:r>
        <w:t>In</w:t>
      </w:r>
      <w:r>
        <w:rPr>
          <w:spacing w:val="-4"/>
        </w:rPr>
        <w:t xml:space="preserve"> </w:t>
      </w:r>
      <w:r>
        <w:t>order</w:t>
      </w:r>
      <w:r>
        <w:rPr>
          <w:spacing w:val="-8"/>
        </w:rPr>
        <w:t xml:space="preserve"> </w:t>
      </w:r>
      <w:r>
        <w:t>to</w:t>
      </w:r>
      <w:proofErr w:type="gramEnd"/>
      <w:r>
        <w:rPr>
          <w:spacing w:val="-5"/>
        </w:rPr>
        <w:t xml:space="preserve"> </w:t>
      </w:r>
      <w:r>
        <w:t>cooperate</w:t>
      </w:r>
      <w:r>
        <w:rPr>
          <w:spacing w:val="-4"/>
        </w:rPr>
        <w:t xml:space="preserve"> </w:t>
      </w:r>
      <w:r>
        <w:t>with</w:t>
      </w:r>
      <w:r>
        <w:rPr>
          <w:spacing w:val="-3"/>
        </w:rPr>
        <w:t xml:space="preserve"> </w:t>
      </w:r>
      <w:r>
        <w:t>the</w:t>
      </w:r>
      <w:r>
        <w:rPr>
          <w:spacing w:val="-7"/>
        </w:rPr>
        <w:t xml:space="preserve"> </w:t>
      </w:r>
      <w:r>
        <w:t>network</w:t>
      </w:r>
      <w:r>
        <w:rPr>
          <w:spacing w:val="-6"/>
        </w:rPr>
        <w:t xml:space="preserve"> </w:t>
      </w:r>
      <w:r>
        <w:t>of</w:t>
      </w:r>
      <w:r>
        <w:rPr>
          <w:spacing w:val="-7"/>
        </w:rPr>
        <w:t xml:space="preserve"> </w:t>
      </w:r>
      <w:r>
        <w:t>IP</w:t>
      </w:r>
      <w:r>
        <w:rPr>
          <w:spacing w:val="-4"/>
        </w:rPr>
        <w:t xml:space="preserve"> </w:t>
      </w:r>
      <w:r>
        <w:t>Scan</w:t>
      </w:r>
      <w:r>
        <w:rPr>
          <w:spacing w:val="-8"/>
        </w:rPr>
        <w:t xml:space="preserve"> </w:t>
      </w:r>
      <w:r>
        <w:t>service</w:t>
      </w:r>
      <w:r>
        <w:rPr>
          <w:spacing w:val="-4"/>
        </w:rPr>
        <w:t xml:space="preserve"> </w:t>
      </w:r>
      <w:r>
        <w:t>providers</w:t>
      </w:r>
      <w:r>
        <w:rPr>
          <w:spacing w:val="-5"/>
        </w:rPr>
        <w:t xml:space="preserve"> </w:t>
      </w:r>
      <w:r>
        <w:t>and</w:t>
      </w:r>
      <w:r>
        <w:rPr>
          <w:spacing w:val="-6"/>
        </w:rPr>
        <w:t xml:space="preserve"> </w:t>
      </w:r>
      <w:r>
        <w:t>to</w:t>
      </w:r>
      <w:r>
        <w:rPr>
          <w:spacing w:val="-5"/>
        </w:rPr>
        <w:t xml:space="preserve"> </w:t>
      </w:r>
      <w:r>
        <w:t>improve</w:t>
      </w:r>
      <w:r>
        <w:rPr>
          <w:spacing w:val="-9"/>
        </w:rPr>
        <w:t xml:space="preserve"> </w:t>
      </w:r>
      <w:r>
        <w:t>the</w:t>
      </w:r>
      <w:r>
        <w:rPr>
          <w:spacing w:val="-4"/>
        </w:rPr>
        <w:t xml:space="preserve"> </w:t>
      </w:r>
      <w:r>
        <w:t>quality of</w:t>
      </w:r>
      <w:r>
        <w:rPr>
          <w:spacing w:val="-8"/>
        </w:rPr>
        <w:t xml:space="preserve"> </w:t>
      </w:r>
      <w:r>
        <w:t>the</w:t>
      </w:r>
      <w:r>
        <w:rPr>
          <w:spacing w:val="-9"/>
        </w:rPr>
        <w:t xml:space="preserve"> </w:t>
      </w:r>
      <w:r>
        <w:t>IP</w:t>
      </w:r>
      <w:r>
        <w:rPr>
          <w:spacing w:val="-7"/>
        </w:rPr>
        <w:t xml:space="preserve"> </w:t>
      </w:r>
      <w:r>
        <w:t>Scan</w:t>
      </w:r>
      <w:r>
        <w:rPr>
          <w:spacing w:val="-8"/>
        </w:rPr>
        <w:t xml:space="preserve"> </w:t>
      </w:r>
      <w:r>
        <w:t>service</w:t>
      </w:r>
      <w:r>
        <w:rPr>
          <w:spacing w:val="-9"/>
        </w:rPr>
        <w:t xml:space="preserve"> </w:t>
      </w:r>
      <w:r>
        <w:t>provided,</w:t>
      </w:r>
      <w:r>
        <w:rPr>
          <w:spacing w:val="-5"/>
        </w:rPr>
        <w:t xml:space="preserve"> </w:t>
      </w:r>
      <w:r>
        <w:t>the</w:t>
      </w:r>
      <w:r>
        <w:rPr>
          <w:spacing w:val="-11"/>
        </w:rPr>
        <w:t xml:space="preserve"> </w:t>
      </w:r>
      <w:r>
        <w:t>IPO</w:t>
      </w:r>
      <w:r>
        <w:rPr>
          <w:spacing w:val="-7"/>
        </w:rPr>
        <w:t xml:space="preserve"> </w:t>
      </w:r>
      <w:r>
        <w:t>CZ</w:t>
      </w:r>
      <w:r>
        <w:rPr>
          <w:spacing w:val="-6"/>
        </w:rPr>
        <w:t xml:space="preserve"> </w:t>
      </w:r>
      <w:r>
        <w:t>has</w:t>
      </w:r>
      <w:r>
        <w:rPr>
          <w:spacing w:val="-8"/>
        </w:rPr>
        <w:t xml:space="preserve"> </w:t>
      </w:r>
      <w:r>
        <w:t>established</w:t>
      </w:r>
      <w:r>
        <w:rPr>
          <w:spacing w:val="-5"/>
        </w:rPr>
        <w:t xml:space="preserve"> </w:t>
      </w:r>
      <w:r>
        <w:t>cooperation</w:t>
      </w:r>
      <w:r>
        <w:rPr>
          <w:spacing w:val="-7"/>
        </w:rPr>
        <w:t xml:space="preserve"> </w:t>
      </w:r>
      <w:r>
        <w:t>with</w:t>
      </w:r>
      <w:r>
        <w:rPr>
          <w:spacing w:val="-6"/>
        </w:rPr>
        <w:t xml:space="preserve"> </w:t>
      </w:r>
      <w:r>
        <w:t>the</w:t>
      </w:r>
      <w:r>
        <w:rPr>
          <w:spacing w:val="-8"/>
        </w:rPr>
        <w:t xml:space="preserve"> </w:t>
      </w:r>
      <w:r>
        <w:t>Chamber</w:t>
      </w:r>
      <w:r>
        <w:rPr>
          <w:spacing w:val="-5"/>
        </w:rPr>
        <w:t xml:space="preserve"> </w:t>
      </w:r>
      <w:r>
        <w:t>of Patent Attorneys of the Czech Republic and the Czech Bar</w:t>
      </w:r>
      <w:r>
        <w:rPr>
          <w:spacing w:val="-15"/>
        </w:rPr>
        <w:t xml:space="preserve"> </w:t>
      </w:r>
      <w:r>
        <w:t>Association.</w:t>
      </w:r>
    </w:p>
    <w:p w14:paraId="2D18D311" w14:textId="77777777" w:rsidR="00D757DA" w:rsidRDefault="00D757DA">
      <w:pPr>
        <w:pStyle w:val="Zkladntext"/>
        <w:spacing w:before="4"/>
        <w:rPr>
          <w:sz w:val="25"/>
        </w:rPr>
      </w:pPr>
    </w:p>
    <w:p w14:paraId="2C65F4BD" w14:textId="77777777" w:rsidR="00D757DA" w:rsidRDefault="0033254E">
      <w:pPr>
        <w:pStyle w:val="Nadpis2"/>
        <w:numPr>
          <w:ilvl w:val="0"/>
          <w:numId w:val="3"/>
        </w:numPr>
        <w:tabs>
          <w:tab w:val="left" w:pos="389"/>
        </w:tabs>
        <w:spacing w:before="1"/>
      </w:pPr>
      <w:bookmarkStart w:id="76" w:name="5._IP_Scan_quality_assessment"/>
      <w:bookmarkEnd w:id="76"/>
      <w:r>
        <w:t>IP Scan quality</w:t>
      </w:r>
      <w:r>
        <w:rPr>
          <w:spacing w:val="-6"/>
        </w:rPr>
        <w:t xml:space="preserve"> </w:t>
      </w:r>
      <w:r>
        <w:t>assessment</w:t>
      </w:r>
    </w:p>
    <w:p w14:paraId="5E6ACE06" w14:textId="77777777" w:rsidR="00D757DA" w:rsidRDefault="00D757DA">
      <w:pPr>
        <w:pStyle w:val="Zkladntext"/>
        <w:spacing w:before="6"/>
        <w:rPr>
          <w:b/>
          <w:sz w:val="24"/>
        </w:rPr>
      </w:pPr>
    </w:p>
    <w:p w14:paraId="426EB471" w14:textId="77777777" w:rsidR="00D757DA" w:rsidRDefault="0033254E">
      <w:pPr>
        <w:pStyle w:val="Zkladntext"/>
        <w:spacing w:line="276" w:lineRule="auto"/>
        <w:ind w:left="120" w:right="1442"/>
        <w:jc w:val="both"/>
      </w:pPr>
      <w:r>
        <w:t>When checking the quality of the final IP Scan report, the IPO CZ assesses whether the final IP Scan report has been prepared in accordance with the EUIPO interview manual and whether it contains:</w:t>
      </w:r>
    </w:p>
    <w:p w14:paraId="2C0D1AFC" w14:textId="77777777" w:rsidR="00D757DA" w:rsidRDefault="00D757DA">
      <w:pPr>
        <w:spacing w:line="276" w:lineRule="auto"/>
        <w:jc w:val="both"/>
        <w:sectPr w:rsidR="00D757DA">
          <w:pgSz w:w="11910" w:h="16840"/>
          <w:pgMar w:top="1340" w:right="0" w:bottom="1160" w:left="1320" w:header="0" w:footer="881" w:gutter="0"/>
          <w:cols w:space="708"/>
        </w:sectPr>
      </w:pPr>
    </w:p>
    <w:p w14:paraId="0DD0F76A" w14:textId="77777777" w:rsidR="00D757DA" w:rsidRDefault="0033254E">
      <w:pPr>
        <w:pStyle w:val="Odstavecseseznamem"/>
        <w:numPr>
          <w:ilvl w:val="0"/>
          <w:numId w:val="2"/>
        </w:numPr>
        <w:tabs>
          <w:tab w:val="left" w:pos="841"/>
        </w:tabs>
        <w:spacing w:before="132"/>
        <w:ind w:hanging="361"/>
      </w:pPr>
      <w:r>
        <w:lastRenderedPageBreak/>
        <w:t>clear business model used for the IP</w:t>
      </w:r>
      <w:r>
        <w:rPr>
          <w:spacing w:val="-7"/>
        </w:rPr>
        <w:t xml:space="preserve"> </w:t>
      </w:r>
      <w:r>
        <w:t>strategy</w:t>
      </w:r>
    </w:p>
    <w:p w14:paraId="24B04406" w14:textId="77777777" w:rsidR="00D757DA" w:rsidRDefault="0033254E">
      <w:pPr>
        <w:pStyle w:val="Odstavecseseznamem"/>
        <w:numPr>
          <w:ilvl w:val="0"/>
          <w:numId w:val="2"/>
        </w:numPr>
        <w:tabs>
          <w:tab w:val="left" w:pos="841"/>
        </w:tabs>
        <w:spacing w:before="38"/>
        <w:ind w:hanging="361"/>
      </w:pPr>
      <w:r>
        <w:t>Identification of relevant intellectual property</w:t>
      </w:r>
      <w:r>
        <w:rPr>
          <w:spacing w:val="-4"/>
        </w:rPr>
        <w:t xml:space="preserve"> </w:t>
      </w:r>
      <w:r>
        <w:t>rights</w:t>
      </w:r>
    </w:p>
    <w:p w14:paraId="192E5B98" w14:textId="77777777" w:rsidR="00D757DA" w:rsidRDefault="0033254E">
      <w:pPr>
        <w:pStyle w:val="Odstavecseseznamem"/>
        <w:numPr>
          <w:ilvl w:val="0"/>
          <w:numId w:val="2"/>
        </w:numPr>
        <w:tabs>
          <w:tab w:val="left" w:pos="841"/>
        </w:tabs>
        <w:spacing w:before="39"/>
        <w:ind w:hanging="361"/>
      </w:pPr>
      <w:r>
        <w:t>IP management</w:t>
      </w:r>
      <w:r>
        <w:rPr>
          <w:spacing w:val="-4"/>
        </w:rPr>
        <w:t xml:space="preserve"> </w:t>
      </w:r>
      <w:r>
        <w:t>section</w:t>
      </w:r>
    </w:p>
    <w:p w14:paraId="227C9FA7" w14:textId="77777777" w:rsidR="00D757DA" w:rsidRDefault="0033254E">
      <w:pPr>
        <w:pStyle w:val="Odstavecseseznamem"/>
        <w:numPr>
          <w:ilvl w:val="0"/>
          <w:numId w:val="2"/>
        </w:numPr>
        <w:tabs>
          <w:tab w:val="left" w:pos="841"/>
        </w:tabs>
        <w:spacing w:before="38"/>
        <w:ind w:hanging="361"/>
      </w:pPr>
      <w:r>
        <w:t>Recommendations related to the business</w:t>
      </w:r>
      <w:r>
        <w:rPr>
          <w:spacing w:val="-9"/>
        </w:rPr>
        <w:t xml:space="preserve"> </w:t>
      </w:r>
      <w:r>
        <w:t>model</w:t>
      </w:r>
    </w:p>
    <w:p w14:paraId="22057D72" w14:textId="77777777" w:rsidR="00D757DA" w:rsidRDefault="0033254E">
      <w:pPr>
        <w:pStyle w:val="Odstavecseseznamem"/>
        <w:numPr>
          <w:ilvl w:val="0"/>
          <w:numId w:val="2"/>
        </w:numPr>
        <w:tabs>
          <w:tab w:val="left" w:pos="841"/>
        </w:tabs>
        <w:spacing w:before="37" w:line="276" w:lineRule="auto"/>
        <w:ind w:right="1440"/>
      </w:pPr>
      <w:r>
        <w:t>References to public support and private services to facilitate implementation of recommendations</w:t>
      </w:r>
    </w:p>
    <w:p w14:paraId="47AA4599" w14:textId="77777777" w:rsidR="00D757DA" w:rsidRDefault="0033254E">
      <w:pPr>
        <w:pStyle w:val="Odstavecseseznamem"/>
        <w:numPr>
          <w:ilvl w:val="0"/>
          <w:numId w:val="2"/>
        </w:numPr>
        <w:tabs>
          <w:tab w:val="left" w:pos="840"/>
          <w:tab w:val="left" w:pos="841"/>
        </w:tabs>
        <w:spacing w:before="2"/>
        <w:ind w:hanging="361"/>
      </w:pPr>
      <w:r>
        <w:t>Sufficiently detailed content in all required</w:t>
      </w:r>
      <w:r>
        <w:rPr>
          <w:spacing w:val="-2"/>
        </w:rPr>
        <w:t xml:space="preserve"> </w:t>
      </w:r>
      <w:r>
        <w:t>chapters</w:t>
      </w:r>
    </w:p>
    <w:p w14:paraId="6A3CC77C" w14:textId="77777777" w:rsidR="00D757DA" w:rsidRDefault="00D757DA">
      <w:pPr>
        <w:pStyle w:val="Zkladntext"/>
        <w:spacing w:before="5"/>
        <w:rPr>
          <w:sz w:val="28"/>
        </w:rPr>
      </w:pPr>
    </w:p>
    <w:p w14:paraId="38BDD622" w14:textId="77777777" w:rsidR="00D757DA" w:rsidRDefault="0033254E">
      <w:pPr>
        <w:pStyle w:val="Zkladntext"/>
        <w:spacing w:line="276" w:lineRule="auto"/>
        <w:ind w:left="120" w:right="1339"/>
      </w:pPr>
      <w:r>
        <w:t>IPO CZ will not certify the quality of the IP Scan final report if it does not meet the quality criteria in all assessed areas.</w:t>
      </w:r>
    </w:p>
    <w:p w14:paraId="65CCBA61" w14:textId="77777777" w:rsidR="00D757DA" w:rsidRDefault="00D757DA">
      <w:pPr>
        <w:pStyle w:val="Zkladntext"/>
        <w:spacing w:before="5"/>
        <w:rPr>
          <w:sz w:val="25"/>
        </w:rPr>
      </w:pPr>
    </w:p>
    <w:p w14:paraId="7A1707E2" w14:textId="77777777" w:rsidR="00D757DA" w:rsidRDefault="0033254E">
      <w:pPr>
        <w:pStyle w:val="Zkladntext"/>
        <w:spacing w:line="276" w:lineRule="auto"/>
        <w:ind w:left="120" w:right="1339"/>
      </w:pPr>
      <w:r>
        <w:t>Especially for this reason the IPO CZ may remove an expert from the list of IP Scan service providers in case of repeated failure to meet the required quality of services provided.</w:t>
      </w:r>
    </w:p>
    <w:p w14:paraId="6096517A" w14:textId="77777777" w:rsidR="00D757DA" w:rsidRDefault="00D757DA">
      <w:pPr>
        <w:pStyle w:val="Zkladntext"/>
        <w:spacing w:before="2"/>
        <w:rPr>
          <w:sz w:val="25"/>
        </w:rPr>
      </w:pPr>
    </w:p>
    <w:p w14:paraId="01C09036" w14:textId="77777777" w:rsidR="00D757DA" w:rsidRDefault="0033254E">
      <w:pPr>
        <w:pStyle w:val="Nadpis2"/>
        <w:numPr>
          <w:ilvl w:val="0"/>
          <w:numId w:val="3"/>
        </w:numPr>
        <w:tabs>
          <w:tab w:val="left" w:pos="389"/>
        </w:tabs>
        <w:spacing w:before="1"/>
      </w:pPr>
      <w:bookmarkStart w:id="77" w:name="6._Publication_of_the_List_of_IP_Scan_Se"/>
      <w:bookmarkEnd w:id="77"/>
      <w:r>
        <w:t>Publication of the List of IP Scan Service</w:t>
      </w:r>
      <w:r>
        <w:rPr>
          <w:spacing w:val="-23"/>
        </w:rPr>
        <w:t xml:space="preserve"> </w:t>
      </w:r>
      <w:r>
        <w:t>Providers</w:t>
      </w:r>
    </w:p>
    <w:p w14:paraId="536927C1" w14:textId="77777777" w:rsidR="00D757DA" w:rsidRDefault="00D757DA">
      <w:pPr>
        <w:pStyle w:val="Zkladntext"/>
        <w:spacing w:before="6"/>
        <w:rPr>
          <w:b/>
          <w:sz w:val="24"/>
        </w:rPr>
      </w:pPr>
    </w:p>
    <w:p w14:paraId="0427038A" w14:textId="77777777" w:rsidR="00D757DA" w:rsidRDefault="0033254E">
      <w:pPr>
        <w:pStyle w:val="Zkladntext"/>
        <w:ind w:left="120"/>
      </w:pPr>
      <w:r>
        <w:t>IP Scan service providers are published on the website of IPO</w:t>
      </w:r>
      <w:r>
        <w:rPr>
          <w:spacing w:val="-24"/>
        </w:rPr>
        <w:t xml:space="preserve"> </w:t>
      </w:r>
      <w:r>
        <w:t>CZ.</w:t>
      </w:r>
    </w:p>
    <w:p w14:paraId="67BF893E" w14:textId="77777777" w:rsidR="00D757DA" w:rsidRDefault="00D757DA">
      <w:pPr>
        <w:pStyle w:val="Zkladntext"/>
        <w:spacing w:before="7"/>
        <w:rPr>
          <w:sz w:val="28"/>
        </w:rPr>
      </w:pPr>
    </w:p>
    <w:p w14:paraId="3A00EDA2" w14:textId="77777777" w:rsidR="00D757DA" w:rsidRDefault="0033254E">
      <w:pPr>
        <w:pStyle w:val="Nadpis2"/>
        <w:numPr>
          <w:ilvl w:val="0"/>
          <w:numId w:val="3"/>
        </w:numPr>
        <w:tabs>
          <w:tab w:val="left" w:pos="387"/>
        </w:tabs>
        <w:spacing w:line="276" w:lineRule="auto"/>
        <w:ind w:left="120" w:right="1437" w:firstLine="0"/>
      </w:pPr>
      <w:bookmarkStart w:id="78" w:name="7._The_process_of_providing_the_IP_Scan_"/>
      <w:bookmarkEnd w:id="78"/>
      <w:r>
        <w:t>T</w:t>
      </w:r>
      <w:r>
        <w:t>he process of providing the IP Scan service at the IPO CZ following on</w:t>
      </w:r>
      <w:r>
        <w:rPr>
          <w:spacing w:val="-36"/>
        </w:rPr>
        <w:t xml:space="preserve"> </w:t>
      </w:r>
      <w:r>
        <w:t>from the processes of providing the IP Scan service at the</w:t>
      </w:r>
      <w:r>
        <w:rPr>
          <w:spacing w:val="-10"/>
        </w:rPr>
        <w:t xml:space="preserve"> </w:t>
      </w:r>
      <w:r>
        <w:t>EUIPO</w:t>
      </w:r>
    </w:p>
    <w:p w14:paraId="50A93F16" w14:textId="77777777" w:rsidR="00D757DA" w:rsidRDefault="00D757DA">
      <w:pPr>
        <w:pStyle w:val="Zkladntext"/>
        <w:spacing w:before="8"/>
        <w:rPr>
          <w:b/>
          <w:sz w:val="20"/>
        </w:rPr>
      </w:pPr>
    </w:p>
    <w:p w14:paraId="07E603AA" w14:textId="77777777" w:rsidR="00D757DA" w:rsidRDefault="0033254E">
      <w:pPr>
        <w:pStyle w:val="Zkladntext"/>
        <w:ind w:left="120"/>
      </w:pPr>
      <w:r>
        <w:t>The following dates are decisive for the performance of the IP Scan service:</w:t>
      </w:r>
    </w:p>
    <w:p w14:paraId="1E274DFA" w14:textId="77777777" w:rsidR="00D757DA" w:rsidRDefault="00D757DA">
      <w:pPr>
        <w:pStyle w:val="Zkladntext"/>
        <w:spacing w:before="9"/>
        <w:rPr>
          <w:sz w:val="28"/>
        </w:rPr>
      </w:pPr>
    </w:p>
    <w:p w14:paraId="64E732A8" w14:textId="77777777" w:rsidR="00D757DA" w:rsidRDefault="0033254E">
      <w:pPr>
        <w:pStyle w:val="Odstavecseseznamem"/>
        <w:numPr>
          <w:ilvl w:val="0"/>
          <w:numId w:val="1"/>
        </w:numPr>
        <w:tabs>
          <w:tab w:val="left" w:pos="840"/>
          <w:tab w:val="left" w:pos="841"/>
        </w:tabs>
        <w:ind w:hanging="361"/>
        <w:jc w:val="left"/>
      </w:pPr>
      <w:r>
        <w:t>D1 Date of voucher allocation – start of</w:t>
      </w:r>
      <w:r>
        <w:rPr>
          <w:spacing w:val="-2"/>
        </w:rPr>
        <w:t xml:space="preserve"> </w:t>
      </w:r>
      <w:r>
        <w:t>service</w:t>
      </w:r>
    </w:p>
    <w:p w14:paraId="148F31C6" w14:textId="77777777" w:rsidR="00D757DA" w:rsidRDefault="0033254E">
      <w:pPr>
        <w:pStyle w:val="Odstavecseseznamem"/>
        <w:numPr>
          <w:ilvl w:val="0"/>
          <w:numId w:val="1"/>
        </w:numPr>
        <w:tabs>
          <w:tab w:val="left" w:pos="840"/>
          <w:tab w:val="left" w:pos="841"/>
        </w:tabs>
        <w:spacing w:before="37"/>
        <w:ind w:hanging="361"/>
        <w:jc w:val="left"/>
      </w:pPr>
      <w:r>
        <w:t>D2 Date of request to the IPO CZ for approval of the</w:t>
      </w:r>
      <w:r>
        <w:rPr>
          <w:spacing w:val="-12"/>
        </w:rPr>
        <w:t xml:space="preserve"> </w:t>
      </w:r>
      <w:r>
        <w:t>provider</w:t>
      </w:r>
    </w:p>
    <w:p w14:paraId="54752B21" w14:textId="77777777" w:rsidR="00D757DA" w:rsidRDefault="0033254E">
      <w:pPr>
        <w:pStyle w:val="Odstavecseseznamem"/>
        <w:numPr>
          <w:ilvl w:val="0"/>
          <w:numId w:val="1"/>
        </w:numPr>
        <w:tabs>
          <w:tab w:val="left" w:pos="840"/>
          <w:tab w:val="left" w:pos="841"/>
        </w:tabs>
        <w:spacing w:before="38"/>
        <w:ind w:hanging="361"/>
        <w:jc w:val="left"/>
      </w:pPr>
      <w:r>
        <w:t>D3 Date of approval of provider</w:t>
      </w:r>
      <w:r>
        <w:rPr>
          <w:spacing w:val="3"/>
        </w:rPr>
        <w:t xml:space="preserve"> </w:t>
      </w:r>
      <w:r>
        <w:t>allocation</w:t>
      </w:r>
    </w:p>
    <w:p w14:paraId="2E0485A7" w14:textId="77777777" w:rsidR="00D757DA" w:rsidRDefault="0033254E">
      <w:pPr>
        <w:pStyle w:val="Odstavecseseznamem"/>
        <w:numPr>
          <w:ilvl w:val="0"/>
          <w:numId w:val="1"/>
        </w:numPr>
        <w:tabs>
          <w:tab w:val="left" w:pos="840"/>
          <w:tab w:val="left" w:pos="841"/>
        </w:tabs>
        <w:spacing w:before="39" w:line="276" w:lineRule="auto"/>
        <w:ind w:right="1437"/>
        <w:jc w:val="left"/>
      </w:pPr>
      <w:r>
        <w:t>D4 Latest date by which it is possible to request the IPO CZ to perform the IP Scan service for a specific</w:t>
      </w:r>
      <w:r>
        <w:rPr>
          <w:spacing w:val="-3"/>
        </w:rPr>
        <w:t xml:space="preserve"> </w:t>
      </w:r>
      <w:r>
        <w:t>voucher</w:t>
      </w:r>
    </w:p>
    <w:p w14:paraId="7E882A63" w14:textId="77777777" w:rsidR="00D757DA" w:rsidRDefault="0033254E">
      <w:pPr>
        <w:pStyle w:val="Odstavecseseznamem"/>
        <w:numPr>
          <w:ilvl w:val="0"/>
          <w:numId w:val="1"/>
        </w:numPr>
        <w:tabs>
          <w:tab w:val="left" w:pos="840"/>
          <w:tab w:val="left" w:pos="841"/>
        </w:tabs>
        <w:spacing w:line="276" w:lineRule="auto"/>
        <w:ind w:right="1436"/>
        <w:jc w:val="left"/>
      </w:pPr>
      <w:r>
        <w:t>D5 Latest date for the provider to confirm that it will perform the specific service re- quested</w:t>
      </w:r>
    </w:p>
    <w:p w14:paraId="48CF062F" w14:textId="77777777" w:rsidR="00D757DA" w:rsidRDefault="0033254E">
      <w:pPr>
        <w:pStyle w:val="Odstavecseseznamem"/>
        <w:numPr>
          <w:ilvl w:val="0"/>
          <w:numId w:val="1"/>
        </w:numPr>
        <w:tabs>
          <w:tab w:val="left" w:pos="840"/>
          <w:tab w:val="left" w:pos="841"/>
        </w:tabs>
        <w:spacing w:line="278" w:lineRule="auto"/>
        <w:ind w:right="1439"/>
        <w:jc w:val="left"/>
      </w:pPr>
      <w:r>
        <w:t>D6 Date of submission of the final report by the provider for quality control by the IPO CZ</w:t>
      </w:r>
    </w:p>
    <w:p w14:paraId="492D1A68" w14:textId="77777777" w:rsidR="00D757DA" w:rsidRDefault="0033254E">
      <w:pPr>
        <w:pStyle w:val="Odstavecseseznamem"/>
        <w:numPr>
          <w:ilvl w:val="0"/>
          <w:numId w:val="1"/>
        </w:numPr>
        <w:tabs>
          <w:tab w:val="left" w:pos="841"/>
        </w:tabs>
        <w:spacing w:line="249" w:lineRule="exact"/>
        <w:ind w:hanging="361"/>
      </w:pPr>
      <w:r>
        <w:t>D7 Latest date for submission of the final IP Scan report for quality</w:t>
      </w:r>
      <w:r>
        <w:rPr>
          <w:spacing w:val="-18"/>
        </w:rPr>
        <w:t xml:space="preserve"> </w:t>
      </w:r>
      <w:r>
        <w:t>control</w:t>
      </w:r>
    </w:p>
    <w:p w14:paraId="625ADFBF" w14:textId="77777777" w:rsidR="00D757DA" w:rsidRDefault="0033254E">
      <w:pPr>
        <w:pStyle w:val="Odstavecseseznamem"/>
        <w:numPr>
          <w:ilvl w:val="0"/>
          <w:numId w:val="1"/>
        </w:numPr>
        <w:tabs>
          <w:tab w:val="left" w:pos="840"/>
          <w:tab w:val="left" w:pos="841"/>
        </w:tabs>
        <w:spacing w:before="36"/>
        <w:ind w:hanging="361"/>
        <w:jc w:val="left"/>
      </w:pPr>
      <w:r>
        <w:t>D8 Latest date for confirmation of the quality of the service</w:t>
      </w:r>
      <w:r>
        <w:rPr>
          <w:spacing w:val="-13"/>
        </w:rPr>
        <w:t xml:space="preserve"> </w:t>
      </w:r>
      <w:r>
        <w:t>performer</w:t>
      </w:r>
    </w:p>
    <w:p w14:paraId="534685AA" w14:textId="77777777" w:rsidR="00D757DA" w:rsidRDefault="0033254E">
      <w:pPr>
        <w:pStyle w:val="Odstavecseseznamem"/>
        <w:numPr>
          <w:ilvl w:val="0"/>
          <w:numId w:val="1"/>
        </w:numPr>
        <w:tabs>
          <w:tab w:val="left" w:pos="840"/>
          <w:tab w:val="left" w:pos="841"/>
        </w:tabs>
        <w:spacing w:before="38" w:line="554" w:lineRule="auto"/>
        <w:ind w:left="120" w:right="7355" w:firstLine="360"/>
        <w:jc w:val="left"/>
      </w:pPr>
      <w:r>
        <w:t>D9 Voucher validity date Process</w:t>
      </w:r>
      <w:r>
        <w:rPr>
          <w:spacing w:val="-3"/>
        </w:rPr>
        <w:t xml:space="preserve"> </w:t>
      </w:r>
      <w:r>
        <w:t>steps:</w:t>
      </w:r>
    </w:p>
    <w:p w14:paraId="5382BE72" w14:textId="77777777" w:rsidR="00D757DA" w:rsidRDefault="0033254E">
      <w:pPr>
        <w:pStyle w:val="Odstavecseseznamem"/>
        <w:numPr>
          <w:ilvl w:val="0"/>
          <w:numId w:val="1"/>
        </w:numPr>
        <w:tabs>
          <w:tab w:val="left" w:pos="841"/>
        </w:tabs>
        <w:spacing w:line="248" w:lineRule="exact"/>
        <w:ind w:hanging="361"/>
      </w:pPr>
      <w:r>
        <w:t>The SME applies for voucher 1 from the</w:t>
      </w:r>
      <w:r>
        <w:rPr>
          <w:spacing w:val="-7"/>
        </w:rPr>
        <w:t xml:space="preserve"> </w:t>
      </w:r>
      <w:r>
        <w:t>EUIPO.</w:t>
      </w:r>
    </w:p>
    <w:p w14:paraId="59D106A3" w14:textId="77777777" w:rsidR="00D757DA" w:rsidRDefault="0033254E">
      <w:pPr>
        <w:pStyle w:val="Odstavecseseznamem"/>
        <w:numPr>
          <w:ilvl w:val="0"/>
          <w:numId w:val="1"/>
        </w:numPr>
        <w:tabs>
          <w:tab w:val="left" w:pos="841"/>
        </w:tabs>
        <w:spacing w:before="37" w:line="276" w:lineRule="auto"/>
        <w:ind w:right="1437"/>
      </w:pPr>
      <w:r>
        <w:t>If the conditions assessed by the EUIPO in accordance with Call for Proposals GR/XXX/26</w:t>
      </w:r>
      <w:r>
        <w:rPr>
          <w:spacing w:val="-9"/>
        </w:rPr>
        <w:t xml:space="preserve"> </w:t>
      </w:r>
      <w:r>
        <w:t>are</w:t>
      </w:r>
      <w:r>
        <w:rPr>
          <w:spacing w:val="-11"/>
        </w:rPr>
        <w:t xml:space="preserve"> </w:t>
      </w:r>
      <w:r>
        <w:t>met,</w:t>
      </w:r>
      <w:r>
        <w:rPr>
          <w:spacing w:val="-6"/>
        </w:rPr>
        <w:t xml:space="preserve"> </w:t>
      </w:r>
      <w:r>
        <w:t>the</w:t>
      </w:r>
      <w:r>
        <w:rPr>
          <w:spacing w:val="-14"/>
        </w:rPr>
        <w:t xml:space="preserve"> </w:t>
      </w:r>
      <w:r>
        <w:t>EUIPO</w:t>
      </w:r>
      <w:r>
        <w:rPr>
          <w:spacing w:val="-6"/>
        </w:rPr>
        <w:t xml:space="preserve"> </w:t>
      </w:r>
      <w:r>
        <w:t>will</w:t>
      </w:r>
      <w:r>
        <w:rPr>
          <w:spacing w:val="-10"/>
        </w:rPr>
        <w:t xml:space="preserve"> </w:t>
      </w:r>
      <w:r>
        <w:t>allocate</w:t>
      </w:r>
      <w:r>
        <w:rPr>
          <w:spacing w:val="-8"/>
        </w:rPr>
        <w:t xml:space="preserve"> </w:t>
      </w:r>
      <w:r>
        <w:t>a</w:t>
      </w:r>
      <w:r>
        <w:rPr>
          <w:spacing w:val="-9"/>
        </w:rPr>
        <w:t xml:space="preserve"> </w:t>
      </w:r>
      <w:r>
        <w:t>voucher</w:t>
      </w:r>
      <w:r>
        <w:rPr>
          <w:spacing w:val="-8"/>
        </w:rPr>
        <w:t xml:space="preserve"> </w:t>
      </w:r>
      <w:r>
        <w:t>for</w:t>
      </w:r>
      <w:r>
        <w:rPr>
          <w:spacing w:val="-9"/>
        </w:rPr>
        <w:t xml:space="preserve"> </w:t>
      </w:r>
      <w:r>
        <w:t>the</w:t>
      </w:r>
      <w:r>
        <w:rPr>
          <w:spacing w:val="-9"/>
        </w:rPr>
        <w:t xml:space="preserve"> </w:t>
      </w:r>
      <w:r>
        <w:t>provision</w:t>
      </w:r>
      <w:r>
        <w:rPr>
          <w:spacing w:val="-8"/>
        </w:rPr>
        <w:t xml:space="preserve"> </w:t>
      </w:r>
      <w:r>
        <w:t>of</w:t>
      </w:r>
      <w:r>
        <w:rPr>
          <w:spacing w:val="-7"/>
        </w:rPr>
        <w:t xml:space="preserve"> </w:t>
      </w:r>
      <w:r>
        <w:t>the</w:t>
      </w:r>
      <w:r>
        <w:rPr>
          <w:spacing w:val="-8"/>
        </w:rPr>
        <w:t xml:space="preserve"> </w:t>
      </w:r>
      <w:r>
        <w:t>IP</w:t>
      </w:r>
      <w:r>
        <w:rPr>
          <w:spacing w:val="-9"/>
        </w:rPr>
        <w:t xml:space="preserve"> </w:t>
      </w:r>
      <w:r>
        <w:t>Scan service. The date of allocation of voucher (D1) is the decisive date for the "start of service." The voucher (D9) is valid for 6 months from the "start of</w:t>
      </w:r>
      <w:r>
        <w:rPr>
          <w:spacing w:val="-17"/>
        </w:rPr>
        <w:t xml:space="preserve"> </w:t>
      </w:r>
      <w:r>
        <w:t>service."</w:t>
      </w:r>
    </w:p>
    <w:p w14:paraId="42F87248" w14:textId="77777777" w:rsidR="00D757DA" w:rsidRDefault="0033254E">
      <w:pPr>
        <w:pStyle w:val="Odstavecseseznamem"/>
        <w:numPr>
          <w:ilvl w:val="0"/>
          <w:numId w:val="1"/>
        </w:numPr>
        <w:tabs>
          <w:tab w:val="left" w:pos="841"/>
        </w:tabs>
        <w:spacing w:before="1" w:line="278" w:lineRule="auto"/>
        <w:ind w:right="1439"/>
      </w:pPr>
      <w:r>
        <w:t xml:space="preserve">If a voucher is allocated by the EUIPO for the IP Scan service, the </w:t>
      </w:r>
      <w:r>
        <w:rPr>
          <w:spacing w:val="-2"/>
        </w:rPr>
        <w:t xml:space="preserve">SME </w:t>
      </w:r>
      <w:r>
        <w:t>selects a service provider from the list published on the IPO CZ</w:t>
      </w:r>
      <w:r>
        <w:rPr>
          <w:spacing w:val="-12"/>
        </w:rPr>
        <w:t xml:space="preserve"> </w:t>
      </w:r>
      <w:r>
        <w:t>website.</w:t>
      </w:r>
    </w:p>
    <w:p w14:paraId="5045108B" w14:textId="77777777" w:rsidR="00D757DA" w:rsidRDefault="00D757DA">
      <w:pPr>
        <w:spacing w:line="278" w:lineRule="auto"/>
        <w:jc w:val="both"/>
        <w:sectPr w:rsidR="00D757DA">
          <w:pgSz w:w="11910" w:h="16840"/>
          <w:pgMar w:top="1580" w:right="0" w:bottom="1160" w:left="1320" w:header="0" w:footer="881" w:gutter="0"/>
          <w:cols w:space="708"/>
        </w:sectPr>
      </w:pPr>
    </w:p>
    <w:p w14:paraId="04987CEA" w14:textId="77777777" w:rsidR="00D757DA" w:rsidRDefault="0033254E">
      <w:pPr>
        <w:pStyle w:val="Odstavecseseznamem"/>
        <w:numPr>
          <w:ilvl w:val="0"/>
          <w:numId w:val="1"/>
        </w:numPr>
        <w:tabs>
          <w:tab w:val="left" w:pos="841"/>
        </w:tabs>
        <w:spacing w:before="81" w:line="276" w:lineRule="auto"/>
        <w:ind w:right="1438"/>
      </w:pPr>
      <w:r>
        <w:lastRenderedPageBreak/>
        <w:t>The SME will ask the IPO CZ to approve the selected service provider. It is recommended to contact the IPO CZ as soon as possible after receiving the voucher from EUIPO, no later than 90 days (D4) before the expiry of voucher</w:t>
      </w:r>
      <w:r>
        <w:rPr>
          <w:spacing w:val="-22"/>
        </w:rPr>
        <w:t xml:space="preserve"> </w:t>
      </w:r>
      <w:r>
        <w:t>(D9).</w:t>
      </w:r>
    </w:p>
    <w:p w14:paraId="68FCDD5E" w14:textId="77777777" w:rsidR="00D757DA" w:rsidRDefault="0033254E">
      <w:pPr>
        <w:pStyle w:val="Odstavecseseznamem"/>
        <w:numPr>
          <w:ilvl w:val="0"/>
          <w:numId w:val="1"/>
        </w:numPr>
        <w:tabs>
          <w:tab w:val="left" w:pos="841"/>
        </w:tabs>
        <w:spacing w:before="2" w:line="276" w:lineRule="auto"/>
        <w:ind w:right="1439"/>
      </w:pPr>
      <w:r>
        <w:t>If the provider meets the conditions for providing the IP Scan service, the IPO CZ will approve the performance of the service by the selected provider and inform the SME and the selected provider</w:t>
      </w:r>
      <w:r>
        <w:rPr>
          <w:spacing w:val="-4"/>
        </w:rPr>
        <w:t xml:space="preserve"> </w:t>
      </w:r>
      <w:r>
        <w:t>accordingly.</w:t>
      </w:r>
    </w:p>
    <w:p w14:paraId="47C56079" w14:textId="77777777" w:rsidR="00D757DA" w:rsidRDefault="0033254E">
      <w:pPr>
        <w:pStyle w:val="Odstavecseseznamem"/>
        <w:numPr>
          <w:ilvl w:val="0"/>
          <w:numId w:val="1"/>
        </w:numPr>
        <w:tabs>
          <w:tab w:val="left" w:pos="841"/>
        </w:tabs>
        <w:spacing w:line="276" w:lineRule="auto"/>
        <w:ind w:right="1435"/>
      </w:pPr>
      <w:r>
        <w:t>Within</w:t>
      </w:r>
      <w:r>
        <w:rPr>
          <w:spacing w:val="-7"/>
        </w:rPr>
        <w:t xml:space="preserve"> </w:t>
      </w:r>
      <w:r>
        <w:t>30</w:t>
      </w:r>
      <w:r>
        <w:rPr>
          <w:spacing w:val="-7"/>
        </w:rPr>
        <w:t xml:space="preserve"> </w:t>
      </w:r>
      <w:r>
        <w:t>days</w:t>
      </w:r>
      <w:r>
        <w:rPr>
          <w:spacing w:val="-8"/>
        </w:rPr>
        <w:t xml:space="preserve"> </w:t>
      </w:r>
      <w:r>
        <w:t>(D5)</w:t>
      </w:r>
      <w:r>
        <w:rPr>
          <w:spacing w:val="-6"/>
        </w:rPr>
        <w:t xml:space="preserve"> </w:t>
      </w:r>
      <w:r>
        <w:t>of</w:t>
      </w:r>
      <w:r>
        <w:rPr>
          <w:spacing w:val="-5"/>
        </w:rPr>
        <w:t xml:space="preserve"> </w:t>
      </w:r>
      <w:r>
        <w:t>receiving</w:t>
      </w:r>
      <w:r>
        <w:rPr>
          <w:spacing w:val="-7"/>
        </w:rPr>
        <w:t xml:space="preserve"> </w:t>
      </w:r>
      <w:r>
        <w:t>information</w:t>
      </w:r>
      <w:r>
        <w:rPr>
          <w:spacing w:val="-7"/>
        </w:rPr>
        <w:t xml:space="preserve"> </w:t>
      </w:r>
      <w:r>
        <w:t>that</w:t>
      </w:r>
      <w:r>
        <w:rPr>
          <w:spacing w:val="-6"/>
        </w:rPr>
        <w:t xml:space="preserve"> </w:t>
      </w:r>
      <w:r>
        <w:t>it</w:t>
      </w:r>
      <w:r>
        <w:rPr>
          <w:spacing w:val="-7"/>
        </w:rPr>
        <w:t xml:space="preserve"> </w:t>
      </w:r>
      <w:r>
        <w:t>has</w:t>
      </w:r>
      <w:r>
        <w:rPr>
          <w:spacing w:val="-6"/>
        </w:rPr>
        <w:t xml:space="preserve"> </w:t>
      </w:r>
      <w:r>
        <w:t>been</w:t>
      </w:r>
      <w:r>
        <w:rPr>
          <w:spacing w:val="-7"/>
        </w:rPr>
        <w:t xml:space="preserve"> </w:t>
      </w:r>
      <w:r>
        <w:t>selected</w:t>
      </w:r>
      <w:r>
        <w:rPr>
          <w:spacing w:val="-6"/>
        </w:rPr>
        <w:t xml:space="preserve"> </w:t>
      </w:r>
      <w:r>
        <w:t>as</w:t>
      </w:r>
      <w:r>
        <w:rPr>
          <w:spacing w:val="-6"/>
        </w:rPr>
        <w:t xml:space="preserve"> </w:t>
      </w:r>
      <w:r>
        <w:t>a</w:t>
      </w:r>
      <w:r>
        <w:rPr>
          <w:spacing w:val="-9"/>
        </w:rPr>
        <w:t xml:space="preserve"> </w:t>
      </w:r>
      <w:r>
        <w:t>provider</w:t>
      </w:r>
      <w:r>
        <w:rPr>
          <w:spacing w:val="-5"/>
        </w:rPr>
        <w:t xml:space="preserve"> </w:t>
      </w:r>
      <w:r>
        <w:t>for a specific SME, the selected provider will confirm that it will perform the service under the</w:t>
      </w:r>
      <w:r>
        <w:rPr>
          <w:spacing w:val="-13"/>
        </w:rPr>
        <w:t xml:space="preserve"> </w:t>
      </w:r>
      <w:r>
        <w:t>specified</w:t>
      </w:r>
      <w:r>
        <w:rPr>
          <w:spacing w:val="-13"/>
        </w:rPr>
        <w:t xml:space="preserve"> </w:t>
      </w:r>
      <w:r>
        <w:t>conditions.</w:t>
      </w:r>
      <w:r>
        <w:rPr>
          <w:spacing w:val="-15"/>
        </w:rPr>
        <w:t xml:space="preserve"> </w:t>
      </w:r>
      <w:r>
        <w:t>By</w:t>
      </w:r>
      <w:r>
        <w:rPr>
          <w:spacing w:val="-12"/>
        </w:rPr>
        <w:t xml:space="preserve"> </w:t>
      </w:r>
      <w:r>
        <w:t>confirming,</w:t>
      </w:r>
      <w:r>
        <w:rPr>
          <w:spacing w:val="-15"/>
        </w:rPr>
        <w:t xml:space="preserve"> </w:t>
      </w:r>
      <w:r>
        <w:t>the</w:t>
      </w:r>
      <w:r>
        <w:rPr>
          <w:spacing w:val="-13"/>
        </w:rPr>
        <w:t xml:space="preserve"> </w:t>
      </w:r>
      <w:r>
        <w:t>provider</w:t>
      </w:r>
      <w:r>
        <w:rPr>
          <w:spacing w:val="-11"/>
        </w:rPr>
        <w:t xml:space="preserve"> </w:t>
      </w:r>
      <w:r>
        <w:t>also</w:t>
      </w:r>
      <w:r>
        <w:rPr>
          <w:spacing w:val="-14"/>
        </w:rPr>
        <w:t xml:space="preserve"> </w:t>
      </w:r>
      <w:r>
        <w:t>undertakes</w:t>
      </w:r>
      <w:r>
        <w:rPr>
          <w:spacing w:val="-14"/>
        </w:rPr>
        <w:t xml:space="preserve"> </w:t>
      </w:r>
      <w:r>
        <w:t>to</w:t>
      </w:r>
      <w:r>
        <w:rPr>
          <w:spacing w:val="-15"/>
        </w:rPr>
        <w:t xml:space="preserve"> </w:t>
      </w:r>
      <w:r>
        <w:t>deliver</w:t>
      </w:r>
      <w:r>
        <w:rPr>
          <w:spacing w:val="-13"/>
        </w:rPr>
        <w:t xml:space="preserve"> </w:t>
      </w:r>
      <w:r>
        <w:t>the</w:t>
      </w:r>
      <w:r>
        <w:rPr>
          <w:spacing w:val="-15"/>
        </w:rPr>
        <w:t xml:space="preserve"> </w:t>
      </w:r>
      <w:r>
        <w:t>final report to the SME after quality control by the IPO</w:t>
      </w:r>
      <w:r>
        <w:rPr>
          <w:spacing w:val="-11"/>
        </w:rPr>
        <w:t xml:space="preserve"> </w:t>
      </w:r>
      <w:r>
        <w:t>CZ.</w:t>
      </w:r>
    </w:p>
    <w:p w14:paraId="7A12EF6D" w14:textId="77777777" w:rsidR="00D757DA" w:rsidRDefault="0033254E">
      <w:pPr>
        <w:pStyle w:val="Odstavecseseznamem"/>
        <w:numPr>
          <w:ilvl w:val="0"/>
          <w:numId w:val="1"/>
        </w:numPr>
        <w:tabs>
          <w:tab w:val="left" w:pos="841"/>
        </w:tabs>
        <w:spacing w:line="276" w:lineRule="auto"/>
        <w:ind w:right="1439"/>
      </w:pPr>
      <w:r>
        <w:t>The provider will perform the IP Scan service for the SME. The price for the service set by the EUIPO is paid by the SME to the provider. The IPO CZ does not deal with the payment deadline for the</w:t>
      </w:r>
      <w:r>
        <w:rPr>
          <w:spacing w:val="-5"/>
        </w:rPr>
        <w:t xml:space="preserve"> </w:t>
      </w:r>
      <w:r>
        <w:t>service.</w:t>
      </w:r>
    </w:p>
    <w:p w14:paraId="437810E6" w14:textId="77777777" w:rsidR="00D757DA" w:rsidRDefault="0033254E">
      <w:pPr>
        <w:pStyle w:val="Odstavecseseznamem"/>
        <w:numPr>
          <w:ilvl w:val="0"/>
          <w:numId w:val="1"/>
        </w:numPr>
        <w:tabs>
          <w:tab w:val="left" w:pos="841"/>
        </w:tabs>
        <w:spacing w:line="276" w:lineRule="auto"/>
        <w:ind w:right="1433"/>
      </w:pPr>
      <w:r>
        <w:t>If</w:t>
      </w:r>
      <w:r>
        <w:rPr>
          <w:spacing w:val="-16"/>
        </w:rPr>
        <w:t xml:space="preserve"> </w:t>
      </w:r>
      <w:r>
        <w:t>the</w:t>
      </w:r>
      <w:r>
        <w:rPr>
          <w:spacing w:val="-14"/>
        </w:rPr>
        <w:t xml:space="preserve"> </w:t>
      </w:r>
      <w:r>
        <w:t>selected</w:t>
      </w:r>
      <w:r>
        <w:rPr>
          <w:spacing w:val="-14"/>
        </w:rPr>
        <w:t xml:space="preserve"> </w:t>
      </w:r>
      <w:r>
        <w:t>provider</w:t>
      </w:r>
      <w:r>
        <w:rPr>
          <w:spacing w:val="-14"/>
        </w:rPr>
        <w:t xml:space="preserve"> </w:t>
      </w:r>
      <w:r>
        <w:t>does</w:t>
      </w:r>
      <w:r>
        <w:rPr>
          <w:spacing w:val="-13"/>
        </w:rPr>
        <w:t xml:space="preserve"> </w:t>
      </w:r>
      <w:r>
        <w:t>not</w:t>
      </w:r>
      <w:r>
        <w:rPr>
          <w:spacing w:val="-12"/>
        </w:rPr>
        <w:t xml:space="preserve"> </w:t>
      </w:r>
      <w:r>
        <w:t>confirm</w:t>
      </w:r>
      <w:r>
        <w:rPr>
          <w:spacing w:val="-14"/>
        </w:rPr>
        <w:t xml:space="preserve"> </w:t>
      </w:r>
      <w:r>
        <w:t>the</w:t>
      </w:r>
      <w:r>
        <w:rPr>
          <w:spacing w:val="-16"/>
        </w:rPr>
        <w:t xml:space="preserve"> </w:t>
      </w:r>
      <w:r>
        <w:t>performance</w:t>
      </w:r>
      <w:r>
        <w:rPr>
          <w:spacing w:val="-16"/>
        </w:rPr>
        <w:t xml:space="preserve"> </w:t>
      </w:r>
      <w:r>
        <w:t>of</w:t>
      </w:r>
      <w:r>
        <w:rPr>
          <w:spacing w:val="-15"/>
        </w:rPr>
        <w:t xml:space="preserve"> </w:t>
      </w:r>
      <w:r>
        <w:t>the</w:t>
      </w:r>
      <w:r>
        <w:rPr>
          <w:spacing w:val="-14"/>
        </w:rPr>
        <w:t xml:space="preserve"> </w:t>
      </w:r>
      <w:r>
        <w:t>service</w:t>
      </w:r>
      <w:r>
        <w:rPr>
          <w:spacing w:val="-14"/>
        </w:rPr>
        <w:t xml:space="preserve"> </w:t>
      </w:r>
      <w:r>
        <w:t>within</w:t>
      </w:r>
      <w:r>
        <w:rPr>
          <w:spacing w:val="-14"/>
        </w:rPr>
        <w:t xml:space="preserve"> </w:t>
      </w:r>
      <w:r>
        <w:t>30</w:t>
      </w:r>
      <w:r>
        <w:rPr>
          <w:spacing w:val="-14"/>
        </w:rPr>
        <w:t xml:space="preserve"> </w:t>
      </w:r>
      <w:r>
        <w:t>days, the IPO CZ will contact the SME and any provider from the list of providers to perform the</w:t>
      </w:r>
      <w:r>
        <w:rPr>
          <w:spacing w:val="-16"/>
        </w:rPr>
        <w:t xml:space="preserve"> </w:t>
      </w:r>
      <w:r>
        <w:t>IP</w:t>
      </w:r>
      <w:r>
        <w:rPr>
          <w:spacing w:val="-13"/>
        </w:rPr>
        <w:t xml:space="preserve"> </w:t>
      </w:r>
      <w:r>
        <w:t>Scan</w:t>
      </w:r>
      <w:r>
        <w:rPr>
          <w:spacing w:val="-15"/>
        </w:rPr>
        <w:t xml:space="preserve"> </w:t>
      </w:r>
      <w:r>
        <w:t>service.</w:t>
      </w:r>
      <w:r>
        <w:rPr>
          <w:spacing w:val="-12"/>
        </w:rPr>
        <w:t xml:space="preserve"> </w:t>
      </w:r>
      <w:r>
        <w:t>The</w:t>
      </w:r>
      <w:r>
        <w:rPr>
          <w:spacing w:val="-18"/>
        </w:rPr>
        <w:t xml:space="preserve"> </w:t>
      </w:r>
      <w:r>
        <w:t>IPO</w:t>
      </w:r>
      <w:r>
        <w:rPr>
          <w:spacing w:val="-14"/>
        </w:rPr>
        <w:t xml:space="preserve"> </w:t>
      </w:r>
      <w:r>
        <w:t>CZ</w:t>
      </w:r>
      <w:r>
        <w:rPr>
          <w:spacing w:val="-13"/>
        </w:rPr>
        <w:t xml:space="preserve"> </w:t>
      </w:r>
      <w:r>
        <w:t>is</w:t>
      </w:r>
      <w:r>
        <w:rPr>
          <w:spacing w:val="-13"/>
        </w:rPr>
        <w:t xml:space="preserve"> </w:t>
      </w:r>
      <w:r>
        <w:t>not</w:t>
      </w:r>
      <w:r>
        <w:rPr>
          <w:spacing w:val="-11"/>
        </w:rPr>
        <w:t xml:space="preserve"> </w:t>
      </w:r>
      <w:r>
        <w:t>allowed</w:t>
      </w:r>
      <w:r>
        <w:rPr>
          <w:spacing w:val="-15"/>
        </w:rPr>
        <w:t xml:space="preserve"> </w:t>
      </w:r>
      <w:r>
        <w:t>to</w:t>
      </w:r>
      <w:r>
        <w:rPr>
          <w:spacing w:val="-16"/>
        </w:rPr>
        <w:t xml:space="preserve"> </w:t>
      </w:r>
      <w:r>
        <w:t>contact</w:t>
      </w:r>
      <w:r>
        <w:rPr>
          <w:spacing w:val="-14"/>
        </w:rPr>
        <w:t xml:space="preserve"> </w:t>
      </w:r>
      <w:r>
        <w:t>one</w:t>
      </w:r>
      <w:r>
        <w:rPr>
          <w:spacing w:val="-15"/>
        </w:rPr>
        <w:t xml:space="preserve"> </w:t>
      </w:r>
      <w:r>
        <w:t>provider</w:t>
      </w:r>
      <w:r>
        <w:rPr>
          <w:spacing w:val="-16"/>
        </w:rPr>
        <w:t xml:space="preserve"> </w:t>
      </w:r>
      <w:r>
        <w:t>more</w:t>
      </w:r>
      <w:r>
        <w:rPr>
          <w:spacing w:val="-14"/>
        </w:rPr>
        <w:t xml:space="preserve"> </w:t>
      </w:r>
      <w:r>
        <w:t>than</w:t>
      </w:r>
      <w:r>
        <w:rPr>
          <w:spacing w:val="-12"/>
        </w:rPr>
        <w:t xml:space="preserve"> </w:t>
      </w:r>
      <w:r>
        <w:t>three times a year to perform the</w:t>
      </w:r>
      <w:r>
        <w:rPr>
          <w:spacing w:val="-7"/>
        </w:rPr>
        <w:t xml:space="preserve"> </w:t>
      </w:r>
      <w:r>
        <w:t>service.</w:t>
      </w:r>
    </w:p>
    <w:p w14:paraId="702D1B66" w14:textId="77777777" w:rsidR="00D757DA" w:rsidRDefault="0033254E">
      <w:pPr>
        <w:pStyle w:val="Odstavecseseznamem"/>
        <w:numPr>
          <w:ilvl w:val="0"/>
          <w:numId w:val="1"/>
        </w:numPr>
        <w:tabs>
          <w:tab w:val="left" w:pos="841"/>
        </w:tabs>
        <w:spacing w:line="276" w:lineRule="auto"/>
        <w:ind w:right="1436"/>
      </w:pPr>
      <w:r>
        <w:t>No later than 30 days before the expiry date of the (D7) voucher, the provider shall send the IPO CZ a final report for quality control and other mandatory documents required by the EUIPO – List of recommendations, non-disclosure agreement (NDA), completed proof of payment</w:t>
      </w:r>
      <w:r>
        <w:rPr>
          <w:spacing w:val="3"/>
        </w:rPr>
        <w:t xml:space="preserve"> </w:t>
      </w:r>
      <w:r>
        <w:t>document.</w:t>
      </w:r>
    </w:p>
    <w:p w14:paraId="0D80FBB6" w14:textId="77777777" w:rsidR="00D757DA" w:rsidRDefault="0033254E">
      <w:pPr>
        <w:pStyle w:val="Odstavecseseznamem"/>
        <w:numPr>
          <w:ilvl w:val="0"/>
          <w:numId w:val="1"/>
        </w:numPr>
        <w:tabs>
          <w:tab w:val="left" w:pos="841"/>
        </w:tabs>
        <w:spacing w:line="276" w:lineRule="auto"/>
        <w:ind w:right="1435"/>
      </w:pPr>
      <w:r>
        <w:t>The IPO CZ will check the quality of the final report and other documents required by the EUIPO (NDA, List of Recommendations). The IPO CZ will send a confirmed proof of payment to the provider if it finds the quality of the service provided to be sufficient, no later than 3 days before the expiry of the (D8)</w:t>
      </w:r>
      <w:r>
        <w:rPr>
          <w:spacing w:val="-14"/>
        </w:rPr>
        <w:t xml:space="preserve"> </w:t>
      </w:r>
      <w:r>
        <w:t>voucher.</w:t>
      </w:r>
    </w:p>
    <w:p w14:paraId="28453F13" w14:textId="77777777" w:rsidR="00D757DA" w:rsidRDefault="0033254E">
      <w:pPr>
        <w:pStyle w:val="Odstavecseseznamem"/>
        <w:numPr>
          <w:ilvl w:val="0"/>
          <w:numId w:val="1"/>
        </w:numPr>
        <w:tabs>
          <w:tab w:val="left" w:pos="841"/>
        </w:tabs>
        <w:spacing w:line="278" w:lineRule="auto"/>
        <w:ind w:right="1438"/>
      </w:pPr>
      <w:r>
        <w:t>The provider will request reimbursement of the voucher before the expiry of the (D9) voucher.</w:t>
      </w:r>
    </w:p>
    <w:sectPr w:rsidR="00D757DA">
      <w:pgSz w:w="11910" w:h="16840"/>
      <w:pgMar w:top="1340" w:right="0" w:bottom="1160" w:left="1320" w:header="0" w:footer="88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1CC1" w14:textId="77777777" w:rsidR="0033254E" w:rsidRDefault="0033254E">
      <w:r>
        <w:separator/>
      </w:r>
    </w:p>
  </w:endnote>
  <w:endnote w:type="continuationSeparator" w:id="0">
    <w:p w14:paraId="21C80F72" w14:textId="77777777" w:rsidR="0033254E" w:rsidRDefault="0033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452A" w14:textId="77777777" w:rsidR="00D757DA" w:rsidRDefault="0033254E">
    <w:pPr>
      <w:pStyle w:val="Zkladntext"/>
      <w:spacing w:line="14" w:lineRule="auto"/>
      <w:rPr>
        <w:sz w:val="12"/>
      </w:rPr>
    </w:pPr>
    <w:r>
      <w:pict w14:anchorId="55FC28EB">
        <v:shapetype id="_x0000_t202" coordsize="21600,21600" o:spt="202" path="m,l,21600r21600,l21600,xe">
          <v:stroke joinstyle="miter"/>
          <v:path gradientshapeok="t" o:connecttype="rect"/>
        </v:shapetype>
        <v:shape id="_x0000_s1025" type="#_x0000_t202" style="position:absolute;margin-left:472.6pt;margin-top:782.9pt;width:51.95pt;height:11pt;z-index:-251658752;mso-position-horizontal-relative:page;mso-position-vertical-relative:page" filled="f" stroked="f">
          <v:textbox inset="0,0,0,0">
            <w:txbxContent>
              <w:p w14:paraId="35B1CB20" w14:textId="77777777" w:rsidR="00D757DA" w:rsidRDefault="0033254E">
                <w:pPr>
                  <w:spacing w:before="15"/>
                  <w:ind w:left="20"/>
                  <w:rPr>
                    <w:b/>
                    <w:sz w:val="16"/>
                  </w:rPr>
                </w:pPr>
                <w:r>
                  <w:rPr>
                    <w:sz w:val="16"/>
                  </w:rPr>
                  <w:t xml:space="preserve">Page </w:t>
                </w:r>
                <w:r>
                  <w:fldChar w:fldCharType="begin"/>
                </w:r>
                <w:r>
                  <w:rPr>
                    <w:b/>
                    <w:sz w:val="16"/>
                  </w:rPr>
                  <w:instrText xml:space="preserve"> PAGE </w:instrText>
                </w:r>
                <w:r>
                  <w:fldChar w:fldCharType="separate"/>
                </w:r>
                <w:r>
                  <w:t>24</w:t>
                </w:r>
                <w:r>
                  <w:fldChar w:fldCharType="end"/>
                </w:r>
                <w:r>
                  <w:rPr>
                    <w:b/>
                    <w:sz w:val="16"/>
                  </w:rPr>
                  <w:t xml:space="preserve"> </w:t>
                </w:r>
                <w:r>
                  <w:rPr>
                    <w:sz w:val="16"/>
                  </w:rPr>
                  <w:t xml:space="preserve">of </w:t>
                </w:r>
                <w:r>
                  <w:rPr>
                    <w:b/>
                    <w:sz w:val="16"/>
                  </w:rPr>
                  <w:t>56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2EEF9" w14:textId="77777777" w:rsidR="0033254E" w:rsidRDefault="0033254E">
      <w:r>
        <w:separator/>
      </w:r>
    </w:p>
  </w:footnote>
  <w:footnote w:type="continuationSeparator" w:id="0">
    <w:p w14:paraId="71AA958A" w14:textId="77777777" w:rsidR="0033254E" w:rsidRDefault="00332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F3A72"/>
    <w:multiLevelType w:val="hybridMultilevel"/>
    <w:tmpl w:val="AD122B36"/>
    <w:lvl w:ilvl="0" w:tplc="FBFC8076">
      <w:numFmt w:val="bullet"/>
      <w:lvlText w:val="-"/>
      <w:lvlJc w:val="left"/>
      <w:pPr>
        <w:ind w:left="414" w:hanging="284"/>
      </w:pPr>
      <w:rPr>
        <w:rFonts w:ascii="Arial" w:eastAsia="Arial" w:hAnsi="Arial" w:cs="Arial" w:hint="default"/>
        <w:w w:val="99"/>
        <w:sz w:val="20"/>
        <w:szCs w:val="20"/>
        <w:lang w:val="en-US" w:eastAsia="en-US" w:bidi="en-US"/>
      </w:rPr>
    </w:lvl>
    <w:lvl w:ilvl="1" w:tplc="AB5C5F24">
      <w:numFmt w:val="bullet"/>
      <w:lvlText w:val="•"/>
      <w:lvlJc w:val="left"/>
      <w:pPr>
        <w:ind w:left="839" w:hanging="284"/>
      </w:pPr>
      <w:rPr>
        <w:rFonts w:hint="default"/>
        <w:lang w:val="en-US" w:eastAsia="en-US" w:bidi="en-US"/>
      </w:rPr>
    </w:lvl>
    <w:lvl w:ilvl="2" w:tplc="400C5712">
      <w:numFmt w:val="bullet"/>
      <w:lvlText w:val="•"/>
      <w:lvlJc w:val="left"/>
      <w:pPr>
        <w:ind w:left="1258" w:hanging="284"/>
      </w:pPr>
      <w:rPr>
        <w:rFonts w:hint="default"/>
        <w:lang w:val="en-US" w:eastAsia="en-US" w:bidi="en-US"/>
      </w:rPr>
    </w:lvl>
    <w:lvl w:ilvl="3" w:tplc="E06C2350">
      <w:numFmt w:val="bullet"/>
      <w:lvlText w:val="•"/>
      <w:lvlJc w:val="left"/>
      <w:pPr>
        <w:ind w:left="1678" w:hanging="284"/>
      </w:pPr>
      <w:rPr>
        <w:rFonts w:hint="default"/>
        <w:lang w:val="en-US" w:eastAsia="en-US" w:bidi="en-US"/>
      </w:rPr>
    </w:lvl>
    <w:lvl w:ilvl="4" w:tplc="168AF4D6">
      <w:numFmt w:val="bullet"/>
      <w:lvlText w:val="•"/>
      <w:lvlJc w:val="left"/>
      <w:pPr>
        <w:ind w:left="2097" w:hanging="284"/>
      </w:pPr>
      <w:rPr>
        <w:rFonts w:hint="default"/>
        <w:lang w:val="en-US" w:eastAsia="en-US" w:bidi="en-US"/>
      </w:rPr>
    </w:lvl>
    <w:lvl w:ilvl="5" w:tplc="3BB4B912">
      <w:numFmt w:val="bullet"/>
      <w:lvlText w:val="•"/>
      <w:lvlJc w:val="left"/>
      <w:pPr>
        <w:ind w:left="2517" w:hanging="284"/>
      </w:pPr>
      <w:rPr>
        <w:rFonts w:hint="default"/>
        <w:lang w:val="en-US" w:eastAsia="en-US" w:bidi="en-US"/>
      </w:rPr>
    </w:lvl>
    <w:lvl w:ilvl="6" w:tplc="752EC694">
      <w:numFmt w:val="bullet"/>
      <w:lvlText w:val="•"/>
      <w:lvlJc w:val="left"/>
      <w:pPr>
        <w:ind w:left="2936" w:hanging="284"/>
      </w:pPr>
      <w:rPr>
        <w:rFonts w:hint="default"/>
        <w:lang w:val="en-US" w:eastAsia="en-US" w:bidi="en-US"/>
      </w:rPr>
    </w:lvl>
    <w:lvl w:ilvl="7" w:tplc="B1A0BF38">
      <w:numFmt w:val="bullet"/>
      <w:lvlText w:val="•"/>
      <w:lvlJc w:val="left"/>
      <w:pPr>
        <w:ind w:left="3355" w:hanging="284"/>
      </w:pPr>
      <w:rPr>
        <w:rFonts w:hint="default"/>
        <w:lang w:val="en-US" w:eastAsia="en-US" w:bidi="en-US"/>
      </w:rPr>
    </w:lvl>
    <w:lvl w:ilvl="8" w:tplc="820EF460">
      <w:numFmt w:val="bullet"/>
      <w:lvlText w:val="•"/>
      <w:lvlJc w:val="left"/>
      <w:pPr>
        <w:ind w:left="3775" w:hanging="284"/>
      </w:pPr>
      <w:rPr>
        <w:rFonts w:hint="default"/>
        <w:lang w:val="en-US" w:eastAsia="en-US" w:bidi="en-US"/>
      </w:rPr>
    </w:lvl>
  </w:abstractNum>
  <w:abstractNum w:abstractNumId="1" w15:restartNumberingAfterBreak="0">
    <w:nsid w:val="05E1286B"/>
    <w:multiLevelType w:val="multilevel"/>
    <w:tmpl w:val="B2BAFA44"/>
    <w:lvl w:ilvl="0">
      <w:start w:val="27"/>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start w:val="1"/>
      <w:numFmt w:val="lowerLetter"/>
      <w:lvlText w:val="%3)"/>
      <w:lvlJc w:val="left"/>
      <w:pPr>
        <w:ind w:left="1200" w:hanging="360"/>
        <w:jc w:val="left"/>
      </w:pPr>
      <w:rPr>
        <w:rFonts w:ascii="Arial" w:eastAsia="Arial" w:hAnsi="Arial" w:cs="Arial" w:hint="default"/>
        <w:spacing w:val="-1"/>
        <w:w w:val="100"/>
        <w:sz w:val="22"/>
        <w:szCs w:val="22"/>
        <w:lang w:val="en-US" w:eastAsia="en-US" w:bidi="en-US"/>
      </w:rPr>
    </w:lvl>
    <w:lvl w:ilvl="3">
      <w:numFmt w:val="bullet"/>
      <w:lvlText w:val="•"/>
      <w:lvlJc w:val="left"/>
      <w:pPr>
        <w:ind w:left="2425" w:hanging="360"/>
      </w:pPr>
      <w:rPr>
        <w:rFonts w:hint="default"/>
        <w:lang w:val="en-US" w:eastAsia="en-US" w:bidi="en-US"/>
      </w:rPr>
    </w:lvl>
    <w:lvl w:ilvl="4">
      <w:numFmt w:val="bullet"/>
      <w:lvlText w:val="•"/>
      <w:lvlJc w:val="left"/>
      <w:pPr>
        <w:ind w:left="3591" w:hanging="360"/>
      </w:pPr>
      <w:rPr>
        <w:rFonts w:hint="default"/>
        <w:lang w:val="en-US" w:eastAsia="en-US" w:bidi="en-US"/>
      </w:rPr>
    </w:lvl>
    <w:lvl w:ilvl="5">
      <w:numFmt w:val="bullet"/>
      <w:lvlText w:val="•"/>
      <w:lvlJc w:val="left"/>
      <w:pPr>
        <w:ind w:left="4757" w:hanging="360"/>
      </w:pPr>
      <w:rPr>
        <w:rFonts w:hint="default"/>
        <w:lang w:val="en-US" w:eastAsia="en-US" w:bidi="en-US"/>
      </w:rPr>
    </w:lvl>
    <w:lvl w:ilvl="6">
      <w:numFmt w:val="bullet"/>
      <w:lvlText w:val="•"/>
      <w:lvlJc w:val="left"/>
      <w:pPr>
        <w:ind w:left="5923" w:hanging="360"/>
      </w:pPr>
      <w:rPr>
        <w:rFonts w:hint="default"/>
        <w:lang w:val="en-US" w:eastAsia="en-US" w:bidi="en-US"/>
      </w:rPr>
    </w:lvl>
    <w:lvl w:ilvl="7">
      <w:numFmt w:val="bullet"/>
      <w:lvlText w:val="•"/>
      <w:lvlJc w:val="left"/>
      <w:pPr>
        <w:ind w:left="7089" w:hanging="360"/>
      </w:pPr>
      <w:rPr>
        <w:rFonts w:hint="default"/>
        <w:lang w:val="en-US" w:eastAsia="en-US" w:bidi="en-US"/>
      </w:rPr>
    </w:lvl>
    <w:lvl w:ilvl="8">
      <w:numFmt w:val="bullet"/>
      <w:lvlText w:val="•"/>
      <w:lvlJc w:val="left"/>
      <w:pPr>
        <w:ind w:left="8254" w:hanging="360"/>
      </w:pPr>
      <w:rPr>
        <w:rFonts w:hint="default"/>
        <w:lang w:val="en-US" w:eastAsia="en-US" w:bidi="en-US"/>
      </w:rPr>
    </w:lvl>
  </w:abstractNum>
  <w:abstractNum w:abstractNumId="2" w15:restartNumberingAfterBreak="0">
    <w:nsid w:val="0908278D"/>
    <w:multiLevelType w:val="hybridMultilevel"/>
    <w:tmpl w:val="EAEAAB1A"/>
    <w:lvl w:ilvl="0" w:tplc="6FD23B58">
      <w:start w:val="1"/>
      <w:numFmt w:val="lowerLetter"/>
      <w:lvlText w:val="%1)"/>
      <w:lvlJc w:val="left"/>
      <w:pPr>
        <w:ind w:left="840" w:hanging="360"/>
        <w:jc w:val="left"/>
      </w:pPr>
      <w:rPr>
        <w:rFonts w:ascii="Arial" w:eastAsia="Arial" w:hAnsi="Arial" w:cs="Arial" w:hint="default"/>
        <w:spacing w:val="-1"/>
        <w:w w:val="100"/>
        <w:sz w:val="22"/>
        <w:szCs w:val="22"/>
        <w:lang w:val="en-US" w:eastAsia="en-US" w:bidi="en-US"/>
      </w:rPr>
    </w:lvl>
    <w:lvl w:ilvl="1" w:tplc="0E62233C">
      <w:numFmt w:val="bullet"/>
      <w:lvlText w:val="•"/>
      <w:lvlJc w:val="left"/>
      <w:pPr>
        <w:ind w:left="1814" w:hanging="360"/>
      </w:pPr>
      <w:rPr>
        <w:rFonts w:hint="default"/>
        <w:lang w:val="en-US" w:eastAsia="en-US" w:bidi="en-US"/>
      </w:rPr>
    </w:lvl>
    <w:lvl w:ilvl="2" w:tplc="16C603AC">
      <w:numFmt w:val="bullet"/>
      <w:lvlText w:val="•"/>
      <w:lvlJc w:val="left"/>
      <w:pPr>
        <w:ind w:left="2789" w:hanging="360"/>
      </w:pPr>
      <w:rPr>
        <w:rFonts w:hint="default"/>
        <w:lang w:val="en-US" w:eastAsia="en-US" w:bidi="en-US"/>
      </w:rPr>
    </w:lvl>
    <w:lvl w:ilvl="3" w:tplc="1CE602E8">
      <w:numFmt w:val="bullet"/>
      <w:lvlText w:val="•"/>
      <w:lvlJc w:val="left"/>
      <w:pPr>
        <w:ind w:left="3763" w:hanging="360"/>
      </w:pPr>
      <w:rPr>
        <w:rFonts w:hint="default"/>
        <w:lang w:val="en-US" w:eastAsia="en-US" w:bidi="en-US"/>
      </w:rPr>
    </w:lvl>
    <w:lvl w:ilvl="4" w:tplc="DE74A7CC">
      <w:numFmt w:val="bullet"/>
      <w:lvlText w:val="•"/>
      <w:lvlJc w:val="left"/>
      <w:pPr>
        <w:ind w:left="4738" w:hanging="360"/>
      </w:pPr>
      <w:rPr>
        <w:rFonts w:hint="default"/>
        <w:lang w:val="en-US" w:eastAsia="en-US" w:bidi="en-US"/>
      </w:rPr>
    </w:lvl>
    <w:lvl w:ilvl="5" w:tplc="DCF6545C">
      <w:numFmt w:val="bullet"/>
      <w:lvlText w:val="•"/>
      <w:lvlJc w:val="left"/>
      <w:pPr>
        <w:ind w:left="5713" w:hanging="360"/>
      </w:pPr>
      <w:rPr>
        <w:rFonts w:hint="default"/>
        <w:lang w:val="en-US" w:eastAsia="en-US" w:bidi="en-US"/>
      </w:rPr>
    </w:lvl>
    <w:lvl w:ilvl="6" w:tplc="B3E4D9DE">
      <w:numFmt w:val="bullet"/>
      <w:lvlText w:val="•"/>
      <w:lvlJc w:val="left"/>
      <w:pPr>
        <w:ind w:left="6687" w:hanging="360"/>
      </w:pPr>
      <w:rPr>
        <w:rFonts w:hint="default"/>
        <w:lang w:val="en-US" w:eastAsia="en-US" w:bidi="en-US"/>
      </w:rPr>
    </w:lvl>
    <w:lvl w:ilvl="7" w:tplc="95C415FA">
      <w:numFmt w:val="bullet"/>
      <w:lvlText w:val="•"/>
      <w:lvlJc w:val="left"/>
      <w:pPr>
        <w:ind w:left="7662" w:hanging="360"/>
      </w:pPr>
      <w:rPr>
        <w:rFonts w:hint="default"/>
        <w:lang w:val="en-US" w:eastAsia="en-US" w:bidi="en-US"/>
      </w:rPr>
    </w:lvl>
    <w:lvl w:ilvl="8" w:tplc="68120F74">
      <w:numFmt w:val="bullet"/>
      <w:lvlText w:val="•"/>
      <w:lvlJc w:val="left"/>
      <w:pPr>
        <w:ind w:left="8637" w:hanging="360"/>
      </w:pPr>
      <w:rPr>
        <w:rFonts w:hint="default"/>
        <w:lang w:val="en-US" w:eastAsia="en-US" w:bidi="en-US"/>
      </w:rPr>
    </w:lvl>
  </w:abstractNum>
  <w:abstractNum w:abstractNumId="3" w15:restartNumberingAfterBreak="0">
    <w:nsid w:val="0B185692"/>
    <w:multiLevelType w:val="multilevel"/>
    <w:tmpl w:val="B6EC1A80"/>
    <w:lvl w:ilvl="0">
      <w:start w:val="1"/>
      <w:numFmt w:val="decimal"/>
      <w:lvlText w:val="%1."/>
      <w:lvlJc w:val="left"/>
      <w:pPr>
        <w:ind w:left="480" w:hanging="360"/>
        <w:jc w:val="left"/>
      </w:pPr>
      <w:rPr>
        <w:rFonts w:ascii="Arial" w:eastAsia="Arial" w:hAnsi="Arial" w:cs="Arial" w:hint="default"/>
        <w:spacing w:val="-1"/>
        <w:w w:val="100"/>
        <w:sz w:val="22"/>
        <w:szCs w:val="22"/>
        <w:lang w:val="en-US" w:eastAsia="en-US" w:bidi="en-US"/>
      </w:rPr>
    </w:lvl>
    <w:lvl w:ilvl="1">
      <w:start w:val="1"/>
      <w:numFmt w:val="decimal"/>
      <w:lvlText w:val="%1.%2"/>
      <w:lvlJc w:val="left"/>
      <w:pPr>
        <w:ind w:left="1253" w:hanging="413"/>
        <w:jc w:val="left"/>
      </w:pPr>
      <w:rPr>
        <w:rFonts w:ascii="Arial" w:eastAsia="Arial" w:hAnsi="Arial" w:cs="Arial" w:hint="default"/>
        <w:spacing w:val="-1"/>
        <w:w w:val="100"/>
        <w:sz w:val="22"/>
        <w:szCs w:val="22"/>
        <w:lang w:val="en-US" w:eastAsia="en-US" w:bidi="en-US"/>
      </w:rPr>
    </w:lvl>
    <w:lvl w:ilvl="2">
      <w:numFmt w:val="bullet"/>
      <w:lvlText w:val="•"/>
      <w:lvlJc w:val="left"/>
      <w:pPr>
        <w:ind w:left="1260" w:hanging="413"/>
      </w:pPr>
      <w:rPr>
        <w:rFonts w:hint="default"/>
        <w:lang w:val="en-US" w:eastAsia="en-US" w:bidi="en-US"/>
      </w:rPr>
    </w:lvl>
    <w:lvl w:ilvl="3">
      <w:numFmt w:val="bullet"/>
      <w:lvlText w:val="•"/>
      <w:lvlJc w:val="left"/>
      <w:pPr>
        <w:ind w:left="2425" w:hanging="413"/>
      </w:pPr>
      <w:rPr>
        <w:rFonts w:hint="default"/>
        <w:lang w:val="en-US" w:eastAsia="en-US" w:bidi="en-US"/>
      </w:rPr>
    </w:lvl>
    <w:lvl w:ilvl="4">
      <w:numFmt w:val="bullet"/>
      <w:lvlText w:val="•"/>
      <w:lvlJc w:val="left"/>
      <w:pPr>
        <w:ind w:left="3591" w:hanging="413"/>
      </w:pPr>
      <w:rPr>
        <w:rFonts w:hint="default"/>
        <w:lang w:val="en-US" w:eastAsia="en-US" w:bidi="en-US"/>
      </w:rPr>
    </w:lvl>
    <w:lvl w:ilvl="5">
      <w:numFmt w:val="bullet"/>
      <w:lvlText w:val="•"/>
      <w:lvlJc w:val="left"/>
      <w:pPr>
        <w:ind w:left="4757" w:hanging="413"/>
      </w:pPr>
      <w:rPr>
        <w:rFonts w:hint="default"/>
        <w:lang w:val="en-US" w:eastAsia="en-US" w:bidi="en-US"/>
      </w:rPr>
    </w:lvl>
    <w:lvl w:ilvl="6">
      <w:numFmt w:val="bullet"/>
      <w:lvlText w:val="•"/>
      <w:lvlJc w:val="left"/>
      <w:pPr>
        <w:ind w:left="5923" w:hanging="413"/>
      </w:pPr>
      <w:rPr>
        <w:rFonts w:hint="default"/>
        <w:lang w:val="en-US" w:eastAsia="en-US" w:bidi="en-US"/>
      </w:rPr>
    </w:lvl>
    <w:lvl w:ilvl="7">
      <w:numFmt w:val="bullet"/>
      <w:lvlText w:val="•"/>
      <w:lvlJc w:val="left"/>
      <w:pPr>
        <w:ind w:left="7089" w:hanging="413"/>
      </w:pPr>
      <w:rPr>
        <w:rFonts w:hint="default"/>
        <w:lang w:val="en-US" w:eastAsia="en-US" w:bidi="en-US"/>
      </w:rPr>
    </w:lvl>
    <w:lvl w:ilvl="8">
      <w:numFmt w:val="bullet"/>
      <w:lvlText w:val="•"/>
      <w:lvlJc w:val="left"/>
      <w:pPr>
        <w:ind w:left="8254" w:hanging="413"/>
      </w:pPr>
      <w:rPr>
        <w:rFonts w:hint="default"/>
        <w:lang w:val="en-US" w:eastAsia="en-US" w:bidi="en-US"/>
      </w:rPr>
    </w:lvl>
  </w:abstractNum>
  <w:abstractNum w:abstractNumId="4" w15:restartNumberingAfterBreak="0">
    <w:nsid w:val="0B3F2AA4"/>
    <w:multiLevelType w:val="multilevel"/>
    <w:tmpl w:val="14BAA874"/>
    <w:lvl w:ilvl="0">
      <w:start w:val="3"/>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5" w15:restartNumberingAfterBreak="0">
    <w:nsid w:val="0C52506D"/>
    <w:multiLevelType w:val="hybridMultilevel"/>
    <w:tmpl w:val="777C64B8"/>
    <w:lvl w:ilvl="0" w:tplc="7D1639DC">
      <w:numFmt w:val="bullet"/>
      <w:lvlText w:val=""/>
      <w:lvlJc w:val="left"/>
      <w:pPr>
        <w:ind w:left="623" w:hanging="567"/>
      </w:pPr>
      <w:rPr>
        <w:rFonts w:ascii="Symbol" w:eastAsia="Symbol" w:hAnsi="Symbol" w:cs="Symbol" w:hint="default"/>
        <w:w w:val="100"/>
        <w:sz w:val="22"/>
        <w:szCs w:val="22"/>
        <w:lang w:val="en-US" w:eastAsia="en-US" w:bidi="en-US"/>
      </w:rPr>
    </w:lvl>
    <w:lvl w:ilvl="1" w:tplc="38C2D63A">
      <w:numFmt w:val="bullet"/>
      <w:lvlText w:val="•"/>
      <w:lvlJc w:val="left"/>
      <w:pPr>
        <w:ind w:left="995" w:hanging="567"/>
      </w:pPr>
      <w:rPr>
        <w:rFonts w:hint="default"/>
        <w:lang w:val="en-US" w:eastAsia="en-US" w:bidi="en-US"/>
      </w:rPr>
    </w:lvl>
    <w:lvl w:ilvl="2" w:tplc="150CEB48">
      <w:numFmt w:val="bullet"/>
      <w:lvlText w:val="•"/>
      <w:lvlJc w:val="left"/>
      <w:pPr>
        <w:ind w:left="1370" w:hanging="567"/>
      </w:pPr>
      <w:rPr>
        <w:rFonts w:hint="default"/>
        <w:lang w:val="en-US" w:eastAsia="en-US" w:bidi="en-US"/>
      </w:rPr>
    </w:lvl>
    <w:lvl w:ilvl="3" w:tplc="DB784676">
      <w:numFmt w:val="bullet"/>
      <w:lvlText w:val="•"/>
      <w:lvlJc w:val="left"/>
      <w:pPr>
        <w:ind w:left="1745" w:hanging="567"/>
      </w:pPr>
      <w:rPr>
        <w:rFonts w:hint="default"/>
        <w:lang w:val="en-US" w:eastAsia="en-US" w:bidi="en-US"/>
      </w:rPr>
    </w:lvl>
    <w:lvl w:ilvl="4" w:tplc="8348C042">
      <w:numFmt w:val="bullet"/>
      <w:lvlText w:val="•"/>
      <w:lvlJc w:val="left"/>
      <w:pPr>
        <w:ind w:left="2121" w:hanging="567"/>
      </w:pPr>
      <w:rPr>
        <w:rFonts w:hint="default"/>
        <w:lang w:val="en-US" w:eastAsia="en-US" w:bidi="en-US"/>
      </w:rPr>
    </w:lvl>
    <w:lvl w:ilvl="5" w:tplc="31304816">
      <w:numFmt w:val="bullet"/>
      <w:lvlText w:val="•"/>
      <w:lvlJc w:val="left"/>
      <w:pPr>
        <w:ind w:left="2496" w:hanging="567"/>
      </w:pPr>
      <w:rPr>
        <w:rFonts w:hint="default"/>
        <w:lang w:val="en-US" w:eastAsia="en-US" w:bidi="en-US"/>
      </w:rPr>
    </w:lvl>
    <w:lvl w:ilvl="6" w:tplc="FC9471AA">
      <w:numFmt w:val="bullet"/>
      <w:lvlText w:val="•"/>
      <w:lvlJc w:val="left"/>
      <w:pPr>
        <w:ind w:left="2871" w:hanging="567"/>
      </w:pPr>
      <w:rPr>
        <w:rFonts w:hint="default"/>
        <w:lang w:val="en-US" w:eastAsia="en-US" w:bidi="en-US"/>
      </w:rPr>
    </w:lvl>
    <w:lvl w:ilvl="7" w:tplc="13E44F2C">
      <w:numFmt w:val="bullet"/>
      <w:lvlText w:val="•"/>
      <w:lvlJc w:val="left"/>
      <w:pPr>
        <w:ind w:left="3247" w:hanging="567"/>
      </w:pPr>
      <w:rPr>
        <w:rFonts w:hint="default"/>
        <w:lang w:val="en-US" w:eastAsia="en-US" w:bidi="en-US"/>
      </w:rPr>
    </w:lvl>
    <w:lvl w:ilvl="8" w:tplc="C336AB2A">
      <w:numFmt w:val="bullet"/>
      <w:lvlText w:val="•"/>
      <w:lvlJc w:val="left"/>
      <w:pPr>
        <w:ind w:left="3622" w:hanging="567"/>
      </w:pPr>
      <w:rPr>
        <w:rFonts w:hint="default"/>
        <w:lang w:val="en-US" w:eastAsia="en-US" w:bidi="en-US"/>
      </w:rPr>
    </w:lvl>
  </w:abstractNum>
  <w:abstractNum w:abstractNumId="6" w15:restartNumberingAfterBreak="0">
    <w:nsid w:val="0C5E282E"/>
    <w:multiLevelType w:val="multilevel"/>
    <w:tmpl w:val="69427086"/>
    <w:lvl w:ilvl="0">
      <w:start w:val="36"/>
      <w:numFmt w:val="decimal"/>
      <w:lvlText w:val="%1"/>
      <w:lvlJc w:val="left"/>
      <w:pPr>
        <w:ind w:left="120" w:hanging="708"/>
        <w:jc w:val="left"/>
      </w:pPr>
      <w:rPr>
        <w:rFonts w:hint="default"/>
        <w:lang w:val="en-US" w:eastAsia="en-US" w:bidi="en-US"/>
      </w:rPr>
    </w:lvl>
    <w:lvl w:ilvl="1">
      <w:start w:val="1"/>
      <w:numFmt w:val="decimal"/>
      <w:lvlText w:val="%1.%2"/>
      <w:lvlJc w:val="left"/>
      <w:pPr>
        <w:ind w:left="120" w:hanging="708"/>
        <w:jc w:val="left"/>
      </w:pPr>
      <w:rPr>
        <w:rFonts w:ascii="Arial" w:eastAsia="Arial" w:hAnsi="Arial" w:cs="Arial" w:hint="default"/>
        <w:spacing w:val="-1"/>
        <w:w w:val="100"/>
        <w:sz w:val="22"/>
        <w:szCs w:val="22"/>
        <w:lang w:val="en-US" w:eastAsia="en-US" w:bidi="en-US"/>
      </w:rPr>
    </w:lvl>
    <w:lvl w:ilvl="2">
      <w:start w:val="1"/>
      <w:numFmt w:val="lowerLetter"/>
      <w:lvlText w:val="%3)"/>
      <w:lvlJc w:val="left"/>
      <w:pPr>
        <w:ind w:left="1253" w:hanging="425"/>
        <w:jc w:val="left"/>
      </w:pPr>
      <w:rPr>
        <w:rFonts w:ascii="Arial" w:eastAsia="Arial" w:hAnsi="Arial" w:cs="Arial" w:hint="default"/>
        <w:spacing w:val="-1"/>
        <w:w w:val="100"/>
        <w:sz w:val="22"/>
        <w:szCs w:val="22"/>
        <w:lang w:val="en-US" w:eastAsia="en-US" w:bidi="en-US"/>
      </w:rPr>
    </w:lvl>
    <w:lvl w:ilvl="3">
      <w:numFmt w:val="bullet"/>
      <w:lvlText w:val="•"/>
      <w:lvlJc w:val="left"/>
      <w:pPr>
        <w:ind w:left="3332" w:hanging="425"/>
      </w:pPr>
      <w:rPr>
        <w:rFonts w:hint="default"/>
        <w:lang w:val="en-US" w:eastAsia="en-US" w:bidi="en-US"/>
      </w:rPr>
    </w:lvl>
    <w:lvl w:ilvl="4">
      <w:numFmt w:val="bullet"/>
      <w:lvlText w:val="•"/>
      <w:lvlJc w:val="left"/>
      <w:pPr>
        <w:ind w:left="4368" w:hanging="425"/>
      </w:pPr>
      <w:rPr>
        <w:rFonts w:hint="default"/>
        <w:lang w:val="en-US" w:eastAsia="en-US" w:bidi="en-US"/>
      </w:rPr>
    </w:lvl>
    <w:lvl w:ilvl="5">
      <w:numFmt w:val="bullet"/>
      <w:lvlText w:val="•"/>
      <w:lvlJc w:val="left"/>
      <w:pPr>
        <w:ind w:left="5405" w:hanging="425"/>
      </w:pPr>
      <w:rPr>
        <w:rFonts w:hint="default"/>
        <w:lang w:val="en-US" w:eastAsia="en-US" w:bidi="en-US"/>
      </w:rPr>
    </w:lvl>
    <w:lvl w:ilvl="6">
      <w:numFmt w:val="bullet"/>
      <w:lvlText w:val="•"/>
      <w:lvlJc w:val="left"/>
      <w:pPr>
        <w:ind w:left="6441" w:hanging="425"/>
      </w:pPr>
      <w:rPr>
        <w:rFonts w:hint="default"/>
        <w:lang w:val="en-US" w:eastAsia="en-US" w:bidi="en-US"/>
      </w:rPr>
    </w:lvl>
    <w:lvl w:ilvl="7">
      <w:numFmt w:val="bullet"/>
      <w:lvlText w:val="•"/>
      <w:lvlJc w:val="left"/>
      <w:pPr>
        <w:ind w:left="7477" w:hanging="425"/>
      </w:pPr>
      <w:rPr>
        <w:rFonts w:hint="default"/>
        <w:lang w:val="en-US" w:eastAsia="en-US" w:bidi="en-US"/>
      </w:rPr>
    </w:lvl>
    <w:lvl w:ilvl="8">
      <w:numFmt w:val="bullet"/>
      <w:lvlText w:val="•"/>
      <w:lvlJc w:val="left"/>
      <w:pPr>
        <w:ind w:left="8513" w:hanging="425"/>
      </w:pPr>
      <w:rPr>
        <w:rFonts w:hint="default"/>
        <w:lang w:val="en-US" w:eastAsia="en-US" w:bidi="en-US"/>
      </w:rPr>
    </w:lvl>
  </w:abstractNum>
  <w:abstractNum w:abstractNumId="7" w15:restartNumberingAfterBreak="0">
    <w:nsid w:val="0FE2749C"/>
    <w:multiLevelType w:val="hybridMultilevel"/>
    <w:tmpl w:val="A6B63E0E"/>
    <w:lvl w:ilvl="0" w:tplc="F5E84B7E">
      <w:numFmt w:val="bullet"/>
      <w:lvlText w:val="-"/>
      <w:lvlJc w:val="left"/>
      <w:pPr>
        <w:ind w:left="407" w:hanging="284"/>
      </w:pPr>
      <w:rPr>
        <w:rFonts w:ascii="Arial" w:eastAsia="Arial" w:hAnsi="Arial" w:cs="Arial" w:hint="default"/>
        <w:w w:val="99"/>
        <w:sz w:val="20"/>
        <w:szCs w:val="20"/>
        <w:lang w:val="en-US" w:eastAsia="en-US" w:bidi="en-US"/>
      </w:rPr>
    </w:lvl>
    <w:lvl w:ilvl="1" w:tplc="7ABA9D6A">
      <w:numFmt w:val="bullet"/>
      <w:lvlText w:val="•"/>
      <w:lvlJc w:val="left"/>
      <w:pPr>
        <w:ind w:left="784" w:hanging="284"/>
      </w:pPr>
      <w:rPr>
        <w:rFonts w:hint="default"/>
        <w:lang w:val="en-US" w:eastAsia="en-US" w:bidi="en-US"/>
      </w:rPr>
    </w:lvl>
    <w:lvl w:ilvl="2" w:tplc="9962D496">
      <w:numFmt w:val="bullet"/>
      <w:lvlText w:val="•"/>
      <w:lvlJc w:val="left"/>
      <w:pPr>
        <w:ind w:left="1168" w:hanging="284"/>
      </w:pPr>
      <w:rPr>
        <w:rFonts w:hint="default"/>
        <w:lang w:val="en-US" w:eastAsia="en-US" w:bidi="en-US"/>
      </w:rPr>
    </w:lvl>
    <w:lvl w:ilvl="3" w:tplc="F64EC594">
      <w:numFmt w:val="bullet"/>
      <w:lvlText w:val="•"/>
      <w:lvlJc w:val="left"/>
      <w:pPr>
        <w:ind w:left="1552" w:hanging="284"/>
      </w:pPr>
      <w:rPr>
        <w:rFonts w:hint="default"/>
        <w:lang w:val="en-US" w:eastAsia="en-US" w:bidi="en-US"/>
      </w:rPr>
    </w:lvl>
    <w:lvl w:ilvl="4" w:tplc="7076E20E">
      <w:numFmt w:val="bullet"/>
      <w:lvlText w:val="•"/>
      <w:lvlJc w:val="left"/>
      <w:pPr>
        <w:ind w:left="1936" w:hanging="284"/>
      </w:pPr>
      <w:rPr>
        <w:rFonts w:hint="default"/>
        <w:lang w:val="en-US" w:eastAsia="en-US" w:bidi="en-US"/>
      </w:rPr>
    </w:lvl>
    <w:lvl w:ilvl="5" w:tplc="E6722818">
      <w:numFmt w:val="bullet"/>
      <w:lvlText w:val="•"/>
      <w:lvlJc w:val="left"/>
      <w:pPr>
        <w:ind w:left="2320" w:hanging="284"/>
      </w:pPr>
      <w:rPr>
        <w:rFonts w:hint="default"/>
        <w:lang w:val="en-US" w:eastAsia="en-US" w:bidi="en-US"/>
      </w:rPr>
    </w:lvl>
    <w:lvl w:ilvl="6" w:tplc="8D7C3012">
      <w:numFmt w:val="bullet"/>
      <w:lvlText w:val="•"/>
      <w:lvlJc w:val="left"/>
      <w:pPr>
        <w:ind w:left="2704" w:hanging="284"/>
      </w:pPr>
      <w:rPr>
        <w:rFonts w:hint="default"/>
        <w:lang w:val="en-US" w:eastAsia="en-US" w:bidi="en-US"/>
      </w:rPr>
    </w:lvl>
    <w:lvl w:ilvl="7" w:tplc="858E3C86">
      <w:numFmt w:val="bullet"/>
      <w:lvlText w:val="•"/>
      <w:lvlJc w:val="left"/>
      <w:pPr>
        <w:ind w:left="3088" w:hanging="284"/>
      </w:pPr>
      <w:rPr>
        <w:rFonts w:hint="default"/>
        <w:lang w:val="en-US" w:eastAsia="en-US" w:bidi="en-US"/>
      </w:rPr>
    </w:lvl>
    <w:lvl w:ilvl="8" w:tplc="5B702E68">
      <w:numFmt w:val="bullet"/>
      <w:lvlText w:val="•"/>
      <w:lvlJc w:val="left"/>
      <w:pPr>
        <w:ind w:left="3472" w:hanging="284"/>
      </w:pPr>
      <w:rPr>
        <w:rFonts w:hint="default"/>
        <w:lang w:val="en-US" w:eastAsia="en-US" w:bidi="en-US"/>
      </w:rPr>
    </w:lvl>
  </w:abstractNum>
  <w:abstractNum w:abstractNumId="8" w15:restartNumberingAfterBreak="0">
    <w:nsid w:val="13D45380"/>
    <w:multiLevelType w:val="multilevel"/>
    <w:tmpl w:val="1908AED6"/>
    <w:lvl w:ilvl="0">
      <w:start w:val="6"/>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9" w15:restartNumberingAfterBreak="0">
    <w:nsid w:val="145A6544"/>
    <w:multiLevelType w:val="multilevel"/>
    <w:tmpl w:val="49D85754"/>
    <w:lvl w:ilvl="0">
      <w:start w:val="25"/>
      <w:numFmt w:val="decimal"/>
      <w:lvlText w:val="%1"/>
      <w:lvlJc w:val="left"/>
      <w:pPr>
        <w:ind w:left="120" w:hanging="708"/>
        <w:jc w:val="left"/>
      </w:pPr>
      <w:rPr>
        <w:rFonts w:hint="default"/>
        <w:lang w:val="en-US" w:eastAsia="en-US" w:bidi="en-US"/>
      </w:rPr>
    </w:lvl>
    <w:lvl w:ilvl="1">
      <w:start w:val="1"/>
      <w:numFmt w:val="decimal"/>
      <w:lvlText w:val="%1.%2"/>
      <w:lvlJc w:val="left"/>
      <w:pPr>
        <w:ind w:left="120" w:hanging="708"/>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08"/>
      </w:pPr>
      <w:rPr>
        <w:rFonts w:hint="default"/>
        <w:lang w:val="en-US" w:eastAsia="en-US" w:bidi="en-US"/>
      </w:rPr>
    </w:lvl>
    <w:lvl w:ilvl="3">
      <w:numFmt w:val="bullet"/>
      <w:lvlText w:val="•"/>
      <w:lvlJc w:val="left"/>
      <w:pPr>
        <w:ind w:left="3259" w:hanging="708"/>
      </w:pPr>
      <w:rPr>
        <w:rFonts w:hint="default"/>
        <w:lang w:val="en-US" w:eastAsia="en-US" w:bidi="en-US"/>
      </w:rPr>
    </w:lvl>
    <w:lvl w:ilvl="4">
      <w:numFmt w:val="bullet"/>
      <w:lvlText w:val="•"/>
      <w:lvlJc w:val="left"/>
      <w:pPr>
        <w:ind w:left="4306" w:hanging="708"/>
      </w:pPr>
      <w:rPr>
        <w:rFonts w:hint="default"/>
        <w:lang w:val="en-US" w:eastAsia="en-US" w:bidi="en-US"/>
      </w:rPr>
    </w:lvl>
    <w:lvl w:ilvl="5">
      <w:numFmt w:val="bullet"/>
      <w:lvlText w:val="•"/>
      <w:lvlJc w:val="left"/>
      <w:pPr>
        <w:ind w:left="5353" w:hanging="708"/>
      </w:pPr>
      <w:rPr>
        <w:rFonts w:hint="default"/>
        <w:lang w:val="en-US" w:eastAsia="en-US" w:bidi="en-US"/>
      </w:rPr>
    </w:lvl>
    <w:lvl w:ilvl="6">
      <w:numFmt w:val="bullet"/>
      <w:lvlText w:val="•"/>
      <w:lvlJc w:val="left"/>
      <w:pPr>
        <w:ind w:left="6399" w:hanging="708"/>
      </w:pPr>
      <w:rPr>
        <w:rFonts w:hint="default"/>
        <w:lang w:val="en-US" w:eastAsia="en-US" w:bidi="en-US"/>
      </w:rPr>
    </w:lvl>
    <w:lvl w:ilvl="7">
      <w:numFmt w:val="bullet"/>
      <w:lvlText w:val="•"/>
      <w:lvlJc w:val="left"/>
      <w:pPr>
        <w:ind w:left="7446" w:hanging="708"/>
      </w:pPr>
      <w:rPr>
        <w:rFonts w:hint="default"/>
        <w:lang w:val="en-US" w:eastAsia="en-US" w:bidi="en-US"/>
      </w:rPr>
    </w:lvl>
    <w:lvl w:ilvl="8">
      <w:numFmt w:val="bullet"/>
      <w:lvlText w:val="•"/>
      <w:lvlJc w:val="left"/>
      <w:pPr>
        <w:ind w:left="8493" w:hanging="708"/>
      </w:pPr>
      <w:rPr>
        <w:rFonts w:hint="default"/>
        <w:lang w:val="en-US" w:eastAsia="en-US" w:bidi="en-US"/>
      </w:rPr>
    </w:lvl>
  </w:abstractNum>
  <w:abstractNum w:abstractNumId="10" w15:restartNumberingAfterBreak="0">
    <w:nsid w:val="15702E88"/>
    <w:multiLevelType w:val="hybridMultilevel"/>
    <w:tmpl w:val="B6929344"/>
    <w:lvl w:ilvl="0" w:tplc="389E8B8C">
      <w:start w:val="1"/>
      <w:numFmt w:val="decimal"/>
      <w:lvlText w:val="%1."/>
      <w:lvlJc w:val="left"/>
      <w:pPr>
        <w:ind w:left="686" w:hanging="567"/>
        <w:jc w:val="left"/>
      </w:pPr>
      <w:rPr>
        <w:rFonts w:ascii="Arial" w:eastAsia="Arial" w:hAnsi="Arial" w:cs="Arial" w:hint="default"/>
        <w:spacing w:val="-1"/>
        <w:w w:val="100"/>
        <w:sz w:val="22"/>
        <w:szCs w:val="22"/>
        <w:lang w:val="en-US" w:eastAsia="en-US" w:bidi="en-US"/>
      </w:rPr>
    </w:lvl>
    <w:lvl w:ilvl="1" w:tplc="E9D05DFE">
      <w:numFmt w:val="bullet"/>
      <w:lvlText w:val="•"/>
      <w:lvlJc w:val="left"/>
      <w:pPr>
        <w:ind w:left="1670" w:hanging="567"/>
      </w:pPr>
      <w:rPr>
        <w:rFonts w:hint="default"/>
        <w:lang w:val="en-US" w:eastAsia="en-US" w:bidi="en-US"/>
      </w:rPr>
    </w:lvl>
    <w:lvl w:ilvl="2" w:tplc="67D49212">
      <w:numFmt w:val="bullet"/>
      <w:lvlText w:val="•"/>
      <w:lvlJc w:val="left"/>
      <w:pPr>
        <w:ind w:left="2661" w:hanging="567"/>
      </w:pPr>
      <w:rPr>
        <w:rFonts w:hint="default"/>
        <w:lang w:val="en-US" w:eastAsia="en-US" w:bidi="en-US"/>
      </w:rPr>
    </w:lvl>
    <w:lvl w:ilvl="3" w:tplc="38149EB6">
      <w:numFmt w:val="bullet"/>
      <w:lvlText w:val="•"/>
      <w:lvlJc w:val="left"/>
      <w:pPr>
        <w:ind w:left="3651" w:hanging="567"/>
      </w:pPr>
      <w:rPr>
        <w:rFonts w:hint="default"/>
        <w:lang w:val="en-US" w:eastAsia="en-US" w:bidi="en-US"/>
      </w:rPr>
    </w:lvl>
    <w:lvl w:ilvl="4" w:tplc="47F62A60">
      <w:numFmt w:val="bullet"/>
      <w:lvlText w:val="•"/>
      <w:lvlJc w:val="left"/>
      <w:pPr>
        <w:ind w:left="4642" w:hanging="567"/>
      </w:pPr>
      <w:rPr>
        <w:rFonts w:hint="default"/>
        <w:lang w:val="en-US" w:eastAsia="en-US" w:bidi="en-US"/>
      </w:rPr>
    </w:lvl>
    <w:lvl w:ilvl="5" w:tplc="15EA1952">
      <w:numFmt w:val="bullet"/>
      <w:lvlText w:val="•"/>
      <w:lvlJc w:val="left"/>
      <w:pPr>
        <w:ind w:left="5633" w:hanging="567"/>
      </w:pPr>
      <w:rPr>
        <w:rFonts w:hint="default"/>
        <w:lang w:val="en-US" w:eastAsia="en-US" w:bidi="en-US"/>
      </w:rPr>
    </w:lvl>
    <w:lvl w:ilvl="6" w:tplc="D5E073C4">
      <w:numFmt w:val="bullet"/>
      <w:lvlText w:val="•"/>
      <w:lvlJc w:val="left"/>
      <w:pPr>
        <w:ind w:left="6623" w:hanging="567"/>
      </w:pPr>
      <w:rPr>
        <w:rFonts w:hint="default"/>
        <w:lang w:val="en-US" w:eastAsia="en-US" w:bidi="en-US"/>
      </w:rPr>
    </w:lvl>
    <w:lvl w:ilvl="7" w:tplc="AFEEBBB2">
      <w:numFmt w:val="bullet"/>
      <w:lvlText w:val="•"/>
      <w:lvlJc w:val="left"/>
      <w:pPr>
        <w:ind w:left="7614" w:hanging="567"/>
      </w:pPr>
      <w:rPr>
        <w:rFonts w:hint="default"/>
        <w:lang w:val="en-US" w:eastAsia="en-US" w:bidi="en-US"/>
      </w:rPr>
    </w:lvl>
    <w:lvl w:ilvl="8" w:tplc="3FF2B4D0">
      <w:numFmt w:val="bullet"/>
      <w:lvlText w:val="•"/>
      <w:lvlJc w:val="left"/>
      <w:pPr>
        <w:ind w:left="8605" w:hanging="567"/>
      </w:pPr>
      <w:rPr>
        <w:rFonts w:hint="default"/>
        <w:lang w:val="en-US" w:eastAsia="en-US" w:bidi="en-US"/>
      </w:rPr>
    </w:lvl>
  </w:abstractNum>
  <w:abstractNum w:abstractNumId="11" w15:restartNumberingAfterBreak="0">
    <w:nsid w:val="18582E2E"/>
    <w:multiLevelType w:val="multilevel"/>
    <w:tmpl w:val="B2FCE578"/>
    <w:lvl w:ilvl="0">
      <w:start w:val="20"/>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12" w15:restartNumberingAfterBreak="0">
    <w:nsid w:val="19296D86"/>
    <w:multiLevelType w:val="hybridMultilevel"/>
    <w:tmpl w:val="1DC0BDF4"/>
    <w:lvl w:ilvl="0" w:tplc="E3389508">
      <w:start w:val="1"/>
      <w:numFmt w:val="decimal"/>
      <w:lvlText w:val="%1."/>
      <w:lvlJc w:val="left"/>
      <w:pPr>
        <w:ind w:left="407" w:hanging="284"/>
        <w:jc w:val="left"/>
      </w:pPr>
      <w:rPr>
        <w:rFonts w:ascii="Arial" w:eastAsia="Arial" w:hAnsi="Arial" w:cs="Arial" w:hint="default"/>
        <w:spacing w:val="-1"/>
        <w:w w:val="99"/>
        <w:sz w:val="20"/>
        <w:szCs w:val="20"/>
        <w:lang w:val="en-US" w:eastAsia="en-US" w:bidi="en-US"/>
      </w:rPr>
    </w:lvl>
    <w:lvl w:ilvl="1" w:tplc="F0E04CA0">
      <w:numFmt w:val="bullet"/>
      <w:lvlText w:val="•"/>
      <w:lvlJc w:val="left"/>
      <w:pPr>
        <w:ind w:left="784" w:hanging="284"/>
      </w:pPr>
      <w:rPr>
        <w:rFonts w:hint="default"/>
        <w:lang w:val="en-US" w:eastAsia="en-US" w:bidi="en-US"/>
      </w:rPr>
    </w:lvl>
    <w:lvl w:ilvl="2" w:tplc="07129D26">
      <w:numFmt w:val="bullet"/>
      <w:lvlText w:val="•"/>
      <w:lvlJc w:val="left"/>
      <w:pPr>
        <w:ind w:left="1168" w:hanging="284"/>
      </w:pPr>
      <w:rPr>
        <w:rFonts w:hint="default"/>
        <w:lang w:val="en-US" w:eastAsia="en-US" w:bidi="en-US"/>
      </w:rPr>
    </w:lvl>
    <w:lvl w:ilvl="3" w:tplc="62A0EE04">
      <w:numFmt w:val="bullet"/>
      <w:lvlText w:val="•"/>
      <w:lvlJc w:val="left"/>
      <w:pPr>
        <w:ind w:left="1552" w:hanging="284"/>
      </w:pPr>
      <w:rPr>
        <w:rFonts w:hint="default"/>
        <w:lang w:val="en-US" w:eastAsia="en-US" w:bidi="en-US"/>
      </w:rPr>
    </w:lvl>
    <w:lvl w:ilvl="4" w:tplc="8FF42F16">
      <w:numFmt w:val="bullet"/>
      <w:lvlText w:val="•"/>
      <w:lvlJc w:val="left"/>
      <w:pPr>
        <w:ind w:left="1936" w:hanging="284"/>
      </w:pPr>
      <w:rPr>
        <w:rFonts w:hint="default"/>
        <w:lang w:val="en-US" w:eastAsia="en-US" w:bidi="en-US"/>
      </w:rPr>
    </w:lvl>
    <w:lvl w:ilvl="5" w:tplc="D3FE737C">
      <w:numFmt w:val="bullet"/>
      <w:lvlText w:val="•"/>
      <w:lvlJc w:val="left"/>
      <w:pPr>
        <w:ind w:left="2320" w:hanging="284"/>
      </w:pPr>
      <w:rPr>
        <w:rFonts w:hint="default"/>
        <w:lang w:val="en-US" w:eastAsia="en-US" w:bidi="en-US"/>
      </w:rPr>
    </w:lvl>
    <w:lvl w:ilvl="6" w:tplc="F0B4E996">
      <w:numFmt w:val="bullet"/>
      <w:lvlText w:val="•"/>
      <w:lvlJc w:val="left"/>
      <w:pPr>
        <w:ind w:left="2704" w:hanging="284"/>
      </w:pPr>
      <w:rPr>
        <w:rFonts w:hint="default"/>
        <w:lang w:val="en-US" w:eastAsia="en-US" w:bidi="en-US"/>
      </w:rPr>
    </w:lvl>
    <w:lvl w:ilvl="7" w:tplc="AE9406AA">
      <w:numFmt w:val="bullet"/>
      <w:lvlText w:val="•"/>
      <w:lvlJc w:val="left"/>
      <w:pPr>
        <w:ind w:left="3088" w:hanging="284"/>
      </w:pPr>
      <w:rPr>
        <w:rFonts w:hint="default"/>
        <w:lang w:val="en-US" w:eastAsia="en-US" w:bidi="en-US"/>
      </w:rPr>
    </w:lvl>
    <w:lvl w:ilvl="8" w:tplc="E3EA4592">
      <w:numFmt w:val="bullet"/>
      <w:lvlText w:val="•"/>
      <w:lvlJc w:val="left"/>
      <w:pPr>
        <w:ind w:left="3472" w:hanging="284"/>
      </w:pPr>
      <w:rPr>
        <w:rFonts w:hint="default"/>
        <w:lang w:val="en-US" w:eastAsia="en-US" w:bidi="en-US"/>
      </w:rPr>
    </w:lvl>
  </w:abstractNum>
  <w:abstractNum w:abstractNumId="13" w15:restartNumberingAfterBreak="0">
    <w:nsid w:val="1AEB70BC"/>
    <w:multiLevelType w:val="multilevel"/>
    <w:tmpl w:val="54965B52"/>
    <w:lvl w:ilvl="0">
      <w:start w:val="15"/>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14" w15:restartNumberingAfterBreak="0">
    <w:nsid w:val="1B6C3B71"/>
    <w:multiLevelType w:val="hybridMultilevel"/>
    <w:tmpl w:val="5D4CB724"/>
    <w:lvl w:ilvl="0" w:tplc="812C015C">
      <w:start w:val="1"/>
      <w:numFmt w:val="decimal"/>
      <w:lvlText w:val="%1."/>
      <w:lvlJc w:val="left"/>
      <w:pPr>
        <w:ind w:left="388" w:hanging="269"/>
        <w:jc w:val="left"/>
      </w:pPr>
      <w:rPr>
        <w:rFonts w:ascii="Arial" w:eastAsia="Arial" w:hAnsi="Arial" w:cs="Arial" w:hint="default"/>
        <w:b/>
        <w:bCs/>
        <w:spacing w:val="-1"/>
        <w:w w:val="100"/>
        <w:sz w:val="24"/>
        <w:szCs w:val="24"/>
        <w:lang w:val="en-US" w:eastAsia="en-US" w:bidi="en-US"/>
      </w:rPr>
    </w:lvl>
    <w:lvl w:ilvl="1" w:tplc="860AB16A">
      <w:numFmt w:val="bullet"/>
      <w:lvlText w:val=""/>
      <w:lvlJc w:val="left"/>
      <w:pPr>
        <w:ind w:left="840" w:hanging="360"/>
      </w:pPr>
      <w:rPr>
        <w:rFonts w:ascii="Symbol" w:eastAsia="Symbol" w:hAnsi="Symbol" w:cs="Symbol" w:hint="default"/>
        <w:w w:val="100"/>
        <w:sz w:val="22"/>
        <w:szCs w:val="22"/>
        <w:lang w:val="en-US" w:eastAsia="en-US" w:bidi="en-US"/>
      </w:rPr>
    </w:lvl>
    <w:lvl w:ilvl="2" w:tplc="B640601E">
      <w:numFmt w:val="bullet"/>
      <w:lvlText w:val="•"/>
      <w:lvlJc w:val="left"/>
      <w:pPr>
        <w:ind w:left="1922" w:hanging="360"/>
      </w:pPr>
      <w:rPr>
        <w:rFonts w:hint="default"/>
        <w:lang w:val="en-US" w:eastAsia="en-US" w:bidi="en-US"/>
      </w:rPr>
    </w:lvl>
    <w:lvl w:ilvl="3" w:tplc="E2AA3E10">
      <w:numFmt w:val="bullet"/>
      <w:lvlText w:val="•"/>
      <w:lvlJc w:val="left"/>
      <w:pPr>
        <w:ind w:left="3005" w:hanging="360"/>
      </w:pPr>
      <w:rPr>
        <w:rFonts w:hint="default"/>
        <w:lang w:val="en-US" w:eastAsia="en-US" w:bidi="en-US"/>
      </w:rPr>
    </w:lvl>
    <w:lvl w:ilvl="4" w:tplc="3F04E2D6">
      <w:numFmt w:val="bullet"/>
      <w:lvlText w:val="•"/>
      <w:lvlJc w:val="left"/>
      <w:pPr>
        <w:ind w:left="4088" w:hanging="360"/>
      </w:pPr>
      <w:rPr>
        <w:rFonts w:hint="default"/>
        <w:lang w:val="en-US" w:eastAsia="en-US" w:bidi="en-US"/>
      </w:rPr>
    </w:lvl>
    <w:lvl w:ilvl="5" w:tplc="BD726998">
      <w:numFmt w:val="bullet"/>
      <w:lvlText w:val="•"/>
      <w:lvlJc w:val="left"/>
      <w:pPr>
        <w:ind w:left="5171" w:hanging="360"/>
      </w:pPr>
      <w:rPr>
        <w:rFonts w:hint="default"/>
        <w:lang w:val="en-US" w:eastAsia="en-US" w:bidi="en-US"/>
      </w:rPr>
    </w:lvl>
    <w:lvl w:ilvl="6" w:tplc="43A43B56">
      <w:numFmt w:val="bullet"/>
      <w:lvlText w:val="•"/>
      <w:lvlJc w:val="left"/>
      <w:pPr>
        <w:ind w:left="6254" w:hanging="360"/>
      </w:pPr>
      <w:rPr>
        <w:rFonts w:hint="default"/>
        <w:lang w:val="en-US" w:eastAsia="en-US" w:bidi="en-US"/>
      </w:rPr>
    </w:lvl>
    <w:lvl w:ilvl="7" w:tplc="B016EE94">
      <w:numFmt w:val="bullet"/>
      <w:lvlText w:val="•"/>
      <w:lvlJc w:val="left"/>
      <w:pPr>
        <w:ind w:left="7337" w:hanging="360"/>
      </w:pPr>
      <w:rPr>
        <w:rFonts w:hint="default"/>
        <w:lang w:val="en-US" w:eastAsia="en-US" w:bidi="en-US"/>
      </w:rPr>
    </w:lvl>
    <w:lvl w:ilvl="8" w:tplc="3D8A627C">
      <w:numFmt w:val="bullet"/>
      <w:lvlText w:val="•"/>
      <w:lvlJc w:val="left"/>
      <w:pPr>
        <w:ind w:left="8420" w:hanging="360"/>
      </w:pPr>
      <w:rPr>
        <w:rFonts w:hint="default"/>
        <w:lang w:val="en-US" w:eastAsia="en-US" w:bidi="en-US"/>
      </w:rPr>
    </w:lvl>
  </w:abstractNum>
  <w:abstractNum w:abstractNumId="15" w15:restartNumberingAfterBreak="0">
    <w:nsid w:val="1C5B7605"/>
    <w:multiLevelType w:val="multilevel"/>
    <w:tmpl w:val="FB5804E2"/>
    <w:lvl w:ilvl="0">
      <w:start w:val="1"/>
      <w:numFmt w:val="decimal"/>
      <w:lvlText w:val="%1."/>
      <w:lvlJc w:val="left"/>
      <w:pPr>
        <w:ind w:left="686" w:hanging="567"/>
        <w:jc w:val="left"/>
      </w:pPr>
      <w:rPr>
        <w:rFonts w:ascii="Arial" w:eastAsia="Arial" w:hAnsi="Arial" w:cs="Arial" w:hint="default"/>
        <w:b/>
        <w:bCs/>
        <w:spacing w:val="-1"/>
        <w:w w:val="100"/>
        <w:sz w:val="22"/>
        <w:szCs w:val="22"/>
        <w:lang w:val="en-US" w:eastAsia="en-US" w:bidi="en-US"/>
      </w:rPr>
    </w:lvl>
    <w:lvl w:ilvl="1">
      <w:start w:val="1"/>
      <w:numFmt w:val="decimal"/>
      <w:lvlText w:val="%1.%2"/>
      <w:lvlJc w:val="left"/>
      <w:pPr>
        <w:ind w:left="1930" w:hanging="360"/>
        <w:jc w:val="right"/>
      </w:pPr>
      <w:rPr>
        <w:rFonts w:hint="default"/>
        <w:b/>
        <w:bCs/>
        <w:spacing w:val="-1"/>
        <w:w w:val="100"/>
        <w:lang w:val="en-US" w:eastAsia="en-US" w:bidi="en-US"/>
      </w:rPr>
    </w:lvl>
    <w:lvl w:ilvl="2">
      <w:numFmt w:val="bullet"/>
      <w:lvlText w:val="•"/>
      <w:lvlJc w:val="left"/>
      <w:pPr>
        <w:ind w:left="2900" w:hanging="360"/>
      </w:pPr>
      <w:rPr>
        <w:rFonts w:hint="default"/>
        <w:lang w:val="en-US" w:eastAsia="en-US" w:bidi="en-US"/>
      </w:rPr>
    </w:lvl>
    <w:lvl w:ilvl="3">
      <w:numFmt w:val="bullet"/>
      <w:lvlText w:val="•"/>
      <w:lvlJc w:val="left"/>
      <w:pPr>
        <w:ind w:left="3861" w:hanging="360"/>
      </w:pPr>
      <w:rPr>
        <w:rFonts w:hint="default"/>
        <w:lang w:val="en-US" w:eastAsia="en-US" w:bidi="en-US"/>
      </w:rPr>
    </w:lvl>
    <w:lvl w:ilvl="4">
      <w:numFmt w:val="bullet"/>
      <w:lvlText w:val="•"/>
      <w:lvlJc w:val="left"/>
      <w:pPr>
        <w:ind w:left="4822" w:hanging="360"/>
      </w:pPr>
      <w:rPr>
        <w:rFonts w:hint="default"/>
        <w:lang w:val="en-US" w:eastAsia="en-US" w:bidi="en-US"/>
      </w:rPr>
    </w:lvl>
    <w:lvl w:ilvl="5">
      <w:numFmt w:val="bullet"/>
      <w:lvlText w:val="•"/>
      <w:lvlJc w:val="left"/>
      <w:pPr>
        <w:ind w:left="5782" w:hanging="360"/>
      </w:pPr>
      <w:rPr>
        <w:rFonts w:hint="default"/>
        <w:lang w:val="en-US" w:eastAsia="en-US" w:bidi="en-US"/>
      </w:rPr>
    </w:lvl>
    <w:lvl w:ilvl="6">
      <w:numFmt w:val="bullet"/>
      <w:lvlText w:val="•"/>
      <w:lvlJc w:val="left"/>
      <w:pPr>
        <w:ind w:left="6743" w:hanging="360"/>
      </w:pPr>
      <w:rPr>
        <w:rFonts w:hint="default"/>
        <w:lang w:val="en-US" w:eastAsia="en-US" w:bidi="en-US"/>
      </w:rPr>
    </w:lvl>
    <w:lvl w:ilvl="7">
      <w:numFmt w:val="bullet"/>
      <w:lvlText w:val="•"/>
      <w:lvlJc w:val="left"/>
      <w:pPr>
        <w:ind w:left="7704" w:hanging="360"/>
      </w:pPr>
      <w:rPr>
        <w:rFonts w:hint="default"/>
        <w:lang w:val="en-US" w:eastAsia="en-US" w:bidi="en-US"/>
      </w:rPr>
    </w:lvl>
    <w:lvl w:ilvl="8">
      <w:numFmt w:val="bullet"/>
      <w:lvlText w:val="•"/>
      <w:lvlJc w:val="left"/>
      <w:pPr>
        <w:ind w:left="8664" w:hanging="360"/>
      </w:pPr>
      <w:rPr>
        <w:rFonts w:hint="default"/>
        <w:lang w:val="en-US" w:eastAsia="en-US" w:bidi="en-US"/>
      </w:rPr>
    </w:lvl>
  </w:abstractNum>
  <w:abstractNum w:abstractNumId="16" w15:restartNumberingAfterBreak="0">
    <w:nsid w:val="1CBB6548"/>
    <w:multiLevelType w:val="multilevel"/>
    <w:tmpl w:val="A6DA88DE"/>
    <w:lvl w:ilvl="0">
      <w:start w:val="30"/>
      <w:numFmt w:val="decimal"/>
      <w:lvlText w:val="%1"/>
      <w:lvlJc w:val="left"/>
      <w:pPr>
        <w:ind w:left="828" w:hanging="708"/>
        <w:jc w:val="left"/>
      </w:pPr>
      <w:rPr>
        <w:rFonts w:ascii="Arial" w:eastAsia="Arial" w:hAnsi="Arial" w:cs="Arial" w:hint="default"/>
        <w:b/>
        <w:bCs/>
        <w:spacing w:val="-1"/>
        <w:w w:val="100"/>
        <w:sz w:val="22"/>
        <w:szCs w:val="22"/>
        <w:lang w:val="en-US" w:eastAsia="en-US" w:bidi="en-US"/>
      </w:rPr>
    </w:lvl>
    <w:lvl w:ilvl="1">
      <w:start w:val="1"/>
      <w:numFmt w:val="decimal"/>
      <w:lvlText w:val="%1.%2"/>
      <w:lvlJc w:val="left"/>
      <w:pPr>
        <w:ind w:left="120" w:hanging="732"/>
        <w:jc w:val="left"/>
      </w:pPr>
      <w:rPr>
        <w:rFonts w:ascii="Arial" w:eastAsia="Arial" w:hAnsi="Arial" w:cs="Arial" w:hint="default"/>
        <w:spacing w:val="-1"/>
        <w:w w:val="100"/>
        <w:sz w:val="22"/>
        <w:szCs w:val="22"/>
        <w:lang w:val="en-US" w:eastAsia="en-US" w:bidi="en-US"/>
      </w:rPr>
    </w:lvl>
    <w:lvl w:ilvl="2">
      <w:start w:val="1"/>
      <w:numFmt w:val="lowerLetter"/>
      <w:lvlText w:val="%3)"/>
      <w:lvlJc w:val="left"/>
      <w:pPr>
        <w:ind w:left="1253" w:hanging="425"/>
        <w:jc w:val="left"/>
      </w:pPr>
      <w:rPr>
        <w:rFonts w:ascii="Arial" w:eastAsia="Arial" w:hAnsi="Arial" w:cs="Arial" w:hint="default"/>
        <w:spacing w:val="-1"/>
        <w:w w:val="100"/>
        <w:sz w:val="22"/>
        <w:szCs w:val="22"/>
        <w:lang w:val="en-US" w:eastAsia="en-US" w:bidi="en-US"/>
      </w:rPr>
    </w:lvl>
    <w:lvl w:ilvl="3">
      <w:numFmt w:val="bullet"/>
      <w:lvlText w:val="•"/>
      <w:lvlJc w:val="left"/>
      <w:pPr>
        <w:ind w:left="2425" w:hanging="425"/>
      </w:pPr>
      <w:rPr>
        <w:rFonts w:hint="default"/>
        <w:lang w:val="en-US" w:eastAsia="en-US" w:bidi="en-US"/>
      </w:rPr>
    </w:lvl>
    <w:lvl w:ilvl="4">
      <w:numFmt w:val="bullet"/>
      <w:lvlText w:val="•"/>
      <w:lvlJc w:val="left"/>
      <w:pPr>
        <w:ind w:left="3591" w:hanging="425"/>
      </w:pPr>
      <w:rPr>
        <w:rFonts w:hint="default"/>
        <w:lang w:val="en-US" w:eastAsia="en-US" w:bidi="en-US"/>
      </w:rPr>
    </w:lvl>
    <w:lvl w:ilvl="5">
      <w:numFmt w:val="bullet"/>
      <w:lvlText w:val="•"/>
      <w:lvlJc w:val="left"/>
      <w:pPr>
        <w:ind w:left="4757" w:hanging="425"/>
      </w:pPr>
      <w:rPr>
        <w:rFonts w:hint="default"/>
        <w:lang w:val="en-US" w:eastAsia="en-US" w:bidi="en-US"/>
      </w:rPr>
    </w:lvl>
    <w:lvl w:ilvl="6">
      <w:numFmt w:val="bullet"/>
      <w:lvlText w:val="•"/>
      <w:lvlJc w:val="left"/>
      <w:pPr>
        <w:ind w:left="5923" w:hanging="425"/>
      </w:pPr>
      <w:rPr>
        <w:rFonts w:hint="default"/>
        <w:lang w:val="en-US" w:eastAsia="en-US" w:bidi="en-US"/>
      </w:rPr>
    </w:lvl>
    <w:lvl w:ilvl="7">
      <w:numFmt w:val="bullet"/>
      <w:lvlText w:val="•"/>
      <w:lvlJc w:val="left"/>
      <w:pPr>
        <w:ind w:left="7089" w:hanging="425"/>
      </w:pPr>
      <w:rPr>
        <w:rFonts w:hint="default"/>
        <w:lang w:val="en-US" w:eastAsia="en-US" w:bidi="en-US"/>
      </w:rPr>
    </w:lvl>
    <w:lvl w:ilvl="8">
      <w:numFmt w:val="bullet"/>
      <w:lvlText w:val="•"/>
      <w:lvlJc w:val="left"/>
      <w:pPr>
        <w:ind w:left="8254" w:hanging="425"/>
      </w:pPr>
      <w:rPr>
        <w:rFonts w:hint="default"/>
        <w:lang w:val="en-US" w:eastAsia="en-US" w:bidi="en-US"/>
      </w:rPr>
    </w:lvl>
  </w:abstractNum>
  <w:abstractNum w:abstractNumId="17" w15:restartNumberingAfterBreak="0">
    <w:nsid w:val="1FB50E30"/>
    <w:multiLevelType w:val="hybridMultilevel"/>
    <w:tmpl w:val="F4FAA40E"/>
    <w:lvl w:ilvl="0" w:tplc="1B0011E4">
      <w:start w:val="1"/>
      <w:numFmt w:val="decimal"/>
      <w:lvlText w:val="%1."/>
      <w:lvlJc w:val="left"/>
      <w:pPr>
        <w:ind w:left="547" w:hanging="428"/>
        <w:jc w:val="left"/>
      </w:pPr>
      <w:rPr>
        <w:rFonts w:ascii="Arial" w:eastAsia="Arial" w:hAnsi="Arial" w:cs="Arial" w:hint="default"/>
        <w:spacing w:val="-1"/>
        <w:w w:val="100"/>
        <w:sz w:val="22"/>
        <w:szCs w:val="22"/>
        <w:lang w:val="en-US" w:eastAsia="en-US" w:bidi="en-US"/>
      </w:rPr>
    </w:lvl>
    <w:lvl w:ilvl="1" w:tplc="CC6A9E4E">
      <w:numFmt w:val="bullet"/>
      <w:lvlText w:val="•"/>
      <w:lvlJc w:val="left"/>
      <w:pPr>
        <w:ind w:left="1544" w:hanging="428"/>
      </w:pPr>
      <w:rPr>
        <w:rFonts w:hint="default"/>
        <w:lang w:val="en-US" w:eastAsia="en-US" w:bidi="en-US"/>
      </w:rPr>
    </w:lvl>
    <w:lvl w:ilvl="2" w:tplc="BD8E961E">
      <w:numFmt w:val="bullet"/>
      <w:lvlText w:val="•"/>
      <w:lvlJc w:val="left"/>
      <w:pPr>
        <w:ind w:left="2549" w:hanging="428"/>
      </w:pPr>
      <w:rPr>
        <w:rFonts w:hint="default"/>
        <w:lang w:val="en-US" w:eastAsia="en-US" w:bidi="en-US"/>
      </w:rPr>
    </w:lvl>
    <w:lvl w:ilvl="3" w:tplc="79926E44">
      <w:numFmt w:val="bullet"/>
      <w:lvlText w:val="•"/>
      <w:lvlJc w:val="left"/>
      <w:pPr>
        <w:ind w:left="3553" w:hanging="428"/>
      </w:pPr>
      <w:rPr>
        <w:rFonts w:hint="default"/>
        <w:lang w:val="en-US" w:eastAsia="en-US" w:bidi="en-US"/>
      </w:rPr>
    </w:lvl>
    <w:lvl w:ilvl="4" w:tplc="958ED526">
      <w:numFmt w:val="bullet"/>
      <w:lvlText w:val="•"/>
      <w:lvlJc w:val="left"/>
      <w:pPr>
        <w:ind w:left="4558" w:hanging="428"/>
      </w:pPr>
      <w:rPr>
        <w:rFonts w:hint="default"/>
        <w:lang w:val="en-US" w:eastAsia="en-US" w:bidi="en-US"/>
      </w:rPr>
    </w:lvl>
    <w:lvl w:ilvl="5" w:tplc="CFBE452E">
      <w:numFmt w:val="bullet"/>
      <w:lvlText w:val="•"/>
      <w:lvlJc w:val="left"/>
      <w:pPr>
        <w:ind w:left="5563" w:hanging="428"/>
      </w:pPr>
      <w:rPr>
        <w:rFonts w:hint="default"/>
        <w:lang w:val="en-US" w:eastAsia="en-US" w:bidi="en-US"/>
      </w:rPr>
    </w:lvl>
    <w:lvl w:ilvl="6" w:tplc="8670FDAE">
      <w:numFmt w:val="bullet"/>
      <w:lvlText w:val="•"/>
      <w:lvlJc w:val="left"/>
      <w:pPr>
        <w:ind w:left="6567" w:hanging="428"/>
      </w:pPr>
      <w:rPr>
        <w:rFonts w:hint="default"/>
        <w:lang w:val="en-US" w:eastAsia="en-US" w:bidi="en-US"/>
      </w:rPr>
    </w:lvl>
    <w:lvl w:ilvl="7" w:tplc="B85E5F10">
      <w:numFmt w:val="bullet"/>
      <w:lvlText w:val="•"/>
      <w:lvlJc w:val="left"/>
      <w:pPr>
        <w:ind w:left="7572" w:hanging="428"/>
      </w:pPr>
      <w:rPr>
        <w:rFonts w:hint="default"/>
        <w:lang w:val="en-US" w:eastAsia="en-US" w:bidi="en-US"/>
      </w:rPr>
    </w:lvl>
    <w:lvl w:ilvl="8" w:tplc="79EE2404">
      <w:numFmt w:val="bullet"/>
      <w:lvlText w:val="•"/>
      <w:lvlJc w:val="left"/>
      <w:pPr>
        <w:ind w:left="8577" w:hanging="428"/>
      </w:pPr>
      <w:rPr>
        <w:rFonts w:hint="default"/>
        <w:lang w:val="en-US" w:eastAsia="en-US" w:bidi="en-US"/>
      </w:rPr>
    </w:lvl>
  </w:abstractNum>
  <w:abstractNum w:abstractNumId="18" w15:restartNumberingAfterBreak="0">
    <w:nsid w:val="20870684"/>
    <w:multiLevelType w:val="multilevel"/>
    <w:tmpl w:val="6C42BE44"/>
    <w:lvl w:ilvl="0">
      <w:start w:val="16"/>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19" w15:restartNumberingAfterBreak="0">
    <w:nsid w:val="263F02DD"/>
    <w:multiLevelType w:val="multilevel"/>
    <w:tmpl w:val="2BB2B618"/>
    <w:lvl w:ilvl="0">
      <w:start w:val="21"/>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20" w15:restartNumberingAfterBreak="0">
    <w:nsid w:val="2968340B"/>
    <w:multiLevelType w:val="multilevel"/>
    <w:tmpl w:val="A6AA622C"/>
    <w:lvl w:ilvl="0">
      <w:start w:val="35"/>
      <w:numFmt w:val="decimal"/>
      <w:lvlText w:val="%1"/>
      <w:lvlJc w:val="left"/>
      <w:pPr>
        <w:ind w:left="120" w:hanging="708"/>
        <w:jc w:val="left"/>
      </w:pPr>
      <w:rPr>
        <w:rFonts w:hint="default"/>
        <w:lang w:val="en-US" w:eastAsia="en-US" w:bidi="en-US"/>
      </w:rPr>
    </w:lvl>
    <w:lvl w:ilvl="1">
      <w:start w:val="1"/>
      <w:numFmt w:val="decimal"/>
      <w:lvlText w:val="%1.%2"/>
      <w:lvlJc w:val="left"/>
      <w:pPr>
        <w:ind w:left="120" w:hanging="708"/>
        <w:jc w:val="left"/>
      </w:pPr>
      <w:rPr>
        <w:rFonts w:ascii="Arial" w:eastAsia="Arial" w:hAnsi="Arial" w:cs="Arial" w:hint="default"/>
        <w:spacing w:val="-1"/>
        <w:w w:val="100"/>
        <w:sz w:val="22"/>
        <w:szCs w:val="22"/>
        <w:lang w:val="en-US" w:eastAsia="en-US" w:bidi="en-US"/>
      </w:rPr>
    </w:lvl>
    <w:lvl w:ilvl="2">
      <w:start w:val="1"/>
      <w:numFmt w:val="lowerLetter"/>
      <w:lvlText w:val="%3)"/>
      <w:lvlJc w:val="left"/>
      <w:pPr>
        <w:ind w:left="1253" w:hanging="425"/>
        <w:jc w:val="left"/>
      </w:pPr>
      <w:rPr>
        <w:rFonts w:ascii="Arial" w:eastAsia="Arial" w:hAnsi="Arial" w:cs="Arial" w:hint="default"/>
        <w:spacing w:val="-1"/>
        <w:w w:val="100"/>
        <w:sz w:val="22"/>
        <w:szCs w:val="22"/>
        <w:lang w:val="en-US" w:eastAsia="en-US" w:bidi="en-US"/>
      </w:rPr>
    </w:lvl>
    <w:lvl w:ilvl="3">
      <w:numFmt w:val="bullet"/>
      <w:lvlText w:val="•"/>
      <w:lvlJc w:val="left"/>
      <w:pPr>
        <w:ind w:left="3332" w:hanging="425"/>
      </w:pPr>
      <w:rPr>
        <w:rFonts w:hint="default"/>
        <w:lang w:val="en-US" w:eastAsia="en-US" w:bidi="en-US"/>
      </w:rPr>
    </w:lvl>
    <w:lvl w:ilvl="4">
      <w:numFmt w:val="bullet"/>
      <w:lvlText w:val="•"/>
      <w:lvlJc w:val="left"/>
      <w:pPr>
        <w:ind w:left="4368" w:hanging="425"/>
      </w:pPr>
      <w:rPr>
        <w:rFonts w:hint="default"/>
        <w:lang w:val="en-US" w:eastAsia="en-US" w:bidi="en-US"/>
      </w:rPr>
    </w:lvl>
    <w:lvl w:ilvl="5">
      <w:numFmt w:val="bullet"/>
      <w:lvlText w:val="•"/>
      <w:lvlJc w:val="left"/>
      <w:pPr>
        <w:ind w:left="5405" w:hanging="425"/>
      </w:pPr>
      <w:rPr>
        <w:rFonts w:hint="default"/>
        <w:lang w:val="en-US" w:eastAsia="en-US" w:bidi="en-US"/>
      </w:rPr>
    </w:lvl>
    <w:lvl w:ilvl="6">
      <w:numFmt w:val="bullet"/>
      <w:lvlText w:val="•"/>
      <w:lvlJc w:val="left"/>
      <w:pPr>
        <w:ind w:left="6441" w:hanging="425"/>
      </w:pPr>
      <w:rPr>
        <w:rFonts w:hint="default"/>
        <w:lang w:val="en-US" w:eastAsia="en-US" w:bidi="en-US"/>
      </w:rPr>
    </w:lvl>
    <w:lvl w:ilvl="7">
      <w:numFmt w:val="bullet"/>
      <w:lvlText w:val="•"/>
      <w:lvlJc w:val="left"/>
      <w:pPr>
        <w:ind w:left="7477" w:hanging="425"/>
      </w:pPr>
      <w:rPr>
        <w:rFonts w:hint="default"/>
        <w:lang w:val="en-US" w:eastAsia="en-US" w:bidi="en-US"/>
      </w:rPr>
    </w:lvl>
    <w:lvl w:ilvl="8">
      <w:numFmt w:val="bullet"/>
      <w:lvlText w:val="•"/>
      <w:lvlJc w:val="left"/>
      <w:pPr>
        <w:ind w:left="8513" w:hanging="425"/>
      </w:pPr>
      <w:rPr>
        <w:rFonts w:hint="default"/>
        <w:lang w:val="en-US" w:eastAsia="en-US" w:bidi="en-US"/>
      </w:rPr>
    </w:lvl>
  </w:abstractNum>
  <w:abstractNum w:abstractNumId="21" w15:restartNumberingAfterBreak="0">
    <w:nsid w:val="29723462"/>
    <w:multiLevelType w:val="hybridMultilevel"/>
    <w:tmpl w:val="920676C0"/>
    <w:lvl w:ilvl="0" w:tplc="162CD5FC">
      <w:numFmt w:val="bullet"/>
      <w:lvlText w:val="-"/>
      <w:lvlJc w:val="left"/>
      <w:pPr>
        <w:ind w:left="798" w:hanging="360"/>
      </w:pPr>
      <w:rPr>
        <w:rFonts w:ascii="Arial" w:eastAsia="Arial" w:hAnsi="Arial" w:cs="Arial" w:hint="default"/>
        <w:w w:val="99"/>
        <w:sz w:val="20"/>
        <w:szCs w:val="20"/>
        <w:lang w:val="en-US" w:eastAsia="en-US" w:bidi="en-US"/>
      </w:rPr>
    </w:lvl>
    <w:lvl w:ilvl="1" w:tplc="DF624224">
      <w:numFmt w:val="bullet"/>
      <w:lvlText w:val="•"/>
      <w:lvlJc w:val="left"/>
      <w:pPr>
        <w:ind w:left="1106" w:hanging="360"/>
      </w:pPr>
      <w:rPr>
        <w:rFonts w:hint="default"/>
        <w:lang w:val="en-US" w:eastAsia="en-US" w:bidi="en-US"/>
      </w:rPr>
    </w:lvl>
    <w:lvl w:ilvl="2" w:tplc="B6FC96DC">
      <w:numFmt w:val="bullet"/>
      <w:lvlText w:val="•"/>
      <w:lvlJc w:val="left"/>
      <w:pPr>
        <w:ind w:left="1412" w:hanging="360"/>
      </w:pPr>
      <w:rPr>
        <w:rFonts w:hint="default"/>
        <w:lang w:val="en-US" w:eastAsia="en-US" w:bidi="en-US"/>
      </w:rPr>
    </w:lvl>
    <w:lvl w:ilvl="3" w:tplc="EEB68098">
      <w:numFmt w:val="bullet"/>
      <w:lvlText w:val="•"/>
      <w:lvlJc w:val="left"/>
      <w:pPr>
        <w:ind w:left="1719" w:hanging="360"/>
      </w:pPr>
      <w:rPr>
        <w:rFonts w:hint="default"/>
        <w:lang w:val="en-US" w:eastAsia="en-US" w:bidi="en-US"/>
      </w:rPr>
    </w:lvl>
    <w:lvl w:ilvl="4" w:tplc="A8960376">
      <w:numFmt w:val="bullet"/>
      <w:lvlText w:val="•"/>
      <w:lvlJc w:val="left"/>
      <w:pPr>
        <w:ind w:left="2025" w:hanging="360"/>
      </w:pPr>
      <w:rPr>
        <w:rFonts w:hint="default"/>
        <w:lang w:val="en-US" w:eastAsia="en-US" w:bidi="en-US"/>
      </w:rPr>
    </w:lvl>
    <w:lvl w:ilvl="5" w:tplc="1818A4E4">
      <w:numFmt w:val="bullet"/>
      <w:lvlText w:val="•"/>
      <w:lvlJc w:val="left"/>
      <w:pPr>
        <w:ind w:left="2332" w:hanging="360"/>
      </w:pPr>
      <w:rPr>
        <w:rFonts w:hint="default"/>
        <w:lang w:val="en-US" w:eastAsia="en-US" w:bidi="en-US"/>
      </w:rPr>
    </w:lvl>
    <w:lvl w:ilvl="6" w:tplc="49908E26">
      <w:numFmt w:val="bullet"/>
      <w:lvlText w:val="•"/>
      <w:lvlJc w:val="left"/>
      <w:pPr>
        <w:ind w:left="2638" w:hanging="360"/>
      </w:pPr>
      <w:rPr>
        <w:rFonts w:hint="default"/>
        <w:lang w:val="en-US" w:eastAsia="en-US" w:bidi="en-US"/>
      </w:rPr>
    </w:lvl>
    <w:lvl w:ilvl="7" w:tplc="DE8C45EC">
      <w:numFmt w:val="bullet"/>
      <w:lvlText w:val="•"/>
      <w:lvlJc w:val="left"/>
      <w:pPr>
        <w:ind w:left="2944" w:hanging="360"/>
      </w:pPr>
      <w:rPr>
        <w:rFonts w:hint="default"/>
        <w:lang w:val="en-US" w:eastAsia="en-US" w:bidi="en-US"/>
      </w:rPr>
    </w:lvl>
    <w:lvl w:ilvl="8" w:tplc="EC26FFC2">
      <w:numFmt w:val="bullet"/>
      <w:lvlText w:val="•"/>
      <w:lvlJc w:val="left"/>
      <w:pPr>
        <w:ind w:left="3251" w:hanging="360"/>
      </w:pPr>
      <w:rPr>
        <w:rFonts w:hint="default"/>
        <w:lang w:val="en-US" w:eastAsia="en-US" w:bidi="en-US"/>
      </w:rPr>
    </w:lvl>
  </w:abstractNum>
  <w:abstractNum w:abstractNumId="22" w15:restartNumberingAfterBreak="0">
    <w:nsid w:val="29F85987"/>
    <w:multiLevelType w:val="multilevel"/>
    <w:tmpl w:val="CE1C920A"/>
    <w:lvl w:ilvl="0">
      <w:start w:val="1"/>
      <w:numFmt w:val="decimal"/>
      <w:lvlText w:val="%1."/>
      <w:lvlJc w:val="left"/>
      <w:pPr>
        <w:ind w:left="367" w:hanging="248"/>
        <w:jc w:val="left"/>
      </w:pPr>
      <w:rPr>
        <w:rFonts w:hint="default"/>
        <w:spacing w:val="-1"/>
        <w:w w:val="100"/>
        <w:lang w:val="en-US" w:eastAsia="en-US" w:bidi="en-US"/>
      </w:rPr>
    </w:lvl>
    <w:lvl w:ilvl="1">
      <w:start w:val="1"/>
      <w:numFmt w:val="decimal"/>
      <w:lvlText w:val="%1.%2"/>
      <w:lvlJc w:val="left"/>
      <w:pPr>
        <w:ind w:left="490" w:hanging="370"/>
        <w:jc w:val="left"/>
      </w:pPr>
      <w:rPr>
        <w:rFonts w:ascii="Arial" w:eastAsia="Arial" w:hAnsi="Arial" w:cs="Arial" w:hint="default"/>
        <w:b/>
        <w:bCs/>
        <w:spacing w:val="-1"/>
        <w:w w:val="100"/>
        <w:sz w:val="22"/>
        <w:szCs w:val="22"/>
        <w:lang w:val="en-US" w:eastAsia="en-US" w:bidi="en-US"/>
      </w:rPr>
    </w:lvl>
    <w:lvl w:ilvl="2">
      <w:numFmt w:val="bullet"/>
      <w:lvlText w:val="•"/>
      <w:lvlJc w:val="left"/>
      <w:pPr>
        <w:ind w:left="1602" w:hanging="370"/>
      </w:pPr>
      <w:rPr>
        <w:rFonts w:hint="default"/>
        <w:lang w:val="en-US" w:eastAsia="en-US" w:bidi="en-US"/>
      </w:rPr>
    </w:lvl>
    <w:lvl w:ilvl="3">
      <w:numFmt w:val="bullet"/>
      <w:lvlText w:val="•"/>
      <w:lvlJc w:val="left"/>
      <w:pPr>
        <w:ind w:left="2725" w:hanging="370"/>
      </w:pPr>
      <w:rPr>
        <w:rFonts w:hint="default"/>
        <w:lang w:val="en-US" w:eastAsia="en-US" w:bidi="en-US"/>
      </w:rPr>
    </w:lvl>
    <w:lvl w:ilvl="4">
      <w:numFmt w:val="bullet"/>
      <w:lvlText w:val="•"/>
      <w:lvlJc w:val="left"/>
      <w:pPr>
        <w:ind w:left="3848" w:hanging="370"/>
      </w:pPr>
      <w:rPr>
        <w:rFonts w:hint="default"/>
        <w:lang w:val="en-US" w:eastAsia="en-US" w:bidi="en-US"/>
      </w:rPr>
    </w:lvl>
    <w:lvl w:ilvl="5">
      <w:numFmt w:val="bullet"/>
      <w:lvlText w:val="•"/>
      <w:lvlJc w:val="left"/>
      <w:pPr>
        <w:ind w:left="4971" w:hanging="370"/>
      </w:pPr>
      <w:rPr>
        <w:rFonts w:hint="default"/>
        <w:lang w:val="en-US" w:eastAsia="en-US" w:bidi="en-US"/>
      </w:rPr>
    </w:lvl>
    <w:lvl w:ilvl="6">
      <w:numFmt w:val="bullet"/>
      <w:lvlText w:val="•"/>
      <w:lvlJc w:val="left"/>
      <w:pPr>
        <w:ind w:left="6094" w:hanging="370"/>
      </w:pPr>
      <w:rPr>
        <w:rFonts w:hint="default"/>
        <w:lang w:val="en-US" w:eastAsia="en-US" w:bidi="en-US"/>
      </w:rPr>
    </w:lvl>
    <w:lvl w:ilvl="7">
      <w:numFmt w:val="bullet"/>
      <w:lvlText w:val="•"/>
      <w:lvlJc w:val="left"/>
      <w:pPr>
        <w:ind w:left="7217" w:hanging="370"/>
      </w:pPr>
      <w:rPr>
        <w:rFonts w:hint="default"/>
        <w:lang w:val="en-US" w:eastAsia="en-US" w:bidi="en-US"/>
      </w:rPr>
    </w:lvl>
    <w:lvl w:ilvl="8">
      <w:numFmt w:val="bullet"/>
      <w:lvlText w:val="•"/>
      <w:lvlJc w:val="left"/>
      <w:pPr>
        <w:ind w:left="8340" w:hanging="370"/>
      </w:pPr>
      <w:rPr>
        <w:rFonts w:hint="default"/>
        <w:lang w:val="en-US" w:eastAsia="en-US" w:bidi="en-US"/>
      </w:rPr>
    </w:lvl>
  </w:abstractNum>
  <w:abstractNum w:abstractNumId="23" w15:restartNumberingAfterBreak="0">
    <w:nsid w:val="2A22059C"/>
    <w:multiLevelType w:val="hybridMultilevel"/>
    <w:tmpl w:val="BAA6E890"/>
    <w:lvl w:ilvl="0" w:tplc="5A7CC952">
      <w:start w:val="1"/>
      <w:numFmt w:val="decimal"/>
      <w:lvlText w:val="%1."/>
      <w:lvlJc w:val="left"/>
      <w:pPr>
        <w:ind w:left="547" w:hanging="428"/>
        <w:jc w:val="left"/>
      </w:pPr>
      <w:rPr>
        <w:rFonts w:ascii="Arial" w:eastAsia="Arial" w:hAnsi="Arial" w:cs="Arial" w:hint="default"/>
        <w:spacing w:val="-1"/>
        <w:w w:val="100"/>
        <w:sz w:val="22"/>
        <w:szCs w:val="22"/>
        <w:lang w:val="en-US" w:eastAsia="en-US" w:bidi="en-US"/>
      </w:rPr>
    </w:lvl>
    <w:lvl w:ilvl="1" w:tplc="FF121E2A">
      <w:numFmt w:val="bullet"/>
      <w:lvlText w:val="•"/>
      <w:lvlJc w:val="left"/>
      <w:pPr>
        <w:ind w:left="1544" w:hanging="428"/>
      </w:pPr>
      <w:rPr>
        <w:rFonts w:hint="default"/>
        <w:lang w:val="en-US" w:eastAsia="en-US" w:bidi="en-US"/>
      </w:rPr>
    </w:lvl>
    <w:lvl w:ilvl="2" w:tplc="9576421A">
      <w:numFmt w:val="bullet"/>
      <w:lvlText w:val="•"/>
      <w:lvlJc w:val="left"/>
      <w:pPr>
        <w:ind w:left="2549" w:hanging="428"/>
      </w:pPr>
      <w:rPr>
        <w:rFonts w:hint="default"/>
        <w:lang w:val="en-US" w:eastAsia="en-US" w:bidi="en-US"/>
      </w:rPr>
    </w:lvl>
    <w:lvl w:ilvl="3" w:tplc="5B7E47BE">
      <w:numFmt w:val="bullet"/>
      <w:lvlText w:val="•"/>
      <w:lvlJc w:val="left"/>
      <w:pPr>
        <w:ind w:left="3553" w:hanging="428"/>
      </w:pPr>
      <w:rPr>
        <w:rFonts w:hint="default"/>
        <w:lang w:val="en-US" w:eastAsia="en-US" w:bidi="en-US"/>
      </w:rPr>
    </w:lvl>
    <w:lvl w:ilvl="4" w:tplc="A35813D8">
      <w:numFmt w:val="bullet"/>
      <w:lvlText w:val="•"/>
      <w:lvlJc w:val="left"/>
      <w:pPr>
        <w:ind w:left="4558" w:hanging="428"/>
      </w:pPr>
      <w:rPr>
        <w:rFonts w:hint="default"/>
        <w:lang w:val="en-US" w:eastAsia="en-US" w:bidi="en-US"/>
      </w:rPr>
    </w:lvl>
    <w:lvl w:ilvl="5" w:tplc="BBFA20CE">
      <w:numFmt w:val="bullet"/>
      <w:lvlText w:val="•"/>
      <w:lvlJc w:val="left"/>
      <w:pPr>
        <w:ind w:left="5563" w:hanging="428"/>
      </w:pPr>
      <w:rPr>
        <w:rFonts w:hint="default"/>
        <w:lang w:val="en-US" w:eastAsia="en-US" w:bidi="en-US"/>
      </w:rPr>
    </w:lvl>
    <w:lvl w:ilvl="6" w:tplc="DCB0C642">
      <w:numFmt w:val="bullet"/>
      <w:lvlText w:val="•"/>
      <w:lvlJc w:val="left"/>
      <w:pPr>
        <w:ind w:left="6567" w:hanging="428"/>
      </w:pPr>
      <w:rPr>
        <w:rFonts w:hint="default"/>
        <w:lang w:val="en-US" w:eastAsia="en-US" w:bidi="en-US"/>
      </w:rPr>
    </w:lvl>
    <w:lvl w:ilvl="7" w:tplc="52087A96">
      <w:numFmt w:val="bullet"/>
      <w:lvlText w:val="•"/>
      <w:lvlJc w:val="left"/>
      <w:pPr>
        <w:ind w:left="7572" w:hanging="428"/>
      </w:pPr>
      <w:rPr>
        <w:rFonts w:hint="default"/>
        <w:lang w:val="en-US" w:eastAsia="en-US" w:bidi="en-US"/>
      </w:rPr>
    </w:lvl>
    <w:lvl w:ilvl="8" w:tplc="6106A968">
      <w:numFmt w:val="bullet"/>
      <w:lvlText w:val="•"/>
      <w:lvlJc w:val="left"/>
      <w:pPr>
        <w:ind w:left="8577" w:hanging="428"/>
      </w:pPr>
      <w:rPr>
        <w:rFonts w:hint="default"/>
        <w:lang w:val="en-US" w:eastAsia="en-US" w:bidi="en-US"/>
      </w:rPr>
    </w:lvl>
  </w:abstractNum>
  <w:abstractNum w:abstractNumId="24" w15:restartNumberingAfterBreak="0">
    <w:nsid w:val="2DB95C95"/>
    <w:multiLevelType w:val="hybridMultilevel"/>
    <w:tmpl w:val="11DA5ABC"/>
    <w:lvl w:ilvl="0" w:tplc="4EDE0CEC">
      <w:start w:val="1"/>
      <w:numFmt w:val="lowerLetter"/>
      <w:lvlText w:val="%1)"/>
      <w:lvlJc w:val="left"/>
      <w:pPr>
        <w:ind w:left="686" w:hanging="567"/>
        <w:jc w:val="left"/>
      </w:pPr>
      <w:rPr>
        <w:rFonts w:ascii="Arial" w:eastAsia="Arial" w:hAnsi="Arial" w:cs="Arial" w:hint="default"/>
        <w:spacing w:val="-1"/>
        <w:w w:val="100"/>
        <w:sz w:val="22"/>
        <w:szCs w:val="22"/>
        <w:lang w:val="en-US" w:eastAsia="en-US" w:bidi="en-US"/>
      </w:rPr>
    </w:lvl>
    <w:lvl w:ilvl="1" w:tplc="227E83B2">
      <w:numFmt w:val="bullet"/>
      <w:lvlText w:val="•"/>
      <w:lvlJc w:val="left"/>
      <w:pPr>
        <w:ind w:left="1670" w:hanging="567"/>
      </w:pPr>
      <w:rPr>
        <w:rFonts w:hint="default"/>
        <w:lang w:val="en-US" w:eastAsia="en-US" w:bidi="en-US"/>
      </w:rPr>
    </w:lvl>
    <w:lvl w:ilvl="2" w:tplc="E1F63BC2">
      <w:numFmt w:val="bullet"/>
      <w:lvlText w:val="•"/>
      <w:lvlJc w:val="left"/>
      <w:pPr>
        <w:ind w:left="2661" w:hanging="567"/>
      </w:pPr>
      <w:rPr>
        <w:rFonts w:hint="default"/>
        <w:lang w:val="en-US" w:eastAsia="en-US" w:bidi="en-US"/>
      </w:rPr>
    </w:lvl>
    <w:lvl w:ilvl="3" w:tplc="F8C2F478">
      <w:numFmt w:val="bullet"/>
      <w:lvlText w:val="•"/>
      <w:lvlJc w:val="left"/>
      <w:pPr>
        <w:ind w:left="3651" w:hanging="567"/>
      </w:pPr>
      <w:rPr>
        <w:rFonts w:hint="default"/>
        <w:lang w:val="en-US" w:eastAsia="en-US" w:bidi="en-US"/>
      </w:rPr>
    </w:lvl>
    <w:lvl w:ilvl="4" w:tplc="39F60CDE">
      <w:numFmt w:val="bullet"/>
      <w:lvlText w:val="•"/>
      <w:lvlJc w:val="left"/>
      <w:pPr>
        <w:ind w:left="4642" w:hanging="567"/>
      </w:pPr>
      <w:rPr>
        <w:rFonts w:hint="default"/>
        <w:lang w:val="en-US" w:eastAsia="en-US" w:bidi="en-US"/>
      </w:rPr>
    </w:lvl>
    <w:lvl w:ilvl="5" w:tplc="E24C14AE">
      <w:numFmt w:val="bullet"/>
      <w:lvlText w:val="•"/>
      <w:lvlJc w:val="left"/>
      <w:pPr>
        <w:ind w:left="5633" w:hanging="567"/>
      </w:pPr>
      <w:rPr>
        <w:rFonts w:hint="default"/>
        <w:lang w:val="en-US" w:eastAsia="en-US" w:bidi="en-US"/>
      </w:rPr>
    </w:lvl>
    <w:lvl w:ilvl="6" w:tplc="DCBCC334">
      <w:numFmt w:val="bullet"/>
      <w:lvlText w:val="•"/>
      <w:lvlJc w:val="left"/>
      <w:pPr>
        <w:ind w:left="6623" w:hanging="567"/>
      </w:pPr>
      <w:rPr>
        <w:rFonts w:hint="default"/>
        <w:lang w:val="en-US" w:eastAsia="en-US" w:bidi="en-US"/>
      </w:rPr>
    </w:lvl>
    <w:lvl w:ilvl="7" w:tplc="12D2766A">
      <w:numFmt w:val="bullet"/>
      <w:lvlText w:val="•"/>
      <w:lvlJc w:val="left"/>
      <w:pPr>
        <w:ind w:left="7614" w:hanging="567"/>
      </w:pPr>
      <w:rPr>
        <w:rFonts w:hint="default"/>
        <w:lang w:val="en-US" w:eastAsia="en-US" w:bidi="en-US"/>
      </w:rPr>
    </w:lvl>
    <w:lvl w:ilvl="8" w:tplc="1AE2BF5A">
      <w:numFmt w:val="bullet"/>
      <w:lvlText w:val="•"/>
      <w:lvlJc w:val="left"/>
      <w:pPr>
        <w:ind w:left="8605" w:hanging="567"/>
      </w:pPr>
      <w:rPr>
        <w:rFonts w:hint="default"/>
        <w:lang w:val="en-US" w:eastAsia="en-US" w:bidi="en-US"/>
      </w:rPr>
    </w:lvl>
  </w:abstractNum>
  <w:abstractNum w:abstractNumId="25" w15:restartNumberingAfterBreak="0">
    <w:nsid w:val="31E426A4"/>
    <w:multiLevelType w:val="multilevel"/>
    <w:tmpl w:val="569E5762"/>
    <w:lvl w:ilvl="0">
      <w:start w:val="10"/>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26" w15:restartNumberingAfterBreak="0">
    <w:nsid w:val="3364356A"/>
    <w:multiLevelType w:val="hybridMultilevel"/>
    <w:tmpl w:val="CD107E04"/>
    <w:lvl w:ilvl="0" w:tplc="BCF0E598">
      <w:numFmt w:val="bullet"/>
      <w:lvlText w:val="-"/>
      <w:lvlJc w:val="left"/>
      <w:pPr>
        <w:ind w:left="266" w:hanging="188"/>
      </w:pPr>
      <w:rPr>
        <w:rFonts w:ascii="Arial" w:eastAsia="Arial" w:hAnsi="Arial" w:cs="Arial" w:hint="default"/>
        <w:w w:val="99"/>
        <w:sz w:val="20"/>
        <w:szCs w:val="20"/>
        <w:lang w:val="en-US" w:eastAsia="en-US" w:bidi="en-US"/>
      </w:rPr>
    </w:lvl>
    <w:lvl w:ilvl="1" w:tplc="A5ECBA7A">
      <w:numFmt w:val="bullet"/>
      <w:lvlText w:val="•"/>
      <w:lvlJc w:val="left"/>
      <w:pPr>
        <w:ind w:left="613" w:hanging="188"/>
      </w:pPr>
      <w:rPr>
        <w:rFonts w:hint="default"/>
        <w:lang w:val="en-US" w:eastAsia="en-US" w:bidi="en-US"/>
      </w:rPr>
    </w:lvl>
    <w:lvl w:ilvl="2" w:tplc="5E94E3AE">
      <w:numFmt w:val="bullet"/>
      <w:lvlText w:val="•"/>
      <w:lvlJc w:val="left"/>
      <w:pPr>
        <w:ind w:left="967" w:hanging="188"/>
      </w:pPr>
      <w:rPr>
        <w:rFonts w:hint="default"/>
        <w:lang w:val="en-US" w:eastAsia="en-US" w:bidi="en-US"/>
      </w:rPr>
    </w:lvl>
    <w:lvl w:ilvl="3" w:tplc="28AA8284">
      <w:numFmt w:val="bullet"/>
      <w:lvlText w:val="•"/>
      <w:lvlJc w:val="left"/>
      <w:pPr>
        <w:ind w:left="1321" w:hanging="188"/>
      </w:pPr>
      <w:rPr>
        <w:rFonts w:hint="default"/>
        <w:lang w:val="en-US" w:eastAsia="en-US" w:bidi="en-US"/>
      </w:rPr>
    </w:lvl>
    <w:lvl w:ilvl="4" w:tplc="9342F04E">
      <w:numFmt w:val="bullet"/>
      <w:lvlText w:val="•"/>
      <w:lvlJc w:val="left"/>
      <w:pPr>
        <w:ind w:left="1674" w:hanging="188"/>
      </w:pPr>
      <w:rPr>
        <w:rFonts w:hint="default"/>
        <w:lang w:val="en-US" w:eastAsia="en-US" w:bidi="en-US"/>
      </w:rPr>
    </w:lvl>
    <w:lvl w:ilvl="5" w:tplc="60925330">
      <w:numFmt w:val="bullet"/>
      <w:lvlText w:val="•"/>
      <w:lvlJc w:val="left"/>
      <w:pPr>
        <w:ind w:left="2028" w:hanging="188"/>
      </w:pPr>
      <w:rPr>
        <w:rFonts w:hint="default"/>
        <w:lang w:val="en-US" w:eastAsia="en-US" w:bidi="en-US"/>
      </w:rPr>
    </w:lvl>
    <w:lvl w:ilvl="6" w:tplc="B0E010BE">
      <w:numFmt w:val="bullet"/>
      <w:lvlText w:val="•"/>
      <w:lvlJc w:val="left"/>
      <w:pPr>
        <w:ind w:left="2382" w:hanging="188"/>
      </w:pPr>
      <w:rPr>
        <w:rFonts w:hint="default"/>
        <w:lang w:val="en-US" w:eastAsia="en-US" w:bidi="en-US"/>
      </w:rPr>
    </w:lvl>
    <w:lvl w:ilvl="7" w:tplc="A3F8FBCC">
      <w:numFmt w:val="bullet"/>
      <w:lvlText w:val="•"/>
      <w:lvlJc w:val="left"/>
      <w:pPr>
        <w:ind w:left="2735" w:hanging="188"/>
      </w:pPr>
      <w:rPr>
        <w:rFonts w:hint="default"/>
        <w:lang w:val="en-US" w:eastAsia="en-US" w:bidi="en-US"/>
      </w:rPr>
    </w:lvl>
    <w:lvl w:ilvl="8" w:tplc="8B54A300">
      <w:numFmt w:val="bullet"/>
      <w:lvlText w:val="•"/>
      <w:lvlJc w:val="left"/>
      <w:pPr>
        <w:ind w:left="3089" w:hanging="188"/>
      </w:pPr>
      <w:rPr>
        <w:rFonts w:hint="default"/>
        <w:lang w:val="en-US" w:eastAsia="en-US" w:bidi="en-US"/>
      </w:rPr>
    </w:lvl>
  </w:abstractNum>
  <w:abstractNum w:abstractNumId="27" w15:restartNumberingAfterBreak="0">
    <w:nsid w:val="33725DFB"/>
    <w:multiLevelType w:val="multilevel"/>
    <w:tmpl w:val="84B21978"/>
    <w:lvl w:ilvl="0">
      <w:start w:val="12"/>
      <w:numFmt w:val="decimal"/>
      <w:lvlText w:val="%1"/>
      <w:lvlJc w:val="left"/>
      <w:pPr>
        <w:ind w:left="120" w:hanging="783"/>
        <w:jc w:val="left"/>
      </w:pPr>
      <w:rPr>
        <w:rFonts w:hint="default"/>
        <w:lang w:val="en-US" w:eastAsia="en-US" w:bidi="en-US"/>
      </w:rPr>
    </w:lvl>
    <w:lvl w:ilvl="1">
      <w:start w:val="1"/>
      <w:numFmt w:val="decimal"/>
      <w:lvlText w:val="%1.%2"/>
      <w:lvlJc w:val="left"/>
      <w:pPr>
        <w:ind w:left="120" w:hanging="783"/>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83"/>
      </w:pPr>
      <w:rPr>
        <w:rFonts w:hint="default"/>
        <w:lang w:val="en-US" w:eastAsia="en-US" w:bidi="en-US"/>
      </w:rPr>
    </w:lvl>
    <w:lvl w:ilvl="3">
      <w:numFmt w:val="bullet"/>
      <w:lvlText w:val="•"/>
      <w:lvlJc w:val="left"/>
      <w:pPr>
        <w:ind w:left="3259" w:hanging="783"/>
      </w:pPr>
      <w:rPr>
        <w:rFonts w:hint="default"/>
        <w:lang w:val="en-US" w:eastAsia="en-US" w:bidi="en-US"/>
      </w:rPr>
    </w:lvl>
    <w:lvl w:ilvl="4">
      <w:numFmt w:val="bullet"/>
      <w:lvlText w:val="•"/>
      <w:lvlJc w:val="left"/>
      <w:pPr>
        <w:ind w:left="4306" w:hanging="783"/>
      </w:pPr>
      <w:rPr>
        <w:rFonts w:hint="default"/>
        <w:lang w:val="en-US" w:eastAsia="en-US" w:bidi="en-US"/>
      </w:rPr>
    </w:lvl>
    <w:lvl w:ilvl="5">
      <w:numFmt w:val="bullet"/>
      <w:lvlText w:val="•"/>
      <w:lvlJc w:val="left"/>
      <w:pPr>
        <w:ind w:left="5353" w:hanging="783"/>
      </w:pPr>
      <w:rPr>
        <w:rFonts w:hint="default"/>
        <w:lang w:val="en-US" w:eastAsia="en-US" w:bidi="en-US"/>
      </w:rPr>
    </w:lvl>
    <w:lvl w:ilvl="6">
      <w:numFmt w:val="bullet"/>
      <w:lvlText w:val="•"/>
      <w:lvlJc w:val="left"/>
      <w:pPr>
        <w:ind w:left="6399" w:hanging="783"/>
      </w:pPr>
      <w:rPr>
        <w:rFonts w:hint="default"/>
        <w:lang w:val="en-US" w:eastAsia="en-US" w:bidi="en-US"/>
      </w:rPr>
    </w:lvl>
    <w:lvl w:ilvl="7">
      <w:numFmt w:val="bullet"/>
      <w:lvlText w:val="•"/>
      <w:lvlJc w:val="left"/>
      <w:pPr>
        <w:ind w:left="7446" w:hanging="783"/>
      </w:pPr>
      <w:rPr>
        <w:rFonts w:hint="default"/>
        <w:lang w:val="en-US" w:eastAsia="en-US" w:bidi="en-US"/>
      </w:rPr>
    </w:lvl>
    <w:lvl w:ilvl="8">
      <w:numFmt w:val="bullet"/>
      <w:lvlText w:val="•"/>
      <w:lvlJc w:val="left"/>
      <w:pPr>
        <w:ind w:left="8493" w:hanging="783"/>
      </w:pPr>
      <w:rPr>
        <w:rFonts w:hint="default"/>
        <w:lang w:val="en-US" w:eastAsia="en-US" w:bidi="en-US"/>
      </w:rPr>
    </w:lvl>
  </w:abstractNum>
  <w:abstractNum w:abstractNumId="28" w15:restartNumberingAfterBreak="0">
    <w:nsid w:val="38B40E47"/>
    <w:multiLevelType w:val="multilevel"/>
    <w:tmpl w:val="E458AAFC"/>
    <w:lvl w:ilvl="0">
      <w:start w:val="5"/>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29" w15:restartNumberingAfterBreak="0">
    <w:nsid w:val="39D02B6D"/>
    <w:multiLevelType w:val="multilevel"/>
    <w:tmpl w:val="5AFE256E"/>
    <w:lvl w:ilvl="0">
      <w:start w:val="31"/>
      <w:numFmt w:val="decimal"/>
      <w:lvlText w:val="%1"/>
      <w:lvlJc w:val="left"/>
      <w:pPr>
        <w:ind w:left="120" w:hanging="708"/>
        <w:jc w:val="left"/>
      </w:pPr>
      <w:rPr>
        <w:rFonts w:hint="default"/>
        <w:lang w:val="en-US" w:eastAsia="en-US" w:bidi="en-US"/>
      </w:rPr>
    </w:lvl>
    <w:lvl w:ilvl="1">
      <w:start w:val="1"/>
      <w:numFmt w:val="decimal"/>
      <w:lvlText w:val="%1.%2"/>
      <w:lvlJc w:val="left"/>
      <w:pPr>
        <w:ind w:left="120" w:hanging="708"/>
        <w:jc w:val="left"/>
      </w:pPr>
      <w:rPr>
        <w:rFonts w:ascii="Arial" w:eastAsia="Arial" w:hAnsi="Arial" w:cs="Arial" w:hint="default"/>
        <w:spacing w:val="-1"/>
        <w:w w:val="100"/>
        <w:sz w:val="22"/>
        <w:szCs w:val="22"/>
        <w:lang w:val="en-US" w:eastAsia="en-US" w:bidi="en-US"/>
      </w:rPr>
    </w:lvl>
    <w:lvl w:ilvl="2">
      <w:start w:val="1"/>
      <w:numFmt w:val="lowerLetter"/>
      <w:lvlText w:val="%3)"/>
      <w:lvlJc w:val="left"/>
      <w:pPr>
        <w:ind w:left="1253" w:hanging="425"/>
        <w:jc w:val="left"/>
      </w:pPr>
      <w:rPr>
        <w:rFonts w:ascii="Arial" w:eastAsia="Arial" w:hAnsi="Arial" w:cs="Arial" w:hint="default"/>
        <w:spacing w:val="-1"/>
        <w:w w:val="100"/>
        <w:sz w:val="22"/>
        <w:szCs w:val="22"/>
        <w:lang w:val="en-US" w:eastAsia="en-US" w:bidi="en-US"/>
      </w:rPr>
    </w:lvl>
    <w:lvl w:ilvl="3">
      <w:numFmt w:val="bullet"/>
      <w:lvlText w:val="•"/>
      <w:lvlJc w:val="left"/>
      <w:pPr>
        <w:ind w:left="3332" w:hanging="425"/>
      </w:pPr>
      <w:rPr>
        <w:rFonts w:hint="default"/>
        <w:lang w:val="en-US" w:eastAsia="en-US" w:bidi="en-US"/>
      </w:rPr>
    </w:lvl>
    <w:lvl w:ilvl="4">
      <w:numFmt w:val="bullet"/>
      <w:lvlText w:val="•"/>
      <w:lvlJc w:val="left"/>
      <w:pPr>
        <w:ind w:left="4368" w:hanging="425"/>
      </w:pPr>
      <w:rPr>
        <w:rFonts w:hint="default"/>
        <w:lang w:val="en-US" w:eastAsia="en-US" w:bidi="en-US"/>
      </w:rPr>
    </w:lvl>
    <w:lvl w:ilvl="5">
      <w:numFmt w:val="bullet"/>
      <w:lvlText w:val="•"/>
      <w:lvlJc w:val="left"/>
      <w:pPr>
        <w:ind w:left="5405" w:hanging="425"/>
      </w:pPr>
      <w:rPr>
        <w:rFonts w:hint="default"/>
        <w:lang w:val="en-US" w:eastAsia="en-US" w:bidi="en-US"/>
      </w:rPr>
    </w:lvl>
    <w:lvl w:ilvl="6">
      <w:numFmt w:val="bullet"/>
      <w:lvlText w:val="•"/>
      <w:lvlJc w:val="left"/>
      <w:pPr>
        <w:ind w:left="6441" w:hanging="425"/>
      </w:pPr>
      <w:rPr>
        <w:rFonts w:hint="default"/>
        <w:lang w:val="en-US" w:eastAsia="en-US" w:bidi="en-US"/>
      </w:rPr>
    </w:lvl>
    <w:lvl w:ilvl="7">
      <w:numFmt w:val="bullet"/>
      <w:lvlText w:val="•"/>
      <w:lvlJc w:val="left"/>
      <w:pPr>
        <w:ind w:left="7477" w:hanging="425"/>
      </w:pPr>
      <w:rPr>
        <w:rFonts w:hint="default"/>
        <w:lang w:val="en-US" w:eastAsia="en-US" w:bidi="en-US"/>
      </w:rPr>
    </w:lvl>
    <w:lvl w:ilvl="8">
      <w:numFmt w:val="bullet"/>
      <w:lvlText w:val="•"/>
      <w:lvlJc w:val="left"/>
      <w:pPr>
        <w:ind w:left="8513" w:hanging="425"/>
      </w:pPr>
      <w:rPr>
        <w:rFonts w:hint="default"/>
        <w:lang w:val="en-US" w:eastAsia="en-US" w:bidi="en-US"/>
      </w:rPr>
    </w:lvl>
  </w:abstractNum>
  <w:abstractNum w:abstractNumId="30" w15:restartNumberingAfterBreak="0">
    <w:nsid w:val="3AD40E3A"/>
    <w:multiLevelType w:val="hybridMultilevel"/>
    <w:tmpl w:val="0AFE275C"/>
    <w:lvl w:ilvl="0" w:tplc="60CA8EB8">
      <w:numFmt w:val="bullet"/>
      <w:lvlText w:val=""/>
      <w:lvlJc w:val="left"/>
      <w:pPr>
        <w:ind w:left="508" w:hanging="452"/>
      </w:pPr>
      <w:rPr>
        <w:rFonts w:ascii="Symbol" w:eastAsia="Symbol" w:hAnsi="Symbol" w:cs="Symbol" w:hint="default"/>
        <w:w w:val="100"/>
        <w:sz w:val="22"/>
        <w:szCs w:val="22"/>
        <w:lang w:val="en-US" w:eastAsia="en-US" w:bidi="en-US"/>
      </w:rPr>
    </w:lvl>
    <w:lvl w:ilvl="1" w:tplc="8AD0ADC2">
      <w:numFmt w:val="bullet"/>
      <w:lvlText w:val="•"/>
      <w:lvlJc w:val="left"/>
      <w:pPr>
        <w:ind w:left="887" w:hanging="452"/>
      </w:pPr>
      <w:rPr>
        <w:rFonts w:hint="default"/>
        <w:lang w:val="en-US" w:eastAsia="en-US" w:bidi="en-US"/>
      </w:rPr>
    </w:lvl>
    <w:lvl w:ilvl="2" w:tplc="610807A4">
      <w:numFmt w:val="bullet"/>
      <w:lvlText w:val="•"/>
      <w:lvlJc w:val="left"/>
      <w:pPr>
        <w:ind w:left="1274" w:hanging="452"/>
      </w:pPr>
      <w:rPr>
        <w:rFonts w:hint="default"/>
        <w:lang w:val="en-US" w:eastAsia="en-US" w:bidi="en-US"/>
      </w:rPr>
    </w:lvl>
    <w:lvl w:ilvl="3" w:tplc="68700C36">
      <w:numFmt w:val="bullet"/>
      <w:lvlText w:val="•"/>
      <w:lvlJc w:val="left"/>
      <w:pPr>
        <w:ind w:left="1661" w:hanging="452"/>
      </w:pPr>
      <w:rPr>
        <w:rFonts w:hint="default"/>
        <w:lang w:val="en-US" w:eastAsia="en-US" w:bidi="en-US"/>
      </w:rPr>
    </w:lvl>
    <w:lvl w:ilvl="4" w:tplc="B3FEBBA2">
      <w:numFmt w:val="bullet"/>
      <w:lvlText w:val="•"/>
      <w:lvlJc w:val="left"/>
      <w:pPr>
        <w:ind w:left="2049" w:hanging="452"/>
      </w:pPr>
      <w:rPr>
        <w:rFonts w:hint="default"/>
        <w:lang w:val="en-US" w:eastAsia="en-US" w:bidi="en-US"/>
      </w:rPr>
    </w:lvl>
    <w:lvl w:ilvl="5" w:tplc="D17E6CF4">
      <w:numFmt w:val="bullet"/>
      <w:lvlText w:val="•"/>
      <w:lvlJc w:val="left"/>
      <w:pPr>
        <w:ind w:left="2436" w:hanging="452"/>
      </w:pPr>
      <w:rPr>
        <w:rFonts w:hint="default"/>
        <w:lang w:val="en-US" w:eastAsia="en-US" w:bidi="en-US"/>
      </w:rPr>
    </w:lvl>
    <w:lvl w:ilvl="6" w:tplc="59D81ECC">
      <w:numFmt w:val="bullet"/>
      <w:lvlText w:val="•"/>
      <w:lvlJc w:val="left"/>
      <w:pPr>
        <w:ind w:left="2823" w:hanging="452"/>
      </w:pPr>
      <w:rPr>
        <w:rFonts w:hint="default"/>
        <w:lang w:val="en-US" w:eastAsia="en-US" w:bidi="en-US"/>
      </w:rPr>
    </w:lvl>
    <w:lvl w:ilvl="7" w:tplc="E180A812">
      <w:numFmt w:val="bullet"/>
      <w:lvlText w:val="•"/>
      <w:lvlJc w:val="left"/>
      <w:pPr>
        <w:ind w:left="3211" w:hanging="452"/>
      </w:pPr>
      <w:rPr>
        <w:rFonts w:hint="default"/>
        <w:lang w:val="en-US" w:eastAsia="en-US" w:bidi="en-US"/>
      </w:rPr>
    </w:lvl>
    <w:lvl w:ilvl="8" w:tplc="67D28102">
      <w:numFmt w:val="bullet"/>
      <w:lvlText w:val="•"/>
      <w:lvlJc w:val="left"/>
      <w:pPr>
        <w:ind w:left="3598" w:hanging="452"/>
      </w:pPr>
      <w:rPr>
        <w:rFonts w:hint="default"/>
        <w:lang w:val="en-US" w:eastAsia="en-US" w:bidi="en-US"/>
      </w:rPr>
    </w:lvl>
  </w:abstractNum>
  <w:abstractNum w:abstractNumId="31" w15:restartNumberingAfterBreak="0">
    <w:nsid w:val="3B6B36EC"/>
    <w:multiLevelType w:val="hybridMultilevel"/>
    <w:tmpl w:val="51D4AD1C"/>
    <w:lvl w:ilvl="0" w:tplc="783E5122">
      <w:numFmt w:val="bullet"/>
      <w:lvlText w:val="-"/>
      <w:lvlJc w:val="left"/>
      <w:pPr>
        <w:ind w:left="414" w:hanging="284"/>
      </w:pPr>
      <w:rPr>
        <w:rFonts w:ascii="Arial" w:eastAsia="Arial" w:hAnsi="Arial" w:cs="Arial" w:hint="default"/>
        <w:w w:val="99"/>
        <w:sz w:val="20"/>
        <w:szCs w:val="20"/>
        <w:lang w:val="en-US" w:eastAsia="en-US" w:bidi="en-US"/>
      </w:rPr>
    </w:lvl>
    <w:lvl w:ilvl="1" w:tplc="074C30CC">
      <w:numFmt w:val="bullet"/>
      <w:lvlText w:val="•"/>
      <w:lvlJc w:val="left"/>
      <w:pPr>
        <w:ind w:left="839" w:hanging="284"/>
      </w:pPr>
      <w:rPr>
        <w:rFonts w:hint="default"/>
        <w:lang w:val="en-US" w:eastAsia="en-US" w:bidi="en-US"/>
      </w:rPr>
    </w:lvl>
    <w:lvl w:ilvl="2" w:tplc="7B980144">
      <w:numFmt w:val="bullet"/>
      <w:lvlText w:val="•"/>
      <w:lvlJc w:val="left"/>
      <w:pPr>
        <w:ind w:left="1258" w:hanging="284"/>
      </w:pPr>
      <w:rPr>
        <w:rFonts w:hint="default"/>
        <w:lang w:val="en-US" w:eastAsia="en-US" w:bidi="en-US"/>
      </w:rPr>
    </w:lvl>
    <w:lvl w:ilvl="3" w:tplc="D66455E4">
      <w:numFmt w:val="bullet"/>
      <w:lvlText w:val="•"/>
      <w:lvlJc w:val="left"/>
      <w:pPr>
        <w:ind w:left="1678" w:hanging="284"/>
      </w:pPr>
      <w:rPr>
        <w:rFonts w:hint="default"/>
        <w:lang w:val="en-US" w:eastAsia="en-US" w:bidi="en-US"/>
      </w:rPr>
    </w:lvl>
    <w:lvl w:ilvl="4" w:tplc="9D08AA30">
      <w:numFmt w:val="bullet"/>
      <w:lvlText w:val="•"/>
      <w:lvlJc w:val="left"/>
      <w:pPr>
        <w:ind w:left="2097" w:hanging="284"/>
      </w:pPr>
      <w:rPr>
        <w:rFonts w:hint="default"/>
        <w:lang w:val="en-US" w:eastAsia="en-US" w:bidi="en-US"/>
      </w:rPr>
    </w:lvl>
    <w:lvl w:ilvl="5" w:tplc="779AEC90">
      <w:numFmt w:val="bullet"/>
      <w:lvlText w:val="•"/>
      <w:lvlJc w:val="left"/>
      <w:pPr>
        <w:ind w:left="2517" w:hanging="284"/>
      </w:pPr>
      <w:rPr>
        <w:rFonts w:hint="default"/>
        <w:lang w:val="en-US" w:eastAsia="en-US" w:bidi="en-US"/>
      </w:rPr>
    </w:lvl>
    <w:lvl w:ilvl="6" w:tplc="F0F6C246">
      <w:numFmt w:val="bullet"/>
      <w:lvlText w:val="•"/>
      <w:lvlJc w:val="left"/>
      <w:pPr>
        <w:ind w:left="2936" w:hanging="284"/>
      </w:pPr>
      <w:rPr>
        <w:rFonts w:hint="default"/>
        <w:lang w:val="en-US" w:eastAsia="en-US" w:bidi="en-US"/>
      </w:rPr>
    </w:lvl>
    <w:lvl w:ilvl="7" w:tplc="AB103A34">
      <w:numFmt w:val="bullet"/>
      <w:lvlText w:val="•"/>
      <w:lvlJc w:val="left"/>
      <w:pPr>
        <w:ind w:left="3355" w:hanging="284"/>
      </w:pPr>
      <w:rPr>
        <w:rFonts w:hint="default"/>
        <w:lang w:val="en-US" w:eastAsia="en-US" w:bidi="en-US"/>
      </w:rPr>
    </w:lvl>
    <w:lvl w:ilvl="8" w:tplc="3606F844">
      <w:numFmt w:val="bullet"/>
      <w:lvlText w:val="•"/>
      <w:lvlJc w:val="left"/>
      <w:pPr>
        <w:ind w:left="3775" w:hanging="284"/>
      </w:pPr>
      <w:rPr>
        <w:rFonts w:hint="default"/>
        <w:lang w:val="en-US" w:eastAsia="en-US" w:bidi="en-US"/>
      </w:rPr>
    </w:lvl>
  </w:abstractNum>
  <w:abstractNum w:abstractNumId="32" w15:restartNumberingAfterBreak="0">
    <w:nsid w:val="3D674830"/>
    <w:multiLevelType w:val="multilevel"/>
    <w:tmpl w:val="53ECE354"/>
    <w:lvl w:ilvl="0">
      <w:start w:val="37"/>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33" w15:restartNumberingAfterBreak="0">
    <w:nsid w:val="3FCC44B7"/>
    <w:multiLevelType w:val="multilevel"/>
    <w:tmpl w:val="A8D09F92"/>
    <w:lvl w:ilvl="0">
      <w:start w:val="18"/>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start w:val="1"/>
      <w:numFmt w:val="lowerLetter"/>
      <w:lvlText w:val="%3)"/>
      <w:lvlJc w:val="left"/>
      <w:pPr>
        <w:ind w:left="1253" w:hanging="425"/>
        <w:jc w:val="left"/>
      </w:pPr>
      <w:rPr>
        <w:rFonts w:ascii="Arial" w:eastAsia="Arial" w:hAnsi="Arial" w:cs="Arial" w:hint="default"/>
        <w:spacing w:val="-1"/>
        <w:w w:val="100"/>
        <w:sz w:val="22"/>
        <w:szCs w:val="22"/>
        <w:lang w:val="en-US" w:eastAsia="en-US" w:bidi="en-US"/>
      </w:rPr>
    </w:lvl>
    <w:lvl w:ilvl="3">
      <w:numFmt w:val="bullet"/>
      <w:lvlText w:val="•"/>
      <w:lvlJc w:val="left"/>
      <w:pPr>
        <w:ind w:left="3332" w:hanging="425"/>
      </w:pPr>
      <w:rPr>
        <w:rFonts w:hint="default"/>
        <w:lang w:val="en-US" w:eastAsia="en-US" w:bidi="en-US"/>
      </w:rPr>
    </w:lvl>
    <w:lvl w:ilvl="4">
      <w:numFmt w:val="bullet"/>
      <w:lvlText w:val="•"/>
      <w:lvlJc w:val="left"/>
      <w:pPr>
        <w:ind w:left="4368" w:hanging="425"/>
      </w:pPr>
      <w:rPr>
        <w:rFonts w:hint="default"/>
        <w:lang w:val="en-US" w:eastAsia="en-US" w:bidi="en-US"/>
      </w:rPr>
    </w:lvl>
    <w:lvl w:ilvl="5">
      <w:numFmt w:val="bullet"/>
      <w:lvlText w:val="•"/>
      <w:lvlJc w:val="left"/>
      <w:pPr>
        <w:ind w:left="5405" w:hanging="425"/>
      </w:pPr>
      <w:rPr>
        <w:rFonts w:hint="default"/>
        <w:lang w:val="en-US" w:eastAsia="en-US" w:bidi="en-US"/>
      </w:rPr>
    </w:lvl>
    <w:lvl w:ilvl="6">
      <w:numFmt w:val="bullet"/>
      <w:lvlText w:val="•"/>
      <w:lvlJc w:val="left"/>
      <w:pPr>
        <w:ind w:left="6441" w:hanging="425"/>
      </w:pPr>
      <w:rPr>
        <w:rFonts w:hint="default"/>
        <w:lang w:val="en-US" w:eastAsia="en-US" w:bidi="en-US"/>
      </w:rPr>
    </w:lvl>
    <w:lvl w:ilvl="7">
      <w:numFmt w:val="bullet"/>
      <w:lvlText w:val="•"/>
      <w:lvlJc w:val="left"/>
      <w:pPr>
        <w:ind w:left="7477" w:hanging="425"/>
      </w:pPr>
      <w:rPr>
        <w:rFonts w:hint="default"/>
        <w:lang w:val="en-US" w:eastAsia="en-US" w:bidi="en-US"/>
      </w:rPr>
    </w:lvl>
    <w:lvl w:ilvl="8">
      <w:numFmt w:val="bullet"/>
      <w:lvlText w:val="•"/>
      <w:lvlJc w:val="left"/>
      <w:pPr>
        <w:ind w:left="8513" w:hanging="425"/>
      </w:pPr>
      <w:rPr>
        <w:rFonts w:hint="default"/>
        <w:lang w:val="en-US" w:eastAsia="en-US" w:bidi="en-US"/>
      </w:rPr>
    </w:lvl>
  </w:abstractNum>
  <w:abstractNum w:abstractNumId="34" w15:restartNumberingAfterBreak="0">
    <w:nsid w:val="41AD5CAD"/>
    <w:multiLevelType w:val="multilevel"/>
    <w:tmpl w:val="53DC9D80"/>
    <w:lvl w:ilvl="0">
      <w:start w:val="5"/>
      <w:numFmt w:val="decimal"/>
      <w:lvlText w:val="%1"/>
      <w:lvlJc w:val="left"/>
      <w:pPr>
        <w:ind w:left="523" w:hanging="404"/>
        <w:jc w:val="left"/>
      </w:pPr>
      <w:rPr>
        <w:rFonts w:hint="default"/>
        <w:lang w:val="en-US" w:eastAsia="en-US" w:bidi="en-US"/>
      </w:rPr>
    </w:lvl>
    <w:lvl w:ilvl="1">
      <w:start w:val="3"/>
      <w:numFmt w:val="decimal"/>
      <w:lvlText w:val="%1.%2"/>
      <w:lvlJc w:val="left"/>
      <w:pPr>
        <w:ind w:left="523" w:hanging="404"/>
        <w:jc w:val="left"/>
      </w:pPr>
      <w:rPr>
        <w:rFonts w:ascii="Arial" w:eastAsia="Arial" w:hAnsi="Arial" w:cs="Arial" w:hint="default"/>
        <w:b/>
        <w:bCs/>
        <w:w w:val="100"/>
        <w:sz w:val="24"/>
        <w:szCs w:val="24"/>
        <w:lang w:val="en-US" w:eastAsia="en-US" w:bidi="en-US"/>
      </w:rPr>
    </w:lvl>
    <w:lvl w:ilvl="2">
      <w:start w:val="1"/>
      <w:numFmt w:val="decimal"/>
      <w:lvlText w:val="%1.%2.%3"/>
      <w:lvlJc w:val="left"/>
      <w:pPr>
        <w:ind w:left="1524" w:hanging="552"/>
        <w:jc w:val="left"/>
      </w:pPr>
      <w:rPr>
        <w:rFonts w:ascii="Arial" w:eastAsia="Arial" w:hAnsi="Arial" w:cs="Arial" w:hint="default"/>
        <w:b/>
        <w:bCs/>
        <w:spacing w:val="-1"/>
        <w:w w:val="100"/>
        <w:sz w:val="22"/>
        <w:szCs w:val="22"/>
        <w:lang w:val="en-US" w:eastAsia="en-US" w:bidi="en-US"/>
      </w:rPr>
    </w:lvl>
    <w:lvl w:ilvl="3">
      <w:numFmt w:val="bullet"/>
      <w:lvlText w:val="•"/>
      <w:lvlJc w:val="left"/>
      <w:pPr>
        <w:ind w:left="3534" w:hanging="552"/>
      </w:pPr>
      <w:rPr>
        <w:rFonts w:hint="default"/>
        <w:lang w:val="en-US" w:eastAsia="en-US" w:bidi="en-US"/>
      </w:rPr>
    </w:lvl>
    <w:lvl w:ilvl="4">
      <w:numFmt w:val="bullet"/>
      <w:lvlText w:val="•"/>
      <w:lvlJc w:val="left"/>
      <w:pPr>
        <w:ind w:left="4542" w:hanging="552"/>
      </w:pPr>
      <w:rPr>
        <w:rFonts w:hint="default"/>
        <w:lang w:val="en-US" w:eastAsia="en-US" w:bidi="en-US"/>
      </w:rPr>
    </w:lvl>
    <w:lvl w:ilvl="5">
      <w:numFmt w:val="bullet"/>
      <w:lvlText w:val="•"/>
      <w:lvlJc w:val="left"/>
      <w:pPr>
        <w:ind w:left="5549" w:hanging="552"/>
      </w:pPr>
      <w:rPr>
        <w:rFonts w:hint="default"/>
        <w:lang w:val="en-US" w:eastAsia="en-US" w:bidi="en-US"/>
      </w:rPr>
    </w:lvl>
    <w:lvl w:ilvl="6">
      <w:numFmt w:val="bullet"/>
      <w:lvlText w:val="•"/>
      <w:lvlJc w:val="left"/>
      <w:pPr>
        <w:ind w:left="6556" w:hanging="552"/>
      </w:pPr>
      <w:rPr>
        <w:rFonts w:hint="default"/>
        <w:lang w:val="en-US" w:eastAsia="en-US" w:bidi="en-US"/>
      </w:rPr>
    </w:lvl>
    <w:lvl w:ilvl="7">
      <w:numFmt w:val="bullet"/>
      <w:lvlText w:val="•"/>
      <w:lvlJc w:val="left"/>
      <w:pPr>
        <w:ind w:left="7564" w:hanging="552"/>
      </w:pPr>
      <w:rPr>
        <w:rFonts w:hint="default"/>
        <w:lang w:val="en-US" w:eastAsia="en-US" w:bidi="en-US"/>
      </w:rPr>
    </w:lvl>
    <w:lvl w:ilvl="8">
      <w:numFmt w:val="bullet"/>
      <w:lvlText w:val="•"/>
      <w:lvlJc w:val="left"/>
      <w:pPr>
        <w:ind w:left="8571" w:hanging="552"/>
      </w:pPr>
      <w:rPr>
        <w:rFonts w:hint="default"/>
        <w:lang w:val="en-US" w:eastAsia="en-US" w:bidi="en-US"/>
      </w:rPr>
    </w:lvl>
  </w:abstractNum>
  <w:abstractNum w:abstractNumId="35" w15:restartNumberingAfterBreak="0">
    <w:nsid w:val="42D23A30"/>
    <w:multiLevelType w:val="hybridMultilevel"/>
    <w:tmpl w:val="E39EB7CE"/>
    <w:lvl w:ilvl="0" w:tplc="02527B4C">
      <w:numFmt w:val="bullet"/>
      <w:lvlText w:val="-"/>
      <w:lvlJc w:val="left"/>
      <w:pPr>
        <w:ind w:left="266" w:hanging="188"/>
      </w:pPr>
      <w:rPr>
        <w:rFonts w:ascii="Arial" w:eastAsia="Arial" w:hAnsi="Arial" w:cs="Arial" w:hint="default"/>
        <w:w w:val="99"/>
        <w:sz w:val="20"/>
        <w:szCs w:val="20"/>
        <w:lang w:val="en-US" w:eastAsia="en-US" w:bidi="en-US"/>
      </w:rPr>
    </w:lvl>
    <w:lvl w:ilvl="1" w:tplc="AFD05EF8">
      <w:numFmt w:val="bullet"/>
      <w:lvlText w:val="•"/>
      <w:lvlJc w:val="left"/>
      <w:pPr>
        <w:ind w:left="613" w:hanging="188"/>
      </w:pPr>
      <w:rPr>
        <w:rFonts w:hint="default"/>
        <w:lang w:val="en-US" w:eastAsia="en-US" w:bidi="en-US"/>
      </w:rPr>
    </w:lvl>
    <w:lvl w:ilvl="2" w:tplc="B0DA0D84">
      <w:numFmt w:val="bullet"/>
      <w:lvlText w:val="•"/>
      <w:lvlJc w:val="left"/>
      <w:pPr>
        <w:ind w:left="967" w:hanging="188"/>
      </w:pPr>
      <w:rPr>
        <w:rFonts w:hint="default"/>
        <w:lang w:val="en-US" w:eastAsia="en-US" w:bidi="en-US"/>
      </w:rPr>
    </w:lvl>
    <w:lvl w:ilvl="3" w:tplc="ECA866DE">
      <w:numFmt w:val="bullet"/>
      <w:lvlText w:val="•"/>
      <w:lvlJc w:val="left"/>
      <w:pPr>
        <w:ind w:left="1321" w:hanging="188"/>
      </w:pPr>
      <w:rPr>
        <w:rFonts w:hint="default"/>
        <w:lang w:val="en-US" w:eastAsia="en-US" w:bidi="en-US"/>
      </w:rPr>
    </w:lvl>
    <w:lvl w:ilvl="4" w:tplc="DADA5A6C">
      <w:numFmt w:val="bullet"/>
      <w:lvlText w:val="•"/>
      <w:lvlJc w:val="left"/>
      <w:pPr>
        <w:ind w:left="1674" w:hanging="188"/>
      </w:pPr>
      <w:rPr>
        <w:rFonts w:hint="default"/>
        <w:lang w:val="en-US" w:eastAsia="en-US" w:bidi="en-US"/>
      </w:rPr>
    </w:lvl>
    <w:lvl w:ilvl="5" w:tplc="7960F350">
      <w:numFmt w:val="bullet"/>
      <w:lvlText w:val="•"/>
      <w:lvlJc w:val="left"/>
      <w:pPr>
        <w:ind w:left="2028" w:hanging="188"/>
      </w:pPr>
      <w:rPr>
        <w:rFonts w:hint="default"/>
        <w:lang w:val="en-US" w:eastAsia="en-US" w:bidi="en-US"/>
      </w:rPr>
    </w:lvl>
    <w:lvl w:ilvl="6" w:tplc="DF44E2E0">
      <w:numFmt w:val="bullet"/>
      <w:lvlText w:val="•"/>
      <w:lvlJc w:val="left"/>
      <w:pPr>
        <w:ind w:left="2382" w:hanging="188"/>
      </w:pPr>
      <w:rPr>
        <w:rFonts w:hint="default"/>
        <w:lang w:val="en-US" w:eastAsia="en-US" w:bidi="en-US"/>
      </w:rPr>
    </w:lvl>
    <w:lvl w:ilvl="7" w:tplc="30D01142">
      <w:numFmt w:val="bullet"/>
      <w:lvlText w:val="•"/>
      <w:lvlJc w:val="left"/>
      <w:pPr>
        <w:ind w:left="2735" w:hanging="188"/>
      </w:pPr>
      <w:rPr>
        <w:rFonts w:hint="default"/>
        <w:lang w:val="en-US" w:eastAsia="en-US" w:bidi="en-US"/>
      </w:rPr>
    </w:lvl>
    <w:lvl w:ilvl="8" w:tplc="8FF65C7E">
      <w:numFmt w:val="bullet"/>
      <w:lvlText w:val="•"/>
      <w:lvlJc w:val="left"/>
      <w:pPr>
        <w:ind w:left="3089" w:hanging="188"/>
      </w:pPr>
      <w:rPr>
        <w:rFonts w:hint="default"/>
        <w:lang w:val="en-US" w:eastAsia="en-US" w:bidi="en-US"/>
      </w:rPr>
    </w:lvl>
  </w:abstractNum>
  <w:abstractNum w:abstractNumId="36" w15:restartNumberingAfterBreak="0">
    <w:nsid w:val="47A95BD2"/>
    <w:multiLevelType w:val="multilevel"/>
    <w:tmpl w:val="B0F2EA02"/>
    <w:lvl w:ilvl="0">
      <w:start w:val="22"/>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37" w15:restartNumberingAfterBreak="0">
    <w:nsid w:val="491153A8"/>
    <w:multiLevelType w:val="multilevel"/>
    <w:tmpl w:val="2288480E"/>
    <w:lvl w:ilvl="0">
      <w:start w:val="33"/>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38" w15:restartNumberingAfterBreak="0">
    <w:nsid w:val="4BFD6787"/>
    <w:multiLevelType w:val="hybridMultilevel"/>
    <w:tmpl w:val="05BA00DE"/>
    <w:lvl w:ilvl="0" w:tplc="9C88A0C2">
      <w:numFmt w:val="bullet"/>
      <w:lvlText w:val="-"/>
      <w:lvlJc w:val="left"/>
      <w:pPr>
        <w:ind w:left="414" w:hanging="284"/>
      </w:pPr>
      <w:rPr>
        <w:rFonts w:ascii="Arial" w:eastAsia="Arial" w:hAnsi="Arial" w:cs="Arial" w:hint="default"/>
        <w:w w:val="99"/>
        <w:sz w:val="20"/>
        <w:szCs w:val="20"/>
        <w:lang w:val="en-US" w:eastAsia="en-US" w:bidi="en-US"/>
      </w:rPr>
    </w:lvl>
    <w:lvl w:ilvl="1" w:tplc="C0E467A0">
      <w:numFmt w:val="bullet"/>
      <w:lvlText w:val="•"/>
      <w:lvlJc w:val="left"/>
      <w:pPr>
        <w:ind w:left="839" w:hanging="284"/>
      </w:pPr>
      <w:rPr>
        <w:rFonts w:hint="default"/>
        <w:lang w:val="en-US" w:eastAsia="en-US" w:bidi="en-US"/>
      </w:rPr>
    </w:lvl>
    <w:lvl w:ilvl="2" w:tplc="DE121140">
      <w:numFmt w:val="bullet"/>
      <w:lvlText w:val="•"/>
      <w:lvlJc w:val="left"/>
      <w:pPr>
        <w:ind w:left="1258" w:hanging="284"/>
      </w:pPr>
      <w:rPr>
        <w:rFonts w:hint="default"/>
        <w:lang w:val="en-US" w:eastAsia="en-US" w:bidi="en-US"/>
      </w:rPr>
    </w:lvl>
    <w:lvl w:ilvl="3" w:tplc="120A7A70">
      <w:numFmt w:val="bullet"/>
      <w:lvlText w:val="•"/>
      <w:lvlJc w:val="left"/>
      <w:pPr>
        <w:ind w:left="1678" w:hanging="284"/>
      </w:pPr>
      <w:rPr>
        <w:rFonts w:hint="default"/>
        <w:lang w:val="en-US" w:eastAsia="en-US" w:bidi="en-US"/>
      </w:rPr>
    </w:lvl>
    <w:lvl w:ilvl="4" w:tplc="A336E4FC">
      <w:numFmt w:val="bullet"/>
      <w:lvlText w:val="•"/>
      <w:lvlJc w:val="left"/>
      <w:pPr>
        <w:ind w:left="2097" w:hanging="284"/>
      </w:pPr>
      <w:rPr>
        <w:rFonts w:hint="default"/>
        <w:lang w:val="en-US" w:eastAsia="en-US" w:bidi="en-US"/>
      </w:rPr>
    </w:lvl>
    <w:lvl w:ilvl="5" w:tplc="1646E29C">
      <w:numFmt w:val="bullet"/>
      <w:lvlText w:val="•"/>
      <w:lvlJc w:val="left"/>
      <w:pPr>
        <w:ind w:left="2517" w:hanging="284"/>
      </w:pPr>
      <w:rPr>
        <w:rFonts w:hint="default"/>
        <w:lang w:val="en-US" w:eastAsia="en-US" w:bidi="en-US"/>
      </w:rPr>
    </w:lvl>
    <w:lvl w:ilvl="6" w:tplc="0980EFBC">
      <w:numFmt w:val="bullet"/>
      <w:lvlText w:val="•"/>
      <w:lvlJc w:val="left"/>
      <w:pPr>
        <w:ind w:left="2936" w:hanging="284"/>
      </w:pPr>
      <w:rPr>
        <w:rFonts w:hint="default"/>
        <w:lang w:val="en-US" w:eastAsia="en-US" w:bidi="en-US"/>
      </w:rPr>
    </w:lvl>
    <w:lvl w:ilvl="7" w:tplc="AAEA65E0">
      <w:numFmt w:val="bullet"/>
      <w:lvlText w:val="•"/>
      <w:lvlJc w:val="left"/>
      <w:pPr>
        <w:ind w:left="3355" w:hanging="284"/>
      </w:pPr>
      <w:rPr>
        <w:rFonts w:hint="default"/>
        <w:lang w:val="en-US" w:eastAsia="en-US" w:bidi="en-US"/>
      </w:rPr>
    </w:lvl>
    <w:lvl w:ilvl="8" w:tplc="D6D6543A">
      <w:numFmt w:val="bullet"/>
      <w:lvlText w:val="•"/>
      <w:lvlJc w:val="left"/>
      <w:pPr>
        <w:ind w:left="3775" w:hanging="284"/>
      </w:pPr>
      <w:rPr>
        <w:rFonts w:hint="default"/>
        <w:lang w:val="en-US" w:eastAsia="en-US" w:bidi="en-US"/>
      </w:rPr>
    </w:lvl>
  </w:abstractNum>
  <w:abstractNum w:abstractNumId="39" w15:restartNumberingAfterBreak="0">
    <w:nsid w:val="4D0342DC"/>
    <w:multiLevelType w:val="multilevel"/>
    <w:tmpl w:val="5964D788"/>
    <w:lvl w:ilvl="0">
      <w:start w:val="11"/>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40" w15:restartNumberingAfterBreak="0">
    <w:nsid w:val="50CE3927"/>
    <w:multiLevelType w:val="hybridMultilevel"/>
    <w:tmpl w:val="8EA6DFCE"/>
    <w:lvl w:ilvl="0" w:tplc="632E7926">
      <w:start w:val="6"/>
      <w:numFmt w:val="decimal"/>
      <w:lvlText w:val="%1."/>
      <w:lvlJc w:val="left"/>
      <w:pPr>
        <w:ind w:left="388" w:hanging="269"/>
        <w:jc w:val="left"/>
      </w:pPr>
      <w:rPr>
        <w:rFonts w:ascii="Arial" w:eastAsia="Arial" w:hAnsi="Arial" w:cs="Arial" w:hint="default"/>
        <w:b/>
        <w:bCs/>
        <w:spacing w:val="-1"/>
        <w:w w:val="100"/>
        <w:sz w:val="24"/>
        <w:szCs w:val="24"/>
        <w:lang w:val="en-US" w:eastAsia="en-US" w:bidi="en-US"/>
      </w:rPr>
    </w:lvl>
    <w:lvl w:ilvl="1" w:tplc="0B1ECD90">
      <w:numFmt w:val="bullet"/>
      <w:lvlText w:val="•"/>
      <w:lvlJc w:val="left"/>
      <w:pPr>
        <w:ind w:left="1400" w:hanging="269"/>
      </w:pPr>
      <w:rPr>
        <w:rFonts w:hint="default"/>
        <w:lang w:val="en-US" w:eastAsia="en-US" w:bidi="en-US"/>
      </w:rPr>
    </w:lvl>
    <w:lvl w:ilvl="2" w:tplc="887EC140">
      <w:numFmt w:val="bullet"/>
      <w:lvlText w:val="•"/>
      <w:lvlJc w:val="left"/>
      <w:pPr>
        <w:ind w:left="2421" w:hanging="269"/>
      </w:pPr>
      <w:rPr>
        <w:rFonts w:hint="default"/>
        <w:lang w:val="en-US" w:eastAsia="en-US" w:bidi="en-US"/>
      </w:rPr>
    </w:lvl>
    <w:lvl w:ilvl="3" w:tplc="252AFEB4">
      <w:numFmt w:val="bullet"/>
      <w:lvlText w:val="•"/>
      <w:lvlJc w:val="left"/>
      <w:pPr>
        <w:ind w:left="3441" w:hanging="269"/>
      </w:pPr>
      <w:rPr>
        <w:rFonts w:hint="default"/>
        <w:lang w:val="en-US" w:eastAsia="en-US" w:bidi="en-US"/>
      </w:rPr>
    </w:lvl>
    <w:lvl w:ilvl="4" w:tplc="F566EC8A">
      <w:numFmt w:val="bullet"/>
      <w:lvlText w:val="•"/>
      <w:lvlJc w:val="left"/>
      <w:pPr>
        <w:ind w:left="4462" w:hanging="269"/>
      </w:pPr>
      <w:rPr>
        <w:rFonts w:hint="default"/>
        <w:lang w:val="en-US" w:eastAsia="en-US" w:bidi="en-US"/>
      </w:rPr>
    </w:lvl>
    <w:lvl w:ilvl="5" w:tplc="177A0EF2">
      <w:numFmt w:val="bullet"/>
      <w:lvlText w:val="•"/>
      <w:lvlJc w:val="left"/>
      <w:pPr>
        <w:ind w:left="5483" w:hanging="269"/>
      </w:pPr>
      <w:rPr>
        <w:rFonts w:hint="default"/>
        <w:lang w:val="en-US" w:eastAsia="en-US" w:bidi="en-US"/>
      </w:rPr>
    </w:lvl>
    <w:lvl w:ilvl="6" w:tplc="B9A21C06">
      <w:numFmt w:val="bullet"/>
      <w:lvlText w:val="•"/>
      <w:lvlJc w:val="left"/>
      <w:pPr>
        <w:ind w:left="6503" w:hanging="269"/>
      </w:pPr>
      <w:rPr>
        <w:rFonts w:hint="default"/>
        <w:lang w:val="en-US" w:eastAsia="en-US" w:bidi="en-US"/>
      </w:rPr>
    </w:lvl>
    <w:lvl w:ilvl="7" w:tplc="930CD072">
      <w:numFmt w:val="bullet"/>
      <w:lvlText w:val="•"/>
      <w:lvlJc w:val="left"/>
      <w:pPr>
        <w:ind w:left="7524" w:hanging="269"/>
      </w:pPr>
      <w:rPr>
        <w:rFonts w:hint="default"/>
        <w:lang w:val="en-US" w:eastAsia="en-US" w:bidi="en-US"/>
      </w:rPr>
    </w:lvl>
    <w:lvl w:ilvl="8" w:tplc="469A0F04">
      <w:numFmt w:val="bullet"/>
      <w:lvlText w:val="•"/>
      <w:lvlJc w:val="left"/>
      <w:pPr>
        <w:ind w:left="8545" w:hanging="269"/>
      </w:pPr>
      <w:rPr>
        <w:rFonts w:hint="default"/>
        <w:lang w:val="en-US" w:eastAsia="en-US" w:bidi="en-US"/>
      </w:rPr>
    </w:lvl>
  </w:abstractNum>
  <w:abstractNum w:abstractNumId="41" w15:restartNumberingAfterBreak="0">
    <w:nsid w:val="521529D8"/>
    <w:multiLevelType w:val="hybridMultilevel"/>
    <w:tmpl w:val="FA508AF0"/>
    <w:lvl w:ilvl="0" w:tplc="889C66C8">
      <w:numFmt w:val="bullet"/>
      <w:lvlText w:val="-"/>
      <w:lvlJc w:val="left"/>
      <w:pPr>
        <w:ind w:left="840" w:hanging="360"/>
      </w:pPr>
      <w:rPr>
        <w:rFonts w:ascii="Arial" w:eastAsia="Arial" w:hAnsi="Arial" w:cs="Arial" w:hint="default"/>
        <w:w w:val="100"/>
        <w:sz w:val="22"/>
        <w:szCs w:val="22"/>
        <w:lang w:val="en-US" w:eastAsia="en-US" w:bidi="en-US"/>
      </w:rPr>
    </w:lvl>
    <w:lvl w:ilvl="1" w:tplc="A7CE2BA6">
      <w:numFmt w:val="bullet"/>
      <w:lvlText w:val="•"/>
      <w:lvlJc w:val="left"/>
      <w:pPr>
        <w:ind w:left="1814" w:hanging="360"/>
      </w:pPr>
      <w:rPr>
        <w:rFonts w:hint="default"/>
        <w:lang w:val="en-US" w:eastAsia="en-US" w:bidi="en-US"/>
      </w:rPr>
    </w:lvl>
    <w:lvl w:ilvl="2" w:tplc="09F2E856">
      <w:numFmt w:val="bullet"/>
      <w:lvlText w:val="•"/>
      <w:lvlJc w:val="left"/>
      <w:pPr>
        <w:ind w:left="2789" w:hanging="360"/>
      </w:pPr>
      <w:rPr>
        <w:rFonts w:hint="default"/>
        <w:lang w:val="en-US" w:eastAsia="en-US" w:bidi="en-US"/>
      </w:rPr>
    </w:lvl>
    <w:lvl w:ilvl="3" w:tplc="A94C5190">
      <w:numFmt w:val="bullet"/>
      <w:lvlText w:val="•"/>
      <w:lvlJc w:val="left"/>
      <w:pPr>
        <w:ind w:left="3763" w:hanging="360"/>
      </w:pPr>
      <w:rPr>
        <w:rFonts w:hint="default"/>
        <w:lang w:val="en-US" w:eastAsia="en-US" w:bidi="en-US"/>
      </w:rPr>
    </w:lvl>
    <w:lvl w:ilvl="4" w:tplc="50ECBF58">
      <w:numFmt w:val="bullet"/>
      <w:lvlText w:val="•"/>
      <w:lvlJc w:val="left"/>
      <w:pPr>
        <w:ind w:left="4738" w:hanging="360"/>
      </w:pPr>
      <w:rPr>
        <w:rFonts w:hint="default"/>
        <w:lang w:val="en-US" w:eastAsia="en-US" w:bidi="en-US"/>
      </w:rPr>
    </w:lvl>
    <w:lvl w:ilvl="5" w:tplc="4EE29A00">
      <w:numFmt w:val="bullet"/>
      <w:lvlText w:val="•"/>
      <w:lvlJc w:val="left"/>
      <w:pPr>
        <w:ind w:left="5713" w:hanging="360"/>
      </w:pPr>
      <w:rPr>
        <w:rFonts w:hint="default"/>
        <w:lang w:val="en-US" w:eastAsia="en-US" w:bidi="en-US"/>
      </w:rPr>
    </w:lvl>
    <w:lvl w:ilvl="6" w:tplc="A0241CDA">
      <w:numFmt w:val="bullet"/>
      <w:lvlText w:val="•"/>
      <w:lvlJc w:val="left"/>
      <w:pPr>
        <w:ind w:left="6687" w:hanging="360"/>
      </w:pPr>
      <w:rPr>
        <w:rFonts w:hint="default"/>
        <w:lang w:val="en-US" w:eastAsia="en-US" w:bidi="en-US"/>
      </w:rPr>
    </w:lvl>
    <w:lvl w:ilvl="7" w:tplc="16B467A0">
      <w:numFmt w:val="bullet"/>
      <w:lvlText w:val="•"/>
      <w:lvlJc w:val="left"/>
      <w:pPr>
        <w:ind w:left="7662" w:hanging="360"/>
      </w:pPr>
      <w:rPr>
        <w:rFonts w:hint="default"/>
        <w:lang w:val="en-US" w:eastAsia="en-US" w:bidi="en-US"/>
      </w:rPr>
    </w:lvl>
    <w:lvl w:ilvl="8" w:tplc="C7DA774E">
      <w:numFmt w:val="bullet"/>
      <w:lvlText w:val="•"/>
      <w:lvlJc w:val="left"/>
      <w:pPr>
        <w:ind w:left="8637" w:hanging="360"/>
      </w:pPr>
      <w:rPr>
        <w:rFonts w:hint="default"/>
        <w:lang w:val="en-US" w:eastAsia="en-US" w:bidi="en-US"/>
      </w:rPr>
    </w:lvl>
  </w:abstractNum>
  <w:abstractNum w:abstractNumId="42" w15:restartNumberingAfterBreak="0">
    <w:nsid w:val="53B174A8"/>
    <w:multiLevelType w:val="hybridMultilevel"/>
    <w:tmpl w:val="30C42284"/>
    <w:lvl w:ilvl="0" w:tplc="AA04CCD2">
      <w:numFmt w:val="bullet"/>
      <w:lvlText w:val="-"/>
      <w:lvlJc w:val="left"/>
      <w:pPr>
        <w:ind w:left="414" w:hanging="284"/>
      </w:pPr>
      <w:rPr>
        <w:rFonts w:ascii="Arial" w:eastAsia="Arial" w:hAnsi="Arial" w:cs="Arial" w:hint="default"/>
        <w:w w:val="99"/>
        <w:sz w:val="20"/>
        <w:szCs w:val="20"/>
        <w:lang w:val="en-US" w:eastAsia="en-US" w:bidi="en-US"/>
      </w:rPr>
    </w:lvl>
    <w:lvl w:ilvl="1" w:tplc="162AB97E">
      <w:numFmt w:val="bullet"/>
      <w:lvlText w:val="•"/>
      <w:lvlJc w:val="left"/>
      <w:pPr>
        <w:ind w:left="839" w:hanging="284"/>
      </w:pPr>
      <w:rPr>
        <w:rFonts w:hint="default"/>
        <w:lang w:val="en-US" w:eastAsia="en-US" w:bidi="en-US"/>
      </w:rPr>
    </w:lvl>
    <w:lvl w:ilvl="2" w:tplc="868653AC">
      <w:numFmt w:val="bullet"/>
      <w:lvlText w:val="•"/>
      <w:lvlJc w:val="left"/>
      <w:pPr>
        <w:ind w:left="1258" w:hanging="284"/>
      </w:pPr>
      <w:rPr>
        <w:rFonts w:hint="default"/>
        <w:lang w:val="en-US" w:eastAsia="en-US" w:bidi="en-US"/>
      </w:rPr>
    </w:lvl>
    <w:lvl w:ilvl="3" w:tplc="75F4A9F6">
      <w:numFmt w:val="bullet"/>
      <w:lvlText w:val="•"/>
      <w:lvlJc w:val="left"/>
      <w:pPr>
        <w:ind w:left="1678" w:hanging="284"/>
      </w:pPr>
      <w:rPr>
        <w:rFonts w:hint="default"/>
        <w:lang w:val="en-US" w:eastAsia="en-US" w:bidi="en-US"/>
      </w:rPr>
    </w:lvl>
    <w:lvl w:ilvl="4" w:tplc="F3F463CE">
      <w:numFmt w:val="bullet"/>
      <w:lvlText w:val="•"/>
      <w:lvlJc w:val="left"/>
      <w:pPr>
        <w:ind w:left="2097" w:hanging="284"/>
      </w:pPr>
      <w:rPr>
        <w:rFonts w:hint="default"/>
        <w:lang w:val="en-US" w:eastAsia="en-US" w:bidi="en-US"/>
      </w:rPr>
    </w:lvl>
    <w:lvl w:ilvl="5" w:tplc="4328DCAE">
      <w:numFmt w:val="bullet"/>
      <w:lvlText w:val="•"/>
      <w:lvlJc w:val="left"/>
      <w:pPr>
        <w:ind w:left="2517" w:hanging="284"/>
      </w:pPr>
      <w:rPr>
        <w:rFonts w:hint="default"/>
        <w:lang w:val="en-US" w:eastAsia="en-US" w:bidi="en-US"/>
      </w:rPr>
    </w:lvl>
    <w:lvl w:ilvl="6" w:tplc="91BA30A4">
      <w:numFmt w:val="bullet"/>
      <w:lvlText w:val="•"/>
      <w:lvlJc w:val="left"/>
      <w:pPr>
        <w:ind w:left="2936" w:hanging="284"/>
      </w:pPr>
      <w:rPr>
        <w:rFonts w:hint="default"/>
        <w:lang w:val="en-US" w:eastAsia="en-US" w:bidi="en-US"/>
      </w:rPr>
    </w:lvl>
    <w:lvl w:ilvl="7" w:tplc="7A2C70C8">
      <w:numFmt w:val="bullet"/>
      <w:lvlText w:val="•"/>
      <w:lvlJc w:val="left"/>
      <w:pPr>
        <w:ind w:left="3355" w:hanging="284"/>
      </w:pPr>
      <w:rPr>
        <w:rFonts w:hint="default"/>
        <w:lang w:val="en-US" w:eastAsia="en-US" w:bidi="en-US"/>
      </w:rPr>
    </w:lvl>
    <w:lvl w:ilvl="8" w:tplc="44E0DC22">
      <w:numFmt w:val="bullet"/>
      <w:lvlText w:val="•"/>
      <w:lvlJc w:val="left"/>
      <w:pPr>
        <w:ind w:left="3775" w:hanging="284"/>
      </w:pPr>
      <w:rPr>
        <w:rFonts w:hint="default"/>
        <w:lang w:val="en-US" w:eastAsia="en-US" w:bidi="en-US"/>
      </w:rPr>
    </w:lvl>
  </w:abstractNum>
  <w:abstractNum w:abstractNumId="43" w15:restartNumberingAfterBreak="0">
    <w:nsid w:val="53C44FF6"/>
    <w:multiLevelType w:val="hybridMultilevel"/>
    <w:tmpl w:val="C4940E40"/>
    <w:lvl w:ilvl="0" w:tplc="EE5CD41E">
      <w:numFmt w:val="bullet"/>
      <w:lvlText w:val="-"/>
      <w:lvlJc w:val="left"/>
      <w:pPr>
        <w:ind w:left="798" w:hanging="360"/>
      </w:pPr>
      <w:rPr>
        <w:rFonts w:ascii="Arial" w:eastAsia="Arial" w:hAnsi="Arial" w:cs="Arial" w:hint="default"/>
        <w:w w:val="99"/>
        <w:sz w:val="20"/>
        <w:szCs w:val="20"/>
        <w:lang w:val="en-US" w:eastAsia="en-US" w:bidi="en-US"/>
      </w:rPr>
    </w:lvl>
    <w:lvl w:ilvl="1" w:tplc="307C4A70">
      <w:numFmt w:val="bullet"/>
      <w:lvlText w:val="•"/>
      <w:lvlJc w:val="left"/>
      <w:pPr>
        <w:ind w:left="1099" w:hanging="360"/>
      </w:pPr>
      <w:rPr>
        <w:rFonts w:hint="default"/>
        <w:lang w:val="en-US" w:eastAsia="en-US" w:bidi="en-US"/>
      </w:rPr>
    </w:lvl>
    <w:lvl w:ilvl="2" w:tplc="FF340640">
      <w:numFmt w:val="bullet"/>
      <w:lvlText w:val="•"/>
      <w:lvlJc w:val="left"/>
      <w:pPr>
        <w:ind w:left="1399" w:hanging="360"/>
      </w:pPr>
      <w:rPr>
        <w:rFonts w:hint="default"/>
        <w:lang w:val="en-US" w:eastAsia="en-US" w:bidi="en-US"/>
      </w:rPr>
    </w:lvl>
    <w:lvl w:ilvl="3" w:tplc="1668195E">
      <w:numFmt w:val="bullet"/>
      <w:lvlText w:val="•"/>
      <w:lvlJc w:val="left"/>
      <w:pPr>
        <w:ind w:left="1699" w:hanging="360"/>
      </w:pPr>
      <w:rPr>
        <w:rFonts w:hint="default"/>
        <w:lang w:val="en-US" w:eastAsia="en-US" w:bidi="en-US"/>
      </w:rPr>
    </w:lvl>
    <w:lvl w:ilvl="4" w:tplc="972E361C">
      <w:numFmt w:val="bullet"/>
      <w:lvlText w:val="•"/>
      <w:lvlJc w:val="left"/>
      <w:pPr>
        <w:ind w:left="1998" w:hanging="360"/>
      </w:pPr>
      <w:rPr>
        <w:rFonts w:hint="default"/>
        <w:lang w:val="en-US" w:eastAsia="en-US" w:bidi="en-US"/>
      </w:rPr>
    </w:lvl>
    <w:lvl w:ilvl="5" w:tplc="3718FBC8">
      <w:numFmt w:val="bullet"/>
      <w:lvlText w:val="•"/>
      <w:lvlJc w:val="left"/>
      <w:pPr>
        <w:ind w:left="2298" w:hanging="360"/>
      </w:pPr>
      <w:rPr>
        <w:rFonts w:hint="default"/>
        <w:lang w:val="en-US" w:eastAsia="en-US" w:bidi="en-US"/>
      </w:rPr>
    </w:lvl>
    <w:lvl w:ilvl="6" w:tplc="AA062D76">
      <w:numFmt w:val="bullet"/>
      <w:lvlText w:val="•"/>
      <w:lvlJc w:val="left"/>
      <w:pPr>
        <w:ind w:left="2598" w:hanging="360"/>
      </w:pPr>
      <w:rPr>
        <w:rFonts w:hint="default"/>
        <w:lang w:val="en-US" w:eastAsia="en-US" w:bidi="en-US"/>
      </w:rPr>
    </w:lvl>
    <w:lvl w:ilvl="7" w:tplc="7108C2D8">
      <w:numFmt w:val="bullet"/>
      <w:lvlText w:val="•"/>
      <w:lvlJc w:val="left"/>
      <w:pPr>
        <w:ind w:left="2897" w:hanging="360"/>
      </w:pPr>
      <w:rPr>
        <w:rFonts w:hint="default"/>
        <w:lang w:val="en-US" w:eastAsia="en-US" w:bidi="en-US"/>
      </w:rPr>
    </w:lvl>
    <w:lvl w:ilvl="8" w:tplc="53EAC57A">
      <w:numFmt w:val="bullet"/>
      <w:lvlText w:val="•"/>
      <w:lvlJc w:val="left"/>
      <w:pPr>
        <w:ind w:left="3197" w:hanging="360"/>
      </w:pPr>
      <w:rPr>
        <w:rFonts w:hint="default"/>
        <w:lang w:val="en-US" w:eastAsia="en-US" w:bidi="en-US"/>
      </w:rPr>
    </w:lvl>
  </w:abstractNum>
  <w:abstractNum w:abstractNumId="44" w15:restartNumberingAfterBreak="0">
    <w:nsid w:val="54AD2A0D"/>
    <w:multiLevelType w:val="multilevel"/>
    <w:tmpl w:val="D0B0768C"/>
    <w:lvl w:ilvl="0">
      <w:start w:val="24"/>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45" w15:restartNumberingAfterBreak="0">
    <w:nsid w:val="54DF3A6E"/>
    <w:multiLevelType w:val="hybridMultilevel"/>
    <w:tmpl w:val="77E86DE4"/>
    <w:lvl w:ilvl="0" w:tplc="3C504B86">
      <w:start w:val="1"/>
      <w:numFmt w:val="lowerLetter"/>
      <w:lvlText w:val="%1)"/>
      <w:lvlJc w:val="left"/>
      <w:pPr>
        <w:ind w:left="686" w:hanging="567"/>
        <w:jc w:val="left"/>
      </w:pPr>
      <w:rPr>
        <w:rFonts w:ascii="Arial" w:eastAsia="Arial" w:hAnsi="Arial" w:cs="Arial" w:hint="default"/>
        <w:i/>
        <w:spacing w:val="-1"/>
        <w:w w:val="100"/>
        <w:sz w:val="22"/>
        <w:szCs w:val="22"/>
        <w:lang w:val="en-US" w:eastAsia="en-US" w:bidi="en-US"/>
      </w:rPr>
    </w:lvl>
    <w:lvl w:ilvl="1" w:tplc="C262BCA0">
      <w:numFmt w:val="bullet"/>
      <w:lvlText w:val="•"/>
      <w:lvlJc w:val="left"/>
      <w:pPr>
        <w:ind w:left="1670" w:hanging="567"/>
      </w:pPr>
      <w:rPr>
        <w:rFonts w:hint="default"/>
        <w:lang w:val="en-US" w:eastAsia="en-US" w:bidi="en-US"/>
      </w:rPr>
    </w:lvl>
    <w:lvl w:ilvl="2" w:tplc="CDA6F296">
      <w:numFmt w:val="bullet"/>
      <w:lvlText w:val="•"/>
      <w:lvlJc w:val="left"/>
      <w:pPr>
        <w:ind w:left="2661" w:hanging="567"/>
      </w:pPr>
      <w:rPr>
        <w:rFonts w:hint="default"/>
        <w:lang w:val="en-US" w:eastAsia="en-US" w:bidi="en-US"/>
      </w:rPr>
    </w:lvl>
    <w:lvl w:ilvl="3" w:tplc="F5624B32">
      <w:numFmt w:val="bullet"/>
      <w:lvlText w:val="•"/>
      <w:lvlJc w:val="left"/>
      <w:pPr>
        <w:ind w:left="3651" w:hanging="567"/>
      </w:pPr>
      <w:rPr>
        <w:rFonts w:hint="default"/>
        <w:lang w:val="en-US" w:eastAsia="en-US" w:bidi="en-US"/>
      </w:rPr>
    </w:lvl>
    <w:lvl w:ilvl="4" w:tplc="14B0F774">
      <w:numFmt w:val="bullet"/>
      <w:lvlText w:val="•"/>
      <w:lvlJc w:val="left"/>
      <w:pPr>
        <w:ind w:left="4642" w:hanging="567"/>
      </w:pPr>
      <w:rPr>
        <w:rFonts w:hint="default"/>
        <w:lang w:val="en-US" w:eastAsia="en-US" w:bidi="en-US"/>
      </w:rPr>
    </w:lvl>
    <w:lvl w:ilvl="5" w:tplc="D14AAF5A">
      <w:numFmt w:val="bullet"/>
      <w:lvlText w:val="•"/>
      <w:lvlJc w:val="left"/>
      <w:pPr>
        <w:ind w:left="5633" w:hanging="567"/>
      </w:pPr>
      <w:rPr>
        <w:rFonts w:hint="default"/>
        <w:lang w:val="en-US" w:eastAsia="en-US" w:bidi="en-US"/>
      </w:rPr>
    </w:lvl>
    <w:lvl w:ilvl="6" w:tplc="939E9608">
      <w:numFmt w:val="bullet"/>
      <w:lvlText w:val="•"/>
      <w:lvlJc w:val="left"/>
      <w:pPr>
        <w:ind w:left="6623" w:hanging="567"/>
      </w:pPr>
      <w:rPr>
        <w:rFonts w:hint="default"/>
        <w:lang w:val="en-US" w:eastAsia="en-US" w:bidi="en-US"/>
      </w:rPr>
    </w:lvl>
    <w:lvl w:ilvl="7" w:tplc="18D2B870">
      <w:numFmt w:val="bullet"/>
      <w:lvlText w:val="•"/>
      <w:lvlJc w:val="left"/>
      <w:pPr>
        <w:ind w:left="7614" w:hanging="567"/>
      </w:pPr>
      <w:rPr>
        <w:rFonts w:hint="default"/>
        <w:lang w:val="en-US" w:eastAsia="en-US" w:bidi="en-US"/>
      </w:rPr>
    </w:lvl>
    <w:lvl w:ilvl="8" w:tplc="1F5C8200">
      <w:numFmt w:val="bullet"/>
      <w:lvlText w:val="•"/>
      <w:lvlJc w:val="left"/>
      <w:pPr>
        <w:ind w:left="8605" w:hanging="567"/>
      </w:pPr>
      <w:rPr>
        <w:rFonts w:hint="default"/>
        <w:lang w:val="en-US" w:eastAsia="en-US" w:bidi="en-US"/>
      </w:rPr>
    </w:lvl>
  </w:abstractNum>
  <w:abstractNum w:abstractNumId="46" w15:restartNumberingAfterBreak="0">
    <w:nsid w:val="559F724F"/>
    <w:multiLevelType w:val="multilevel"/>
    <w:tmpl w:val="2E1892A8"/>
    <w:lvl w:ilvl="0">
      <w:start w:val="17"/>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47" w15:restartNumberingAfterBreak="0">
    <w:nsid w:val="56927984"/>
    <w:multiLevelType w:val="multilevel"/>
    <w:tmpl w:val="07C8FEFA"/>
    <w:lvl w:ilvl="0">
      <w:start w:val="34"/>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48" w15:restartNumberingAfterBreak="0">
    <w:nsid w:val="59607AE4"/>
    <w:multiLevelType w:val="multilevel"/>
    <w:tmpl w:val="C0341D76"/>
    <w:lvl w:ilvl="0">
      <w:start w:val="2"/>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49" w15:restartNumberingAfterBreak="0">
    <w:nsid w:val="5A17706F"/>
    <w:multiLevelType w:val="hybridMultilevel"/>
    <w:tmpl w:val="47D634BA"/>
    <w:lvl w:ilvl="0" w:tplc="2BC47512">
      <w:numFmt w:val="bullet"/>
      <w:lvlText w:val="-"/>
      <w:lvlJc w:val="left"/>
      <w:pPr>
        <w:ind w:left="266" w:hanging="188"/>
      </w:pPr>
      <w:rPr>
        <w:rFonts w:ascii="Arial" w:eastAsia="Arial" w:hAnsi="Arial" w:cs="Arial" w:hint="default"/>
        <w:w w:val="99"/>
        <w:sz w:val="20"/>
        <w:szCs w:val="20"/>
        <w:lang w:val="en-US" w:eastAsia="en-US" w:bidi="en-US"/>
      </w:rPr>
    </w:lvl>
    <w:lvl w:ilvl="1" w:tplc="9F420F5E">
      <w:numFmt w:val="bullet"/>
      <w:lvlText w:val="•"/>
      <w:lvlJc w:val="left"/>
      <w:pPr>
        <w:ind w:left="613" w:hanging="188"/>
      </w:pPr>
      <w:rPr>
        <w:rFonts w:hint="default"/>
        <w:lang w:val="en-US" w:eastAsia="en-US" w:bidi="en-US"/>
      </w:rPr>
    </w:lvl>
    <w:lvl w:ilvl="2" w:tplc="DA267BC8">
      <w:numFmt w:val="bullet"/>
      <w:lvlText w:val="•"/>
      <w:lvlJc w:val="left"/>
      <w:pPr>
        <w:ind w:left="967" w:hanging="188"/>
      </w:pPr>
      <w:rPr>
        <w:rFonts w:hint="default"/>
        <w:lang w:val="en-US" w:eastAsia="en-US" w:bidi="en-US"/>
      </w:rPr>
    </w:lvl>
    <w:lvl w:ilvl="3" w:tplc="256C21A4">
      <w:numFmt w:val="bullet"/>
      <w:lvlText w:val="•"/>
      <w:lvlJc w:val="left"/>
      <w:pPr>
        <w:ind w:left="1321" w:hanging="188"/>
      </w:pPr>
      <w:rPr>
        <w:rFonts w:hint="default"/>
        <w:lang w:val="en-US" w:eastAsia="en-US" w:bidi="en-US"/>
      </w:rPr>
    </w:lvl>
    <w:lvl w:ilvl="4" w:tplc="1C203CD4">
      <w:numFmt w:val="bullet"/>
      <w:lvlText w:val="•"/>
      <w:lvlJc w:val="left"/>
      <w:pPr>
        <w:ind w:left="1674" w:hanging="188"/>
      </w:pPr>
      <w:rPr>
        <w:rFonts w:hint="default"/>
        <w:lang w:val="en-US" w:eastAsia="en-US" w:bidi="en-US"/>
      </w:rPr>
    </w:lvl>
    <w:lvl w:ilvl="5" w:tplc="F240242E">
      <w:numFmt w:val="bullet"/>
      <w:lvlText w:val="•"/>
      <w:lvlJc w:val="left"/>
      <w:pPr>
        <w:ind w:left="2028" w:hanging="188"/>
      </w:pPr>
      <w:rPr>
        <w:rFonts w:hint="default"/>
        <w:lang w:val="en-US" w:eastAsia="en-US" w:bidi="en-US"/>
      </w:rPr>
    </w:lvl>
    <w:lvl w:ilvl="6" w:tplc="3DBCDAFA">
      <w:numFmt w:val="bullet"/>
      <w:lvlText w:val="•"/>
      <w:lvlJc w:val="left"/>
      <w:pPr>
        <w:ind w:left="2382" w:hanging="188"/>
      </w:pPr>
      <w:rPr>
        <w:rFonts w:hint="default"/>
        <w:lang w:val="en-US" w:eastAsia="en-US" w:bidi="en-US"/>
      </w:rPr>
    </w:lvl>
    <w:lvl w:ilvl="7" w:tplc="38CE7E64">
      <w:numFmt w:val="bullet"/>
      <w:lvlText w:val="•"/>
      <w:lvlJc w:val="left"/>
      <w:pPr>
        <w:ind w:left="2735" w:hanging="188"/>
      </w:pPr>
      <w:rPr>
        <w:rFonts w:hint="default"/>
        <w:lang w:val="en-US" w:eastAsia="en-US" w:bidi="en-US"/>
      </w:rPr>
    </w:lvl>
    <w:lvl w:ilvl="8" w:tplc="6366A2E0">
      <w:numFmt w:val="bullet"/>
      <w:lvlText w:val="•"/>
      <w:lvlJc w:val="left"/>
      <w:pPr>
        <w:ind w:left="3089" w:hanging="188"/>
      </w:pPr>
      <w:rPr>
        <w:rFonts w:hint="default"/>
        <w:lang w:val="en-US" w:eastAsia="en-US" w:bidi="en-US"/>
      </w:rPr>
    </w:lvl>
  </w:abstractNum>
  <w:abstractNum w:abstractNumId="50" w15:restartNumberingAfterBreak="0">
    <w:nsid w:val="5BAA5683"/>
    <w:multiLevelType w:val="multilevel"/>
    <w:tmpl w:val="49C80D58"/>
    <w:lvl w:ilvl="0">
      <w:start w:val="4"/>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start w:val="1"/>
      <w:numFmt w:val="lowerLetter"/>
      <w:lvlText w:val="%3)"/>
      <w:lvlJc w:val="left"/>
      <w:pPr>
        <w:ind w:left="1253" w:hanging="425"/>
        <w:jc w:val="left"/>
      </w:pPr>
      <w:rPr>
        <w:rFonts w:ascii="Arial" w:eastAsia="Arial" w:hAnsi="Arial" w:cs="Arial" w:hint="default"/>
        <w:spacing w:val="-1"/>
        <w:w w:val="100"/>
        <w:sz w:val="22"/>
        <w:szCs w:val="22"/>
        <w:lang w:val="en-US" w:eastAsia="en-US" w:bidi="en-US"/>
      </w:rPr>
    </w:lvl>
    <w:lvl w:ilvl="3">
      <w:numFmt w:val="bullet"/>
      <w:lvlText w:val="•"/>
      <w:lvlJc w:val="left"/>
      <w:pPr>
        <w:ind w:left="3332" w:hanging="425"/>
      </w:pPr>
      <w:rPr>
        <w:rFonts w:hint="default"/>
        <w:lang w:val="en-US" w:eastAsia="en-US" w:bidi="en-US"/>
      </w:rPr>
    </w:lvl>
    <w:lvl w:ilvl="4">
      <w:numFmt w:val="bullet"/>
      <w:lvlText w:val="•"/>
      <w:lvlJc w:val="left"/>
      <w:pPr>
        <w:ind w:left="4368" w:hanging="425"/>
      </w:pPr>
      <w:rPr>
        <w:rFonts w:hint="default"/>
        <w:lang w:val="en-US" w:eastAsia="en-US" w:bidi="en-US"/>
      </w:rPr>
    </w:lvl>
    <w:lvl w:ilvl="5">
      <w:numFmt w:val="bullet"/>
      <w:lvlText w:val="•"/>
      <w:lvlJc w:val="left"/>
      <w:pPr>
        <w:ind w:left="5405" w:hanging="425"/>
      </w:pPr>
      <w:rPr>
        <w:rFonts w:hint="default"/>
        <w:lang w:val="en-US" w:eastAsia="en-US" w:bidi="en-US"/>
      </w:rPr>
    </w:lvl>
    <w:lvl w:ilvl="6">
      <w:numFmt w:val="bullet"/>
      <w:lvlText w:val="•"/>
      <w:lvlJc w:val="left"/>
      <w:pPr>
        <w:ind w:left="6441" w:hanging="425"/>
      </w:pPr>
      <w:rPr>
        <w:rFonts w:hint="default"/>
        <w:lang w:val="en-US" w:eastAsia="en-US" w:bidi="en-US"/>
      </w:rPr>
    </w:lvl>
    <w:lvl w:ilvl="7">
      <w:numFmt w:val="bullet"/>
      <w:lvlText w:val="•"/>
      <w:lvlJc w:val="left"/>
      <w:pPr>
        <w:ind w:left="7477" w:hanging="425"/>
      </w:pPr>
      <w:rPr>
        <w:rFonts w:hint="default"/>
        <w:lang w:val="en-US" w:eastAsia="en-US" w:bidi="en-US"/>
      </w:rPr>
    </w:lvl>
    <w:lvl w:ilvl="8">
      <w:numFmt w:val="bullet"/>
      <w:lvlText w:val="•"/>
      <w:lvlJc w:val="left"/>
      <w:pPr>
        <w:ind w:left="8513" w:hanging="425"/>
      </w:pPr>
      <w:rPr>
        <w:rFonts w:hint="default"/>
        <w:lang w:val="en-US" w:eastAsia="en-US" w:bidi="en-US"/>
      </w:rPr>
    </w:lvl>
  </w:abstractNum>
  <w:abstractNum w:abstractNumId="51" w15:restartNumberingAfterBreak="0">
    <w:nsid w:val="5BE40765"/>
    <w:multiLevelType w:val="hybridMultilevel"/>
    <w:tmpl w:val="BC9E6E7C"/>
    <w:lvl w:ilvl="0" w:tplc="28C6A7FA">
      <w:numFmt w:val="bullet"/>
      <w:lvlText w:val="-"/>
      <w:lvlJc w:val="left"/>
      <w:pPr>
        <w:ind w:left="414" w:hanging="284"/>
      </w:pPr>
      <w:rPr>
        <w:rFonts w:ascii="Arial" w:eastAsia="Arial" w:hAnsi="Arial" w:cs="Arial" w:hint="default"/>
        <w:w w:val="99"/>
        <w:sz w:val="20"/>
        <w:szCs w:val="20"/>
        <w:lang w:val="en-US" w:eastAsia="en-US" w:bidi="en-US"/>
      </w:rPr>
    </w:lvl>
    <w:lvl w:ilvl="1" w:tplc="90E070D4">
      <w:numFmt w:val="bullet"/>
      <w:lvlText w:val="•"/>
      <w:lvlJc w:val="left"/>
      <w:pPr>
        <w:ind w:left="839" w:hanging="284"/>
      </w:pPr>
      <w:rPr>
        <w:rFonts w:hint="default"/>
        <w:lang w:val="en-US" w:eastAsia="en-US" w:bidi="en-US"/>
      </w:rPr>
    </w:lvl>
    <w:lvl w:ilvl="2" w:tplc="F5AC8216">
      <w:numFmt w:val="bullet"/>
      <w:lvlText w:val="•"/>
      <w:lvlJc w:val="left"/>
      <w:pPr>
        <w:ind w:left="1258" w:hanging="284"/>
      </w:pPr>
      <w:rPr>
        <w:rFonts w:hint="default"/>
        <w:lang w:val="en-US" w:eastAsia="en-US" w:bidi="en-US"/>
      </w:rPr>
    </w:lvl>
    <w:lvl w:ilvl="3" w:tplc="0F3E2294">
      <w:numFmt w:val="bullet"/>
      <w:lvlText w:val="•"/>
      <w:lvlJc w:val="left"/>
      <w:pPr>
        <w:ind w:left="1678" w:hanging="284"/>
      </w:pPr>
      <w:rPr>
        <w:rFonts w:hint="default"/>
        <w:lang w:val="en-US" w:eastAsia="en-US" w:bidi="en-US"/>
      </w:rPr>
    </w:lvl>
    <w:lvl w:ilvl="4" w:tplc="0D887418">
      <w:numFmt w:val="bullet"/>
      <w:lvlText w:val="•"/>
      <w:lvlJc w:val="left"/>
      <w:pPr>
        <w:ind w:left="2097" w:hanging="284"/>
      </w:pPr>
      <w:rPr>
        <w:rFonts w:hint="default"/>
        <w:lang w:val="en-US" w:eastAsia="en-US" w:bidi="en-US"/>
      </w:rPr>
    </w:lvl>
    <w:lvl w:ilvl="5" w:tplc="331C3302">
      <w:numFmt w:val="bullet"/>
      <w:lvlText w:val="•"/>
      <w:lvlJc w:val="left"/>
      <w:pPr>
        <w:ind w:left="2517" w:hanging="284"/>
      </w:pPr>
      <w:rPr>
        <w:rFonts w:hint="default"/>
        <w:lang w:val="en-US" w:eastAsia="en-US" w:bidi="en-US"/>
      </w:rPr>
    </w:lvl>
    <w:lvl w:ilvl="6" w:tplc="39ACDA68">
      <w:numFmt w:val="bullet"/>
      <w:lvlText w:val="•"/>
      <w:lvlJc w:val="left"/>
      <w:pPr>
        <w:ind w:left="2936" w:hanging="284"/>
      </w:pPr>
      <w:rPr>
        <w:rFonts w:hint="default"/>
        <w:lang w:val="en-US" w:eastAsia="en-US" w:bidi="en-US"/>
      </w:rPr>
    </w:lvl>
    <w:lvl w:ilvl="7" w:tplc="59E0837E">
      <w:numFmt w:val="bullet"/>
      <w:lvlText w:val="•"/>
      <w:lvlJc w:val="left"/>
      <w:pPr>
        <w:ind w:left="3355" w:hanging="284"/>
      </w:pPr>
      <w:rPr>
        <w:rFonts w:hint="default"/>
        <w:lang w:val="en-US" w:eastAsia="en-US" w:bidi="en-US"/>
      </w:rPr>
    </w:lvl>
    <w:lvl w:ilvl="8" w:tplc="F7D0A2BE">
      <w:numFmt w:val="bullet"/>
      <w:lvlText w:val="•"/>
      <w:lvlJc w:val="left"/>
      <w:pPr>
        <w:ind w:left="3775" w:hanging="284"/>
      </w:pPr>
      <w:rPr>
        <w:rFonts w:hint="default"/>
        <w:lang w:val="en-US" w:eastAsia="en-US" w:bidi="en-US"/>
      </w:rPr>
    </w:lvl>
  </w:abstractNum>
  <w:abstractNum w:abstractNumId="52" w15:restartNumberingAfterBreak="0">
    <w:nsid w:val="5C020C93"/>
    <w:multiLevelType w:val="hybridMultilevel"/>
    <w:tmpl w:val="0FA690A4"/>
    <w:lvl w:ilvl="0" w:tplc="5614A1F8">
      <w:start w:val="1"/>
      <w:numFmt w:val="decimal"/>
      <w:lvlText w:val="%1."/>
      <w:lvlJc w:val="left"/>
      <w:pPr>
        <w:ind w:left="1560" w:hanging="360"/>
        <w:jc w:val="left"/>
      </w:pPr>
      <w:rPr>
        <w:rFonts w:ascii="Arial" w:eastAsia="Arial" w:hAnsi="Arial" w:cs="Arial" w:hint="default"/>
        <w:spacing w:val="-1"/>
        <w:w w:val="100"/>
        <w:sz w:val="22"/>
        <w:szCs w:val="22"/>
        <w:lang w:val="en-US" w:eastAsia="en-US" w:bidi="en-US"/>
      </w:rPr>
    </w:lvl>
    <w:lvl w:ilvl="1" w:tplc="0EA89126">
      <w:numFmt w:val="bullet"/>
      <w:lvlText w:val="•"/>
      <w:lvlJc w:val="left"/>
      <w:pPr>
        <w:ind w:left="2462" w:hanging="360"/>
      </w:pPr>
      <w:rPr>
        <w:rFonts w:hint="default"/>
        <w:lang w:val="en-US" w:eastAsia="en-US" w:bidi="en-US"/>
      </w:rPr>
    </w:lvl>
    <w:lvl w:ilvl="2" w:tplc="F856BAC6">
      <w:numFmt w:val="bullet"/>
      <w:lvlText w:val="•"/>
      <w:lvlJc w:val="left"/>
      <w:pPr>
        <w:ind w:left="3365" w:hanging="360"/>
      </w:pPr>
      <w:rPr>
        <w:rFonts w:hint="default"/>
        <w:lang w:val="en-US" w:eastAsia="en-US" w:bidi="en-US"/>
      </w:rPr>
    </w:lvl>
    <w:lvl w:ilvl="3" w:tplc="C2F4C55C">
      <w:numFmt w:val="bullet"/>
      <w:lvlText w:val="•"/>
      <w:lvlJc w:val="left"/>
      <w:pPr>
        <w:ind w:left="4267" w:hanging="360"/>
      </w:pPr>
      <w:rPr>
        <w:rFonts w:hint="default"/>
        <w:lang w:val="en-US" w:eastAsia="en-US" w:bidi="en-US"/>
      </w:rPr>
    </w:lvl>
    <w:lvl w:ilvl="4" w:tplc="0D2CB9F8">
      <w:numFmt w:val="bullet"/>
      <w:lvlText w:val="•"/>
      <w:lvlJc w:val="left"/>
      <w:pPr>
        <w:ind w:left="5170" w:hanging="360"/>
      </w:pPr>
      <w:rPr>
        <w:rFonts w:hint="default"/>
        <w:lang w:val="en-US" w:eastAsia="en-US" w:bidi="en-US"/>
      </w:rPr>
    </w:lvl>
    <w:lvl w:ilvl="5" w:tplc="DF10E562">
      <w:numFmt w:val="bullet"/>
      <w:lvlText w:val="•"/>
      <w:lvlJc w:val="left"/>
      <w:pPr>
        <w:ind w:left="6073" w:hanging="360"/>
      </w:pPr>
      <w:rPr>
        <w:rFonts w:hint="default"/>
        <w:lang w:val="en-US" w:eastAsia="en-US" w:bidi="en-US"/>
      </w:rPr>
    </w:lvl>
    <w:lvl w:ilvl="6" w:tplc="75F836EE">
      <w:numFmt w:val="bullet"/>
      <w:lvlText w:val="•"/>
      <w:lvlJc w:val="left"/>
      <w:pPr>
        <w:ind w:left="6975" w:hanging="360"/>
      </w:pPr>
      <w:rPr>
        <w:rFonts w:hint="default"/>
        <w:lang w:val="en-US" w:eastAsia="en-US" w:bidi="en-US"/>
      </w:rPr>
    </w:lvl>
    <w:lvl w:ilvl="7" w:tplc="C36A6204">
      <w:numFmt w:val="bullet"/>
      <w:lvlText w:val="•"/>
      <w:lvlJc w:val="left"/>
      <w:pPr>
        <w:ind w:left="7878" w:hanging="360"/>
      </w:pPr>
      <w:rPr>
        <w:rFonts w:hint="default"/>
        <w:lang w:val="en-US" w:eastAsia="en-US" w:bidi="en-US"/>
      </w:rPr>
    </w:lvl>
    <w:lvl w:ilvl="8" w:tplc="B3C6201A">
      <w:numFmt w:val="bullet"/>
      <w:lvlText w:val="•"/>
      <w:lvlJc w:val="left"/>
      <w:pPr>
        <w:ind w:left="8781" w:hanging="360"/>
      </w:pPr>
      <w:rPr>
        <w:rFonts w:hint="default"/>
        <w:lang w:val="en-US" w:eastAsia="en-US" w:bidi="en-US"/>
      </w:rPr>
    </w:lvl>
  </w:abstractNum>
  <w:abstractNum w:abstractNumId="53" w15:restartNumberingAfterBreak="0">
    <w:nsid w:val="5D333A83"/>
    <w:multiLevelType w:val="hybridMultilevel"/>
    <w:tmpl w:val="E7DC8558"/>
    <w:lvl w:ilvl="0" w:tplc="F6560858">
      <w:numFmt w:val="bullet"/>
      <w:lvlText w:val=""/>
      <w:lvlJc w:val="left"/>
      <w:pPr>
        <w:ind w:left="686" w:hanging="567"/>
      </w:pPr>
      <w:rPr>
        <w:rFonts w:ascii="Symbol" w:eastAsia="Symbol" w:hAnsi="Symbol" w:cs="Symbol" w:hint="default"/>
        <w:w w:val="100"/>
        <w:sz w:val="22"/>
        <w:szCs w:val="22"/>
        <w:lang w:val="en-US" w:eastAsia="en-US" w:bidi="en-US"/>
      </w:rPr>
    </w:lvl>
    <w:lvl w:ilvl="1" w:tplc="86E8F414">
      <w:numFmt w:val="bullet"/>
      <w:lvlText w:val="•"/>
      <w:lvlJc w:val="left"/>
      <w:pPr>
        <w:ind w:left="1670" w:hanging="567"/>
      </w:pPr>
      <w:rPr>
        <w:rFonts w:hint="default"/>
        <w:lang w:val="en-US" w:eastAsia="en-US" w:bidi="en-US"/>
      </w:rPr>
    </w:lvl>
    <w:lvl w:ilvl="2" w:tplc="3CA4D5CE">
      <w:numFmt w:val="bullet"/>
      <w:lvlText w:val="•"/>
      <w:lvlJc w:val="left"/>
      <w:pPr>
        <w:ind w:left="2661" w:hanging="567"/>
      </w:pPr>
      <w:rPr>
        <w:rFonts w:hint="default"/>
        <w:lang w:val="en-US" w:eastAsia="en-US" w:bidi="en-US"/>
      </w:rPr>
    </w:lvl>
    <w:lvl w:ilvl="3" w:tplc="F83262DC">
      <w:numFmt w:val="bullet"/>
      <w:lvlText w:val="•"/>
      <w:lvlJc w:val="left"/>
      <w:pPr>
        <w:ind w:left="3651" w:hanging="567"/>
      </w:pPr>
      <w:rPr>
        <w:rFonts w:hint="default"/>
        <w:lang w:val="en-US" w:eastAsia="en-US" w:bidi="en-US"/>
      </w:rPr>
    </w:lvl>
    <w:lvl w:ilvl="4" w:tplc="F488A13E">
      <w:numFmt w:val="bullet"/>
      <w:lvlText w:val="•"/>
      <w:lvlJc w:val="left"/>
      <w:pPr>
        <w:ind w:left="4642" w:hanging="567"/>
      </w:pPr>
      <w:rPr>
        <w:rFonts w:hint="default"/>
        <w:lang w:val="en-US" w:eastAsia="en-US" w:bidi="en-US"/>
      </w:rPr>
    </w:lvl>
    <w:lvl w:ilvl="5" w:tplc="3D38E1E2">
      <w:numFmt w:val="bullet"/>
      <w:lvlText w:val="•"/>
      <w:lvlJc w:val="left"/>
      <w:pPr>
        <w:ind w:left="5633" w:hanging="567"/>
      </w:pPr>
      <w:rPr>
        <w:rFonts w:hint="default"/>
        <w:lang w:val="en-US" w:eastAsia="en-US" w:bidi="en-US"/>
      </w:rPr>
    </w:lvl>
    <w:lvl w:ilvl="6" w:tplc="36F23C2C">
      <w:numFmt w:val="bullet"/>
      <w:lvlText w:val="•"/>
      <w:lvlJc w:val="left"/>
      <w:pPr>
        <w:ind w:left="6623" w:hanging="567"/>
      </w:pPr>
      <w:rPr>
        <w:rFonts w:hint="default"/>
        <w:lang w:val="en-US" w:eastAsia="en-US" w:bidi="en-US"/>
      </w:rPr>
    </w:lvl>
    <w:lvl w:ilvl="7" w:tplc="E01AE584">
      <w:numFmt w:val="bullet"/>
      <w:lvlText w:val="•"/>
      <w:lvlJc w:val="left"/>
      <w:pPr>
        <w:ind w:left="7614" w:hanging="567"/>
      </w:pPr>
      <w:rPr>
        <w:rFonts w:hint="default"/>
        <w:lang w:val="en-US" w:eastAsia="en-US" w:bidi="en-US"/>
      </w:rPr>
    </w:lvl>
    <w:lvl w:ilvl="8" w:tplc="B412AA42">
      <w:numFmt w:val="bullet"/>
      <w:lvlText w:val="•"/>
      <w:lvlJc w:val="left"/>
      <w:pPr>
        <w:ind w:left="8605" w:hanging="567"/>
      </w:pPr>
      <w:rPr>
        <w:rFonts w:hint="default"/>
        <w:lang w:val="en-US" w:eastAsia="en-US" w:bidi="en-US"/>
      </w:rPr>
    </w:lvl>
  </w:abstractNum>
  <w:abstractNum w:abstractNumId="54" w15:restartNumberingAfterBreak="0">
    <w:nsid w:val="5D6E7D24"/>
    <w:multiLevelType w:val="multilevel"/>
    <w:tmpl w:val="297E4BC4"/>
    <w:lvl w:ilvl="0">
      <w:start w:val="32"/>
      <w:numFmt w:val="decimal"/>
      <w:lvlText w:val="%1"/>
      <w:lvlJc w:val="left"/>
      <w:pPr>
        <w:ind w:left="120" w:hanging="708"/>
        <w:jc w:val="left"/>
      </w:pPr>
      <w:rPr>
        <w:rFonts w:hint="default"/>
        <w:lang w:val="en-US" w:eastAsia="en-US" w:bidi="en-US"/>
      </w:rPr>
    </w:lvl>
    <w:lvl w:ilvl="1">
      <w:start w:val="1"/>
      <w:numFmt w:val="decimal"/>
      <w:lvlText w:val="%1.%2"/>
      <w:lvlJc w:val="left"/>
      <w:pPr>
        <w:ind w:left="120" w:hanging="708"/>
        <w:jc w:val="left"/>
      </w:pPr>
      <w:rPr>
        <w:rFonts w:ascii="Arial" w:eastAsia="Arial" w:hAnsi="Arial" w:cs="Arial" w:hint="default"/>
        <w:spacing w:val="-1"/>
        <w:w w:val="100"/>
        <w:sz w:val="22"/>
        <w:szCs w:val="22"/>
        <w:lang w:val="en-US" w:eastAsia="en-US" w:bidi="en-US"/>
      </w:rPr>
    </w:lvl>
    <w:lvl w:ilvl="2">
      <w:start w:val="1"/>
      <w:numFmt w:val="lowerLetter"/>
      <w:lvlText w:val="%3)"/>
      <w:lvlJc w:val="left"/>
      <w:pPr>
        <w:ind w:left="1253" w:hanging="425"/>
        <w:jc w:val="left"/>
      </w:pPr>
      <w:rPr>
        <w:rFonts w:ascii="Arial" w:eastAsia="Arial" w:hAnsi="Arial" w:cs="Arial" w:hint="default"/>
        <w:spacing w:val="-1"/>
        <w:w w:val="100"/>
        <w:sz w:val="22"/>
        <w:szCs w:val="22"/>
        <w:lang w:val="en-US" w:eastAsia="en-US" w:bidi="en-US"/>
      </w:rPr>
    </w:lvl>
    <w:lvl w:ilvl="3">
      <w:numFmt w:val="bullet"/>
      <w:lvlText w:val="•"/>
      <w:lvlJc w:val="left"/>
      <w:pPr>
        <w:ind w:left="3332" w:hanging="425"/>
      </w:pPr>
      <w:rPr>
        <w:rFonts w:hint="default"/>
        <w:lang w:val="en-US" w:eastAsia="en-US" w:bidi="en-US"/>
      </w:rPr>
    </w:lvl>
    <w:lvl w:ilvl="4">
      <w:numFmt w:val="bullet"/>
      <w:lvlText w:val="•"/>
      <w:lvlJc w:val="left"/>
      <w:pPr>
        <w:ind w:left="4368" w:hanging="425"/>
      </w:pPr>
      <w:rPr>
        <w:rFonts w:hint="default"/>
        <w:lang w:val="en-US" w:eastAsia="en-US" w:bidi="en-US"/>
      </w:rPr>
    </w:lvl>
    <w:lvl w:ilvl="5">
      <w:numFmt w:val="bullet"/>
      <w:lvlText w:val="•"/>
      <w:lvlJc w:val="left"/>
      <w:pPr>
        <w:ind w:left="5405" w:hanging="425"/>
      </w:pPr>
      <w:rPr>
        <w:rFonts w:hint="default"/>
        <w:lang w:val="en-US" w:eastAsia="en-US" w:bidi="en-US"/>
      </w:rPr>
    </w:lvl>
    <w:lvl w:ilvl="6">
      <w:numFmt w:val="bullet"/>
      <w:lvlText w:val="•"/>
      <w:lvlJc w:val="left"/>
      <w:pPr>
        <w:ind w:left="6441" w:hanging="425"/>
      </w:pPr>
      <w:rPr>
        <w:rFonts w:hint="default"/>
        <w:lang w:val="en-US" w:eastAsia="en-US" w:bidi="en-US"/>
      </w:rPr>
    </w:lvl>
    <w:lvl w:ilvl="7">
      <w:numFmt w:val="bullet"/>
      <w:lvlText w:val="•"/>
      <w:lvlJc w:val="left"/>
      <w:pPr>
        <w:ind w:left="7477" w:hanging="425"/>
      </w:pPr>
      <w:rPr>
        <w:rFonts w:hint="default"/>
        <w:lang w:val="en-US" w:eastAsia="en-US" w:bidi="en-US"/>
      </w:rPr>
    </w:lvl>
    <w:lvl w:ilvl="8">
      <w:numFmt w:val="bullet"/>
      <w:lvlText w:val="•"/>
      <w:lvlJc w:val="left"/>
      <w:pPr>
        <w:ind w:left="8513" w:hanging="425"/>
      </w:pPr>
      <w:rPr>
        <w:rFonts w:hint="default"/>
        <w:lang w:val="en-US" w:eastAsia="en-US" w:bidi="en-US"/>
      </w:rPr>
    </w:lvl>
  </w:abstractNum>
  <w:abstractNum w:abstractNumId="55" w15:restartNumberingAfterBreak="0">
    <w:nsid w:val="5ED31085"/>
    <w:multiLevelType w:val="multilevel"/>
    <w:tmpl w:val="C2ACD934"/>
    <w:lvl w:ilvl="0">
      <w:start w:val="9"/>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abstractNum w:abstractNumId="56" w15:restartNumberingAfterBreak="0">
    <w:nsid w:val="64921450"/>
    <w:multiLevelType w:val="hybridMultilevel"/>
    <w:tmpl w:val="FDEA92D6"/>
    <w:lvl w:ilvl="0" w:tplc="9604A7D2">
      <w:numFmt w:val="bullet"/>
      <w:lvlText w:val="-"/>
      <w:lvlJc w:val="left"/>
      <w:pPr>
        <w:ind w:left="414" w:hanging="144"/>
      </w:pPr>
      <w:rPr>
        <w:rFonts w:ascii="Times New Roman" w:eastAsia="Times New Roman" w:hAnsi="Times New Roman" w:cs="Times New Roman" w:hint="default"/>
        <w:w w:val="99"/>
        <w:sz w:val="20"/>
        <w:szCs w:val="20"/>
        <w:lang w:val="en-US" w:eastAsia="en-US" w:bidi="en-US"/>
      </w:rPr>
    </w:lvl>
    <w:lvl w:ilvl="1" w:tplc="D012E56E">
      <w:numFmt w:val="bullet"/>
      <w:lvlText w:val="•"/>
      <w:lvlJc w:val="left"/>
      <w:pPr>
        <w:ind w:left="847" w:hanging="144"/>
      </w:pPr>
      <w:rPr>
        <w:rFonts w:hint="default"/>
        <w:lang w:val="en-US" w:eastAsia="en-US" w:bidi="en-US"/>
      </w:rPr>
    </w:lvl>
    <w:lvl w:ilvl="2" w:tplc="48601EE0">
      <w:numFmt w:val="bullet"/>
      <w:lvlText w:val="•"/>
      <w:lvlJc w:val="left"/>
      <w:pPr>
        <w:ind w:left="1274" w:hanging="144"/>
      </w:pPr>
      <w:rPr>
        <w:rFonts w:hint="default"/>
        <w:lang w:val="en-US" w:eastAsia="en-US" w:bidi="en-US"/>
      </w:rPr>
    </w:lvl>
    <w:lvl w:ilvl="3" w:tplc="C3FE865E">
      <w:numFmt w:val="bullet"/>
      <w:lvlText w:val="•"/>
      <w:lvlJc w:val="left"/>
      <w:pPr>
        <w:ind w:left="1701" w:hanging="144"/>
      </w:pPr>
      <w:rPr>
        <w:rFonts w:hint="default"/>
        <w:lang w:val="en-US" w:eastAsia="en-US" w:bidi="en-US"/>
      </w:rPr>
    </w:lvl>
    <w:lvl w:ilvl="4" w:tplc="25047A12">
      <w:numFmt w:val="bullet"/>
      <w:lvlText w:val="•"/>
      <w:lvlJc w:val="left"/>
      <w:pPr>
        <w:ind w:left="2128" w:hanging="144"/>
      </w:pPr>
      <w:rPr>
        <w:rFonts w:hint="default"/>
        <w:lang w:val="en-US" w:eastAsia="en-US" w:bidi="en-US"/>
      </w:rPr>
    </w:lvl>
    <w:lvl w:ilvl="5" w:tplc="6854F8EA">
      <w:numFmt w:val="bullet"/>
      <w:lvlText w:val="•"/>
      <w:lvlJc w:val="left"/>
      <w:pPr>
        <w:ind w:left="2556" w:hanging="144"/>
      </w:pPr>
      <w:rPr>
        <w:rFonts w:hint="default"/>
        <w:lang w:val="en-US" w:eastAsia="en-US" w:bidi="en-US"/>
      </w:rPr>
    </w:lvl>
    <w:lvl w:ilvl="6" w:tplc="EDDEF948">
      <w:numFmt w:val="bullet"/>
      <w:lvlText w:val="•"/>
      <w:lvlJc w:val="left"/>
      <w:pPr>
        <w:ind w:left="2983" w:hanging="144"/>
      </w:pPr>
      <w:rPr>
        <w:rFonts w:hint="default"/>
        <w:lang w:val="en-US" w:eastAsia="en-US" w:bidi="en-US"/>
      </w:rPr>
    </w:lvl>
    <w:lvl w:ilvl="7" w:tplc="C8FAD6EC">
      <w:numFmt w:val="bullet"/>
      <w:lvlText w:val="•"/>
      <w:lvlJc w:val="left"/>
      <w:pPr>
        <w:ind w:left="3410" w:hanging="144"/>
      </w:pPr>
      <w:rPr>
        <w:rFonts w:hint="default"/>
        <w:lang w:val="en-US" w:eastAsia="en-US" w:bidi="en-US"/>
      </w:rPr>
    </w:lvl>
    <w:lvl w:ilvl="8" w:tplc="BEFC7A0A">
      <w:numFmt w:val="bullet"/>
      <w:lvlText w:val="•"/>
      <w:lvlJc w:val="left"/>
      <w:pPr>
        <w:ind w:left="3837" w:hanging="144"/>
      </w:pPr>
      <w:rPr>
        <w:rFonts w:hint="default"/>
        <w:lang w:val="en-US" w:eastAsia="en-US" w:bidi="en-US"/>
      </w:rPr>
    </w:lvl>
  </w:abstractNum>
  <w:abstractNum w:abstractNumId="57" w15:restartNumberingAfterBreak="0">
    <w:nsid w:val="67266C3C"/>
    <w:multiLevelType w:val="hybridMultilevel"/>
    <w:tmpl w:val="088427EC"/>
    <w:lvl w:ilvl="0" w:tplc="ECEE1FB2">
      <w:numFmt w:val="bullet"/>
      <w:lvlText w:val="-"/>
      <w:lvlJc w:val="left"/>
      <w:pPr>
        <w:ind w:left="810" w:hanging="279"/>
      </w:pPr>
      <w:rPr>
        <w:rFonts w:ascii="Arial" w:eastAsia="Arial" w:hAnsi="Arial" w:cs="Arial" w:hint="default"/>
        <w:w w:val="99"/>
        <w:sz w:val="20"/>
        <w:szCs w:val="20"/>
        <w:lang w:val="en-US" w:eastAsia="en-US" w:bidi="en-US"/>
      </w:rPr>
    </w:lvl>
    <w:lvl w:ilvl="1" w:tplc="6C00BB1C">
      <w:numFmt w:val="bullet"/>
      <w:lvlText w:val="•"/>
      <w:lvlJc w:val="left"/>
      <w:pPr>
        <w:ind w:left="1162" w:hanging="279"/>
      </w:pPr>
      <w:rPr>
        <w:rFonts w:hint="default"/>
        <w:lang w:val="en-US" w:eastAsia="en-US" w:bidi="en-US"/>
      </w:rPr>
    </w:lvl>
    <w:lvl w:ilvl="2" w:tplc="CC1272AA">
      <w:numFmt w:val="bullet"/>
      <w:lvlText w:val="•"/>
      <w:lvlJc w:val="left"/>
      <w:pPr>
        <w:ind w:left="1504" w:hanging="279"/>
      </w:pPr>
      <w:rPr>
        <w:rFonts w:hint="default"/>
        <w:lang w:val="en-US" w:eastAsia="en-US" w:bidi="en-US"/>
      </w:rPr>
    </w:lvl>
    <w:lvl w:ilvl="3" w:tplc="40D0FB60">
      <w:numFmt w:val="bullet"/>
      <w:lvlText w:val="•"/>
      <w:lvlJc w:val="left"/>
      <w:pPr>
        <w:ind w:left="1846" w:hanging="279"/>
      </w:pPr>
      <w:rPr>
        <w:rFonts w:hint="default"/>
        <w:lang w:val="en-US" w:eastAsia="en-US" w:bidi="en-US"/>
      </w:rPr>
    </w:lvl>
    <w:lvl w:ilvl="4" w:tplc="3D821312">
      <w:numFmt w:val="bullet"/>
      <w:lvlText w:val="•"/>
      <w:lvlJc w:val="left"/>
      <w:pPr>
        <w:ind w:left="2188" w:hanging="279"/>
      </w:pPr>
      <w:rPr>
        <w:rFonts w:hint="default"/>
        <w:lang w:val="en-US" w:eastAsia="en-US" w:bidi="en-US"/>
      </w:rPr>
    </w:lvl>
    <w:lvl w:ilvl="5" w:tplc="1986B016">
      <w:numFmt w:val="bullet"/>
      <w:lvlText w:val="•"/>
      <w:lvlJc w:val="left"/>
      <w:pPr>
        <w:ind w:left="2530" w:hanging="279"/>
      </w:pPr>
      <w:rPr>
        <w:rFonts w:hint="default"/>
        <w:lang w:val="en-US" w:eastAsia="en-US" w:bidi="en-US"/>
      </w:rPr>
    </w:lvl>
    <w:lvl w:ilvl="6" w:tplc="A74EC410">
      <w:numFmt w:val="bullet"/>
      <w:lvlText w:val="•"/>
      <w:lvlJc w:val="left"/>
      <w:pPr>
        <w:ind w:left="2872" w:hanging="279"/>
      </w:pPr>
      <w:rPr>
        <w:rFonts w:hint="default"/>
        <w:lang w:val="en-US" w:eastAsia="en-US" w:bidi="en-US"/>
      </w:rPr>
    </w:lvl>
    <w:lvl w:ilvl="7" w:tplc="23E8ECBC">
      <w:numFmt w:val="bullet"/>
      <w:lvlText w:val="•"/>
      <w:lvlJc w:val="left"/>
      <w:pPr>
        <w:ind w:left="3214" w:hanging="279"/>
      </w:pPr>
      <w:rPr>
        <w:rFonts w:hint="default"/>
        <w:lang w:val="en-US" w:eastAsia="en-US" w:bidi="en-US"/>
      </w:rPr>
    </w:lvl>
    <w:lvl w:ilvl="8" w:tplc="7C86BF08">
      <w:numFmt w:val="bullet"/>
      <w:lvlText w:val="•"/>
      <w:lvlJc w:val="left"/>
      <w:pPr>
        <w:ind w:left="3556" w:hanging="279"/>
      </w:pPr>
      <w:rPr>
        <w:rFonts w:hint="default"/>
        <w:lang w:val="en-US" w:eastAsia="en-US" w:bidi="en-US"/>
      </w:rPr>
    </w:lvl>
  </w:abstractNum>
  <w:abstractNum w:abstractNumId="58" w15:restartNumberingAfterBreak="0">
    <w:nsid w:val="6C1B0420"/>
    <w:multiLevelType w:val="multilevel"/>
    <w:tmpl w:val="C27EF5E8"/>
    <w:lvl w:ilvl="0">
      <w:start w:val="26"/>
      <w:numFmt w:val="decimal"/>
      <w:lvlText w:val="%1"/>
      <w:lvlJc w:val="left"/>
      <w:pPr>
        <w:ind w:left="120" w:hanging="708"/>
        <w:jc w:val="left"/>
      </w:pPr>
      <w:rPr>
        <w:rFonts w:hint="default"/>
        <w:lang w:val="en-US" w:eastAsia="en-US" w:bidi="en-US"/>
      </w:rPr>
    </w:lvl>
    <w:lvl w:ilvl="1">
      <w:start w:val="1"/>
      <w:numFmt w:val="decimal"/>
      <w:lvlText w:val="%1.%2"/>
      <w:lvlJc w:val="left"/>
      <w:pPr>
        <w:ind w:left="120" w:hanging="708"/>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08"/>
      </w:pPr>
      <w:rPr>
        <w:rFonts w:hint="default"/>
        <w:lang w:val="en-US" w:eastAsia="en-US" w:bidi="en-US"/>
      </w:rPr>
    </w:lvl>
    <w:lvl w:ilvl="3">
      <w:numFmt w:val="bullet"/>
      <w:lvlText w:val="•"/>
      <w:lvlJc w:val="left"/>
      <w:pPr>
        <w:ind w:left="3259" w:hanging="708"/>
      </w:pPr>
      <w:rPr>
        <w:rFonts w:hint="default"/>
        <w:lang w:val="en-US" w:eastAsia="en-US" w:bidi="en-US"/>
      </w:rPr>
    </w:lvl>
    <w:lvl w:ilvl="4">
      <w:numFmt w:val="bullet"/>
      <w:lvlText w:val="•"/>
      <w:lvlJc w:val="left"/>
      <w:pPr>
        <w:ind w:left="4306" w:hanging="708"/>
      </w:pPr>
      <w:rPr>
        <w:rFonts w:hint="default"/>
        <w:lang w:val="en-US" w:eastAsia="en-US" w:bidi="en-US"/>
      </w:rPr>
    </w:lvl>
    <w:lvl w:ilvl="5">
      <w:numFmt w:val="bullet"/>
      <w:lvlText w:val="•"/>
      <w:lvlJc w:val="left"/>
      <w:pPr>
        <w:ind w:left="5353" w:hanging="708"/>
      </w:pPr>
      <w:rPr>
        <w:rFonts w:hint="default"/>
        <w:lang w:val="en-US" w:eastAsia="en-US" w:bidi="en-US"/>
      </w:rPr>
    </w:lvl>
    <w:lvl w:ilvl="6">
      <w:numFmt w:val="bullet"/>
      <w:lvlText w:val="•"/>
      <w:lvlJc w:val="left"/>
      <w:pPr>
        <w:ind w:left="6399" w:hanging="708"/>
      </w:pPr>
      <w:rPr>
        <w:rFonts w:hint="default"/>
        <w:lang w:val="en-US" w:eastAsia="en-US" w:bidi="en-US"/>
      </w:rPr>
    </w:lvl>
    <w:lvl w:ilvl="7">
      <w:numFmt w:val="bullet"/>
      <w:lvlText w:val="•"/>
      <w:lvlJc w:val="left"/>
      <w:pPr>
        <w:ind w:left="7446" w:hanging="708"/>
      </w:pPr>
      <w:rPr>
        <w:rFonts w:hint="default"/>
        <w:lang w:val="en-US" w:eastAsia="en-US" w:bidi="en-US"/>
      </w:rPr>
    </w:lvl>
    <w:lvl w:ilvl="8">
      <w:numFmt w:val="bullet"/>
      <w:lvlText w:val="•"/>
      <w:lvlJc w:val="left"/>
      <w:pPr>
        <w:ind w:left="8493" w:hanging="708"/>
      </w:pPr>
      <w:rPr>
        <w:rFonts w:hint="default"/>
        <w:lang w:val="en-US" w:eastAsia="en-US" w:bidi="en-US"/>
      </w:rPr>
    </w:lvl>
  </w:abstractNum>
  <w:abstractNum w:abstractNumId="59" w15:restartNumberingAfterBreak="0">
    <w:nsid w:val="6D453496"/>
    <w:multiLevelType w:val="hybridMultilevel"/>
    <w:tmpl w:val="1EBA0C2E"/>
    <w:lvl w:ilvl="0" w:tplc="7D12B6D2">
      <w:numFmt w:val="bullet"/>
      <w:lvlText w:val="-"/>
      <w:lvlJc w:val="left"/>
      <w:pPr>
        <w:ind w:left="798" w:hanging="360"/>
      </w:pPr>
      <w:rPr>
        <w:rFonts w:ascii="Arial" w:eastAsia="Arial" w:hAnsi="Arial" w:cs="Arial" w:hint="default"/>
        <w:w w:val="99"/>
        <w:sz w:val="20"/>
        <w:szCs w:val="20"/>
        <w:lang w:val="en-US" w:eastAsia="en-US" w:bidi="en-US"/>
      </w:rPr>
    </w:lvl>
    <w:lvl w:ilvl="1" w:tplc="0AE08D4A">
      <w:numFmt w:val="bullet"/>
      <w:lvlText w:val="•"/>
      <w:lvlJc w:val="left"/>
      <w:pPr>
        <w:ind w:left="1106" w:hanging="360"/>
      </w:pPr>
      <w:rPr>
        <w:rFonts w:hint="default"/>
        <w:lang w:val="en-US" w:eastAsia="en-US" w:bidi="en-US"/>
      </w:rPr>
    </w:lvl>
    <w:lvl w:ilvl="2" w:tplc="D646CF0E">
      <w:numFmt w:val="bullet"/>
      <w:lvlText w:val="•"/>
      <w:lvlJc w:val="left"/>
      <w:pPr>
        <w:ind w:left="1412" w:hanging="360"/>
      </w:pPr>
      <w:rPr>
        <w:rFonts w:hint="default"/>
        <w:lang w:val="en-US" w:eastAsia="en-US" w:bidi="en-US"/>
      </w:rPr>
    </w:lvl>
    <w:lvl w:ilvl="3" w:tplc="CB74B352">
      <w:numFmt w:val="bullet"/>
      <w:lvlText w:val="•"/>
      <w:lvlJc w:val="left"/>
      <w:pPr>
        <w:ind w:left="1719" w:hanging="360"/>
      </w:pPr>
      <w:rPr>
        <w:rFonts w:hint="default"/>
        <w:lang w:val="en-US" w:eastAsia="en-US" w:bidi="en-US"/>
      </w:rPr>
    </w:lvl>
    <w:lvl w:ilvl="4" w:tplc="DFAC7EEA">
      <w:numFmt w:val="bullet"/>
      <w:lvlText w:val="•"/>
      <w:lvlJc w:val="left"/>
      <w:pPr>
        <w:ind w:left="2025" w:hanging="360"/>
      </w:pPr>
      <w:rPr>
        <w:rFonts w:hint="default"/>
        <w:lang w:val="en-US" w:eastAsia="en-US" w:bidi="en-US"/>
      </w:rPr>
    </w:lvl>
    <w:lvl w:ilvl="5" w:tplc="6FE6268A">
      <w:numFmt w:val="bullet"/>
      <w:lvlText w:val="•"/>
      <w:lvlJc w:val="left"/>
      <w:pPr>
        <w:ind w:left="2332" w:hanging="360"/>
      </w:pPr>
      <w:rPr>
        <w:rFonts w:hint="default"/>
        <w:lang w:val="en-US" w:eastAsia="en-US" w:bidi="en-US"/>
      </w:rPr>
    </w:lvl>
    <w:lvl w:ilvl="6" w:tplc="02C6C81E">
      <w:numFmt w:val="bullet"/>
      <w:lvlText w:val="•"/>
      <w:lvlJc w:val="left"/>
      <w:pPr>
        <w:ind w:left="2638" w:hanging="360"/>
      </w:pPr>
      <w:rPr>
        <w:rFonts w:hint="default"/>
        <w:lang w:val="en-US" w:eastAsia="en-US" w:bidi="en-US"/>
      </w:rPr>
    </w:lvl>
    <w:lvl w:ilvl="7" w:tplc="D69EEB2C">
      <w:numFmt w:val="bullet"/>
      <w:lvlText w:val="•"/>
      <w:lvlJc w:val="left"/>
      <w:pPr>
        <w:ind w:left="2944" w:hanging="360"/>
      </w:pPr>
      <w:rPr>
        <w:rFonts w:hint="default"/>
        <w:lang w:val="en-US" w:eastAsia="en-US" w:bidi="en-US"/>
      </w:rPr>
    </w:lvl>
    <w:lvl w:ilvl="8" w:tplc="9AE02D20">
      <w:numFmt w:val="bullet"/>
      <w:lvlText w:val="•"/>
      <w:lvlJc w:val="left"/>
      <w:pPr>
        <w:ind w:left="3251" w:hanging="360"/>
      </w:pPr>
      <w:rPr>
        <w:rFonts w:hint="default"/>
        <w:lang w:val="en-US" w:eastAsia="en-US" w:bidi="en-US"/>
      </w:rPr>
    </w:lvl>
  </w:abstractNum>
  <w:abstractNum w:abstractNumId="60" w15:restartNumberingAfterBreak="0">
    <w:nsid w:val="6F486FAE"/>
    <w:multiLevelType w:val="multilevel"/>
    <w:tmpl w:val="699E635E"/>
    <w:lvl w:ilvl="0">
      <w:start w:val="23"/>
      <w:numFmt w:val="decimal"/>
      <w:lvlText w:val="%1"/>
      <w:lvlJc w:val="left"/>
      <w:pPr>
        <w:ind w:left="828" w:hanging="708"/>
        <w:jc w:val="left"/>
      </w:pPr>
      <w:rPr>
        <w:rFonts w:hint="default"/>
        <w:lang w:val="en-US" w:eastAsia="en-US" w:bidi="en-US"/>
      </w:rPr>
    </w:lvl>
    <w:lvl w:ilvl="1">
      <w:start w:val="1"/>
      <w:numFmt w:val="decimal"/>
      <w:lvlText w:val="%1.%2"/>
      <w:lvlJc w:val="left"/>
      <w:pPr>
        <w:ind w:left="828" w:hanging="708"/>
        <w:jc w:val="left"/>
      </w:pPr>
      <w:rPr>
        <w:rFonts w:ascii="Arial" w:eastAsia="Arial" w:hAnsi="Arial" w:cs="Arial" w:hint="default"/>
        <w:spacing w:val="-1"/>
        <w:w w:val="100"/>
        <w:sz w:val="22"/>
        <w:szCs w:val="22"/>
        <w:lang w:val="en-US" w:eastAsia="en-US" w:bidi="en-US"/>
      </w:rPr>
    </w:lvl>
    <w:lvl w:ilvl="2">
      <w:numFmt w:val="bullet"/>
      <w:lvlText w:val="•"/>
      <w:lvlJc w:val="left"/>
      <w:pPr>
        <w:ind w:left="2773" w:hanging="708"/>
      </w:pPr>
      <w:rPr>
        <w:rFonts w:hint="default"/>
        <w:lang w:val="en-US" w:eastAsia="en-US" w:bidi="en-US"/>
      </w:rPr>
    </w:lvl>
    <w:lvl w:ilvl="3">
      <w:numFmt w:val="bullet"/>
      <w:lvlText w:val="•"/>
      <w:lvlJc w:val="left"/>
      <w:pPr>
        <w:ind w:left="3749" w:hanging="708"/>
      </w:pPr>
      <w:rPr>
        <w:rFonts w:hint="default"/>
        <w:lang w:val="en-US" w:eastAsia="en-US" w:bidi="en-US"/>
      </w:rPr>
    </w:lvl>
    <w:lvl w:ilvl="4">
      <w:numFmt w:val="bullet"/>
      <w:lvlText w:val="•"/>
      <w:lvlJc w:val="left"/>
      <w:pPr>
        <w:ind w:left="4726" w:hanging="708"/>
      </w:pPr>
      <w:rPr>
        <w:rFonts w:hint="default"/>
        <w:lang w:val="en-US" w:eastAsia="en-US" w:bidi="en-US"/>
      </w:rPr>
    </w:lvl>
    <w:lvl w:ilvl="5">
      <w:numFmt w:val="bullet"/>
      <w:lvlText w:val="•"/>
      <w:lvlJc w:val="left"/>
      <w:pPr>
        <w:ind w:left="5703" w:hanging="708"/>
      </w:pPr>
      <w:rPr>
        <w:rFonts w:hint="default"/>
        <w:lang w:val="en-US" w:eastAsia="en-US" w:bidi="en-US"/>
      </w:rPr>
    </w:lvl>
    <w:lvl w:ilvl="6">
      <w:numFmt w:val="bullet"/>
      <w:lvlText w:val="•"/>
      <w:lvlJc w:val="left"/>
      <w:pPr>
        <w:ind w:left="6679" w:hanging="708"/>
      </w:pPr>
      <w:rPr>
        <w:rFonts w:hint="default"/>
        <w:lang w:val="en-US" w:eastAsia="en-US" w:bidi="en-US"/>
      </w:rPr>
    </w:lvl>
    <w:lvl w:ilvl="7">
      <w:numFmt w:val="bullet"/>
      <w:lvlText w:val="•"/>
      <w:lvlJc w:val="left"/>
      <w:pPr>
        <w:ind w:left="7656" w:hanging="708"/>
      </w:pPr>
      <w:rPr>
        <w:rFonts w:hint="default"/>
        <w:lang w:val="en-US" w:eastAsia="en-US" w:bidi="en-US"/>
      </w:rPr>
    </w:lvl>
    <w:lvl w:ilvl="8">
      <w:numFmt w:val="bullet"/>
      <w:lvlText w:val="•"/>
      <w:lvlJc w:val="left"/>
      <w:pPr>
        <w:ind w:left="8633" w:hanging="708"/>
      </w:pPr>
      <w:rPr>
        <w:rFonts w:hint="default"/>
        <w:lang w:val="en-US" w:eastAsia="en-US" w:bidi="en-US"/>
      </w:rPr>
    </w:lvl>
  </w:abstractNum>
  <w:abstractNum w:abstractNumId="61" w15:restartNumberingAfterBreak="0">
    <w:nsid w:val="75186950"/>
    <w:multiLevelType w:val="multilevel"/>
    <w:tmpl w:val="E4A075E8"/>
    <w:lvl w:ilvl="0">
      <w:start w:val="8"/>
      <w:numFmt w:val="decimal"/>
      <w:lvlText w:val="%1"/>
      <w:lvlJc w:val="left"/>
      <w:pPr>
        <w:ind w:left="840" w:hanging="720"/>
        <w:jc w:val="left"/>
      </w:pPr>
      <w:rPr>
        <w:rFonts w:hint="default"/>
        <w:lang w:val="en-US" w:eastAsia="en-US" w:bidi="en-US"/>
      </w:rPr>
    </w:lvl>
    <w:lvl w:ilvl="1">
      <w:start w:val="1"/>
      <w:numFmt w:val="decimal"/>
      <w:lvlText w:val="%1.%2"/>
      <w:lvlJc w:val="left"/>
      <w:pPr>
        <w:ind w:left="84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789" w:hanging="720"/>
      </w:pPr>
      <w:rPr>
        <w:rFonts w:hint="default"/>
        <w:lang w:val="en-US" w:eastAsia="en-US" w:bidi="en-US"/>
      </w:rPr>
    </w:lvl>
    <w:lvl w:ilvl="3">
      <w:numFmt w:val="bullet"/>
      <w:lvlText w:val="•"/>
      <w:lvlJc w:val="left"/>
      <w:pPr>
        <w:ind w:left="3763" w:hanging="720"/>
      </w:pPr>
      <w:rPr>
        <w:rFonts w:hint="default"/>
        <w:lang w:val="en-US" w:eastAsia="en-US" w:bidi="en-US"/>
      </w:rPr>
    </w:lvl>
    <w:lvl w:ilvl="4">
      <w:numFmt w:val="bullet"/>
      <w:lvlText w:val="•"/>
      <w:lvlJc w:val="left"/>
      <w:pPr>
        <w:ind w:left="4738" w:hanging="720"/>
      </w:pPr>
      <w:rPr>
        <w:rFonts w:hint="default"/>
        <w:lang w:val="en-US" w:eastAsia="en-US" w:bidi="en-US"/>
      </w:rPr>
    </w:lvl>
    <w:lvl w:ilvl="5">
      <w:numFmt w:val="bullet"/>
      <w:lvlText w:val="•"/>
      <w:lvlJc w:val="left"/>
      <w:pPr>
        <w:ind w:left="5713" w:hanging="720"/>
      </w:pPr>
      <w:rPr>
        <w:rFonts w:hint="default"/>
        <w:lang w:val="en-US" w:eastAsia="en-US" w:bidi="en-US"/>
      </w:rPr>
    </w:lvl>
    <w:lvl w:ilvl="6">
      <w:numFmt w:val="bullet"/>
      <w:lvlText w:val="•"/>
      <w:lvlJc w:val="left"/>
      <w:pPr>
        <w:ind w:left="6687" w:hanging="720"/>
      </w:pPr>
      <w:rPr>
        <w:rFonts w:hint="default"/>
        <w:lang w:val="en-US" w:eastAsia="en-US" w:bidi="en-US"/>
      </w:rPr>
    </w:lvl>
    <w:lvl w:ilvl="7">
      <w:numFmt w:val="bullet"/>
      <w:lvlText w:val="•"/>
      <w:lvlJc w:val="left"/>
      <w:pPr>
        <w:ind w:left="7662" w:hanging="720"/>
      </w:pPr>
      <w:rPr>
        <w:rFonts w:hint="default"/>
        <w:lang w:val="en-US" w:eastAsia="en-US" w:bidi="en-US"/>
      </w:rPr>
    </w:lvl>
    <w:lvl w:ilvl="8">
      <w:numFmt w:val="bullet"/>
      <w:lvlText w:val="•"/>
      <w:lvlJc w:val="left"/>
      <w:pPr>
        <w:ind w:left="8637" w:hanging="720"/>
      </w:pPr>
      <w:rPr>
        <w:rFonts w:hint="default"/>
        <w:lang w:val="en-US" w:eastAsia="en-US" w:bidi="en-US"/>
      </w:rPr>
    </w:lvl>
  </w:abstractNum>
  <w:abstractNum w:abstractNumId="62" w15:restartNumberingAfterBreak="0">
    <w:nsid w:val="76126D0D"/>
    <w:multiLevelType w:val="multilevel"/>
    <w:tmpl w:val="D870BAA4"/>
    <w:lvl w:ilvl="0">
      <w:start w:val="1"/>
      <w:numFmt w:val="decimal"/>
      <w:lvlText w:val="%1."/>
      <w:lvlJc w:val="left"/>
      <w:pPr>
        <w:ind w:left="547" w:hanging="428"/>
        <w:jc w:val="left"/>
      </w:pPr>
      <w:rPr>
        <w:rFonts w:ascii="Arial" w:eastAsia="Arial" w:hAnsi="Arial" w:cs="Arial" w:hint="default"/>
        <w:spacing w:val="-1"/>
        <w:w w:val="100"/>
        <w:sz w:val="22"/>
        <w:szCs w:val="22"/>
        <w:lang w:val="en-US" w:eastAsia="en-US" w:bidi="en-US"/>
      </w:rPr>
    </w:lvl>
    <w:lvl w:ilvl="1">
      <w:start w:val="1"/>
      <w:numFmt w:val="decimal"/>
      <w:lvlText w:val="%1.%2"/>
      <w:lvlJc w:val="left"/>
      <w:pPr>
        <w:ind w:left="1253" w:hanging="413"/>
        <w:jc w:val="left"/>
      </w:pPr>
      <w:rPr>
        <w:rFonts w:ascii="Arial" w:eastAsia="Arial" w:hAnsi="Arial" w:cs="Arial" w:hint="default"/>
        <w:spacing w:val="-1"/>
        <w:w w:val="100"/>
        <w:sz w:val="22"/>
        <w:szCs w:val="22"/>
        <w:lang w:val="en-US" w:eastAsia="en-US" w:bidi="en-US"/>
      </w:rPr>
    </w:lvl>
    <w:lvl w:ilvl="2">
      <w:numFmt w:val="bullet"/>
      <w:lvlText w:val="•"/>
      <w:lvlJc w:val="left"/>
      <w:pPr>
        <w:ind w:left="2296" w:hanging="413"/>
      </w:pPr>
      <w:rPr>
        <w:rFonts w:hint="default"/>
        <w:lang w:val="en-US" w:eastAsia="en-US" w:bidi="en-US"/>
      </w:rPr>
    </w:lvl>
    <w:lvl w:ilvl="3">
      <w:numFmt w:val="bullet"/>
      <w:lvlText w:val="•"/>
      <w:lvlJc w:val="left"/>
      <w:pPr>
        <w:ind w:left="3332" w:hanging="413"/>
      </w:pPr>
      <w:rPr>
        <w:rFonts w:hint="default"/>
        <w:lang w:val="en-US" w:eastAsia="en-US" w:bidi="en-US"/>
      </w:rPr>
    </w:lvl>
    <w:lvl w:ilvl="4">
      <w:numFmt w:val="bullet"/>
      <w:lvlText w:val="•"/>
      <w:lvlJc w:val="left"/>
      <w:pPr>
        <w:ind w:left="4368" w:hanging="413"/>
      </w:pPr>
      <w:rPr>
        <w:rFonts w:hint="default"/>
        <w:lang w:val="en-US" w:eastAsia="en-US" w:bidi="en-US"/>
      </w:rPr>
    </w:lvl>
    <w:lvl w:ilvl="5">
      <w:numFmt w:val="bullet"/>
      <w:lvlText w:val="•"/>
      <w:lvlJc w:val="left"/>
      <w:pPr>
        <w:ind w:left="5405" w:hanging="413"/>
      </w:pPr>
      <w:rPr>
        <w:rFonts w:hint="default"/>
        <w:lang w:val="en-US" w:eastAsia="en-US" w:bidi="en-US"/>
      </w:rPr>
    </w:lvl>
    <w:lvl w:ilvl="6">
      <w:numFmt w:val="bullet"/>
      <w:lvlText w:val="•"/>
      <w:lvlJc w:val="left"/>
      <w:pPr>
        <w:ind w:left="6441" w:hanging="413"/>
      </w:pPr>
      <w:rPr>
        <w:rFonts w:hint="default"/>
        <w:lang w:val="en-US" w:eastAsia="en-US" w:bidi="en-US"/>
      </w:rPr>
    </w:lvl>
    <w:lvl w:ilvl="7">
      <w:numFmt w:val="bullet"/>
      <w:lvlText w:val="•"/>
      <w:lvlJc w:val="left"/>
      <w:pPr>
        <w:ind w:left="7477" w:hanging="413"/>
      </w:pPr>
      <w:rPr>
        <w:rFonts w:hint="default"/>
        <w:lang w:val="en-US" w:eastAsia="en-US" w:bidi="en-US"/>
      </w:rPr>
    </w:lvl>
    <w:lvl w:ilvl="8">
      <w:numFmt w:val="bullet"/>
      <w:lvlText w:val="•"/>
      <w:lvlJc w:val="left"/>
      <w:pPr>
        <w:ind w:left="8513" w:hanging="413"/>
      </w:pPr>
      <w:rPr>
        <w:rFonts w:hint="default"/>
        <w:lang w:val="en-US" w:eastAsia="en-US" w:bidi="en-US"/>
      </w:rPr>
    </w:lvl>
  </w:abstractNum>
  <w:abstractNum w:abstractNumId="63" w15:restartNumberingAfterBreak="0">
    <w:nsid w:val="77BA6334"/>
    <w:multiLevelType w:val="hybridMultilevel"/>
    <w:tmpl w:val="2E0E20D6"/>
    <w:lvl w:ilvl="0" w:tplc="2FFE9814">
      <w:start w:val="1"/>
      <w:numFmt w:val="decimal"/>
      <w:lvlText w:val="%1."/>
      <w:lvlJc w:val="left"/>
      <w:pPr>
        <w:ind w:left="403" w:hanging="284"/>
        <w:jc w:val="left"/>
      </w:pPr>
      <w:rPr>
        <w:rFonts w:ascii="Arial" w:eastAsia="Arial" w:hAnsi="Arial" w:cs="Arial" w:hint="default"/>
        <w:spacing w:val="-1"/>
        <w:w w:val="100"/>
        <w:sz w:val="22"/>
        <w:szCs w:val="22"/>
        <w:lang w:val="en-US" w:eastAsia="en-US" w:bidi="en-US"/>
      </w:rPr>
    </w:lvl>
    <w:lvl w:ilvl="1" w:tplc="B14C3CBA">
      <w:numFmt w:val="bullet"/>
      <w:lvlText w:val="•"/>
      <w:lvlJc w:val="left"/>
      <w:pPr>
        <w:ind w:left="1418" w:hanging="284"/>
      </w:pPr>
      <w:rPr>
        <w:rFonts w:hint="default"/>
        <w:lang w:val="en-US" w:eastAsia="en-US" w:bidi="en-US"/>
      </w:rPr>
    </w:lvl>
    <w:lvl w:ilvl="2" w:tplc="39C8341A">
      <w:numFmt w:val="bullet"/>
      <w:lvlText w:val="•"/>
      <w:lvlJc w:val="left"/>
      <w:pPr>
        <w:ind w:left="2437" w:hanging="284"/>
      </w:pPr>
      <w:rPr>
        <w:rFonts w:hint="default"/>
        <w:lang w:val="en-US" w:eastAsia="en-US" w:bidi="en-US"/>
      </w:rPr>
    </w:lvl>
    <w:lvl w:ilvl="3" w:tplc="3B6861A8">
      <w:numFmt w:val="bullet"/>
      <w:lvlText w:val="•"/>
      <w:lvlJc w:val="left"/>
      <w:pPr>
        <w:ind w:left="3455" w:hanging="284"/>
      </w:pPr>
      <w:rPr>
        <w:rFonts w:hint="default"/>
        <w:lang w:val="en-US" w:eastAsia="en-US" w:bidi="en-US"/>
      </w:rPr>
    </w:lvl>
    <w:lvl w:ilvl="4" w:tplc="D31A33D0">
      <w:numFmt w:val="bullet"/>
      <w:lvlText w:val="•"/>
      <w:lvlJc w:val="left"/>
      <w:pPr>
        <w:ind w:left="4474" w:hanging="284"/>
      </w:pPr>
      <w:rPr>
        <w:rFonts w:hint="default"/>
        <w:lang w:val="en-US" w:eastAsia="en-US" w:bidi="en-US"/>
      </w:rPr>
    </w:lvl>
    <w:lvl w:ilvl="5" w:tplc="2F5AE5D4">
      <w:numFmt w:val="bullet"/>
      <w:lvlText w:val="•"/>
      <w:lvlJc w:val="left"/>
      <w:pPr>
        <w:ind w:left="5493" w:hanging="284"/>
      </w:pPr>
      <w:rPr>
        <w:rFonts w:hint="default"/>
        <w:lang w:val="en-US" w:eastAsia="en-US" w:bidi="en-US"/>
      </w:rPr>
    </w:lvl>
    <w:lvl w:ilvl="6" w:tplc="7F7ADD64">
      <w:numFmt w:val="bullet"/>
      <w:lvlText w:val="•"/>
      <w:lvlJc w:val="left"/>
      <w:pPr>
        <w:ind w:left="6511" w:hanging="284"/>
      </w:pPr>
      <w:rPr>
        <w:rFonts w:hint="default"/>
        <w:lang w:val="en-US" w:eastAsia="en-US" w:bidi="en-US"/>
      </w:rPr>
    </w:lvl>
    <w:lvl w:ilvl="7" w:tplc="F98C0898">
      <w:numFmt w:val="bullet"/>
      <w:lvlText w:val="•"/>
      <w:lvlJc w:val="left"/>
      <w:pPr>
        <w:ind w:left="7530" w:hanging="284"/>
      </w:pPr>
      <w:rPr>
        <w:rFonts w:hint="default"/>
        <w:lang w:val="en-US" w:eastAsia="en-US" w:bidi="en-US"/>
      </w:rPr>
    </w:lvl>
    <w:lvl w:ilvl="8" w:tplc="0DB8CFB0">
      <w:numFmt w:val="bullet"/>
      <w:lvlText w:val="•"/>
      <w:lvlJc w:val="left"/>
      <w:pPr>
        <w:ind w:left="8549" w:hanging="284"/>
      </w:pPr>
      <w:rPr>
        <w:rFonts w:hint="default"/>
        <w:lang w:val="en-US" w:eastAsia="en-US" w:bidi="en-US"/>
      </w:rPr>
    </w:lvl>
  </w:abstractNum>
  <w:abstractNum w:abstractNumId="64" w15:restartNumberingAfterBreak="0">
    <w:nsid w:val="78994FFE"/>
    <w:multiLevelType w:val="hybridMultilevel"/>
    <w:tmpl w:val="37BC70B6"/>
    <w:lvl w:ilvl="0" w:tplc="5BF2D604">
      <w:numFmt w:val="bullet"/>
      <w:lvlText w:val="-"/>
      <w:lvlJc w:val="left"/>
      <w:pPr>
        <w:ind w:left="812" w:hanging="305"/>
      </w:pPr>
      <w:rPr>
        <w:rFonts w:ascii="Arial" w:eastAsia="Arial" w:hAnsi="Arial" w:cs="Arial" w:hint="default"/>
        <w:w w:val="99"/>
        <w:sz w:val="20"/>
        <w:szCs w:val="20"/>
        <w:lang w:val="en-US" w:eastAsia="en-US" w:bidi="en-US"/>
      </w:rPr>
    </w:lvl>
    <w:lvl w:ilvl="1" w:tplc="DC345164">
      <w:numFmt w:val="bullet"/>
      <w:lvlText w:val="•"/>
      <w:lvlJc w:val="left"/>
      <w:pPr>
        <w:ind w:left="1162" w:hanging="305"/>
      </w:pPr>
      <w:rPr>
        <w:rFonts w:hint="default"/>
        <w:lang w:val="en-US" w:eastAsia="en-US" w:bidi="en-US"/>
      </w:rPr>
    </w:lvl>
    <w:lvl w:ilvl="2" w:tplc="D9B6A0B6">
      <w:numFmt w:val="bullet"/>
      <w:lvlText w:val="•"/>
      <w:lvlJc w:val="left"/>
      <w:pPr>
        <w:ind w:left="1504" w:hanging="305"/>
      </w:pPr>
      <w:rPr>
        <w:rFonts w:hint="default"/>
        <w:lang w:val="en-US" w:eastAsia="en-US" w:bidi="en-US"/>
      </w:rPr>
    </w:lvl>
    <w:lvl w:ilvl="3" w:tplc="E138D89E">
      <w:numFmt w:val="bullet"/>
      <w:lvlText w:val="•"/>
      <w:lvlJc w:val="left"/>
      <w:pPr>
        <w:ind w:left="1846" w:hanging="305"/>
      </w:pPr>
      <w:rPr>
        <w:rFonts w:hint="default"/>
        <w:lang w:val="en-US" w:eastAsia="en-US" w:bidi="en-US"/>
      </w:rPr>
    </w:lvl>
    <w:lvl w:ilvl="4" w:tplc="B8D088E4">
      <w:numFmt w:val="bullet"/>
      <w:lvlText w:val="•"/>
      <w:lvlJc w:val="left"/>
      <w:pPr>
        <w:ind w:left="2188" w:hanging="305"/>
      </w:pPr>
      <w:rPr>
        <w:rFonts w:hint="default"/>
        <w:lang w:val="en-US" w:eastAsia="en-US" w:bidi="en-US"/>
      </w:rPr>
    </w:lvl>
    <w:lvl w:ilvl="5" w:tplc="F29042EE">
      <w:numFmt w:val="bullet"/>
      <w:lvlText w:val="•"/>
      <w:lvlJc w:val="left"/>
      <w:pPr>
        <w:ind w:left="2530" w:hanging="305"/>
      </w:pPr>
      <w:rPr>
        <w:rFonts w:hint="default"/>
        <w:lang w:val="en-US" w:eastAsia="en-US" w:bidi="en-US"/>
      </w:rPr>
    </w:lvl>
    <w:lvl w:ilvl="6" w:tplc="107A9E7C">
      <w:numFmt w:val="bullet"/>
      <w:lvlText w:val="•"/>
      <w:lvlJc w:val="left"/>
      <w:pPr>
        <w:ind w:left="2872" w:hanging="305"/>
      </w:pPr>
      <w:rPr>
        <w:rFonts w:hint="default"/>
        <w:lang w:val="en-US" w:eastAsia="en-US" w:bidi="en-US"/>
      </w:rPr>
    </w:lvl>
    <w:lvl w:ilvl="7" w:tplc="A1C481E0">
      <w:numFmt w:val="bullet"/>
      <w:lvlText w:val="•"/>
      <w:lvlJc w:val="left"/>
      <w:pPr>
        <w:ind w:left="3214" w:hanging="305"/>
      </w:pPr>
      <w:rPr>
        <w:rFonts w:hint="default"/>
        <w:lang w:val="en-US" w:eastAsia="en-US" w:bidi="en-US"/>
      </w:rPr>
    </w:lvl>
    <w:lvl w:ilvl="8" w:tplc="0E621BA4">
      <w:numFmt w:val="bullet"/>
      <w:lvlText w:val="•"/>
      <w:lvlJc w:val="left"/>
      <w:pPr>
        <w:ind w:left="3556" w:hanging="305"/>
      </w:pPr>
      <w:rPr>
        <w:rFonts w:hint="default"/>
        <w:lang w:val="en-US" w:eastAsia="en-US" w:bidi="en-US"/>
      </w:rPr>
    </w:lvl>
  </w:abstractNum>
  <w:abstractNum w:abstractNumId="65" w15:restartNumberingAfterBreak="0">
    <w:nsid w:val="798D6C7E"/>
    <w:multiLevelType w:val="hybridMultilevel"/>
    <w:tmpl w:val="CDD02D38"/>
    <w:lvl w:ilvl="0" w:tplc="285247A0">
      <w:numFmt w:val="bullet"/>
      <w:lvlText w:val="-"/>
      <w:lvlJc w:val="left"/>
      <w:pPr>
        <w:ind w:left="266" w:hanging="188"/>
      </w:pPr>
      <w:rPr>
        <w:rFonts w:ascii="Arial" w:eastAsia="Arial" w:hAnsi="Arial" w:cs="Arial" w:hint="default"/>
        <w:w w:val="99"/>
        <w:sz w:val="20"/>
        <w:szCs w:val="20"/>
        <w:lang w:val="en-US" w:eastAsia="en-US" w:bidi="en-US"/>
      </w:rPr>
    </w:lvl>
    <w:lvl w:ilvl="1" w:tplc="5C7C5DE6">
      <w:numFmt w:val="bullet"/>
      <w:lvlText w:val="•"/>
      <w:lvlJc w:val="left"/>
      <w:pPr>
        <w:ind w:left="613" w:hanging="188"/>
      </w:pPr>
      <w:rPr>
        <w:rFonts w:hint="default"/>
        <w:lang w:val="en-US" w:eastAsia="en-US" w:bidi="en-US"/>
      </w:rPr>
    </w:lvl>
    <w:lvl w:ilvl="2" w:tplc="D2BE4DDC">
      <w:numFmt w:val="bullet"/>
      <w:lvlText w:val="•"/>
      <w:lvlJc w:val="left"/>
      <w:pPr>
        <w:ind w:left="967" w:hanging="188"/>
      </w:pPr>
      <w:rPr>
        <w:rFonts w:hint="default"/>
        <w:lang w:val="en-US" w:eastAsia="en-US" w:bidi="en-US"/>
      </w:rPr>
    </w:lvl>
    <w:lvl w:ilvl="3" w:tplc="4F4A3E44">
      <w:numFmt w:val="bullet"/>
      <w:lvlText w:val="•"/>
      <w:lvlJc w:val="left"/>
      <w:pPr>
        <w:ind w:left="1321" w:hanging="188"/>
      </w:pPr>
      <w:rPr>
        <w:rFonts w:hint="default"/>
        <w:lang w:val="en-US" w:eastAsia="en-US" w:bidi="en-US"/>
      </w:rPr>
    </w:lvl>
    <w:lvl w:ilvl="4" w:tplc="045A4934">
      <w:numFmt w:val="bullet"/>
      <w:lvlText w:val="•"/>
      <w:lvlJc w:val="left"/>
      <w:pPr>
        <w:ind w:left="1674" w:hanging="188"/>
      </w:pPr>
      <w:rPr>
        <w:rFonts w:hint="default"/>
        <w:lang w:val="en-US" w:eastAsia="en-US" w:bidi="en-US"/>
      </w:rPr>
    </w:lvl>
    <w:lvl w:ilvl="5" w:tplc="9E12C49C">
      <w:numFmt w:val="bullet"/>
      <w:lvlText w:val="•"/>
      <w:lvlJc w:val="left"/>
      <w:pPr>
        <w:ind w:left="2028" w:hanging="188"/>
      </w:pPr>
      <w:rPr>
        <w:rFonts w:hint="default"/>
        <w:lang w:val="en-US" w:eastAsia="en-US" w:bidi="en-US"/>
      </w:rPr>
    </w:lvl>
    <w:lvl w:ilvl="6" w:tplc="104EE7DE">
      <w:numFmt w:val="bullet"/>
      <w:lvlText w:val="•"/>
      <w:lvlJc w:val="left"/>
      <w:pPr>
        <w:ind w:left="2382" w:hanging="188"/>
      </w:pPr>
      <w:rPr>
        <w:rFonts w:hint="default"/>
        <w:lang w:val="en-US" w:eastAsia="en-US" w:bidi="en-US"/>
      </w:rPr>
    </w:lvl>
    <w:lvl w:ilvl="7" w:tplc="D0922A82">
      <w:numFmt w:val="bullet"/>
      <w:lvlText w:val="•"/>
      <w:lvlJc w:val="left"/>
      <w:pPr>
        <w:ind w:left="2735" w:hanging="188"/>
      </w:pPr>
      <w:rPr>
        <w:rFonts w:hint="default"/>
        <w:lang w:val="en-US" w:eastAsia="en-US" w:bidi="en-US"/>
      </w:rPr>
    </w:lvl>
    <w:lvl w:ilvl="8" w:tplc="498E2DCA">
      <w:numFmt w:val="bullet"/>
      <w:lvlText w:val="•"/>
      <w:lvlJc w:val="left"/>
      <w:pPr>
        <w:ind w:left="3089" w:hanging="188"/>
      </w:pPr>
      <w:rPr>
        <w:rFonts w:hint="default"/>
        <w:lang w:val="en-US" w:eastAsia="en-US" w:bidi="en-US"/>
      </w:rPr>
    </w:lvl>
  </w:abstractNum>
  <w:abstractNum w:abstractNumId="66" w15:restartNumberingAfterBreak="0">
    <w:nsid w:val="7BB5342D"/>
    <w:multiLevelType w:val="multilevel"/>
    <w:tmpl w:val="CCA8EC2E"/>
    <w:lvl w:ilvl="0">
      <w:start w:val="19"/>
      <w:numFmt w:val="decimal"/>
      <w:lvlText w:val="%1"/>
      <w:lvlJc w:val="left"/>
      <w:pPr>
        <w:ind w:left="840" w:hanging="720"/>
        <w:jc w:val="left"/>
      </w:pPr>
      <w:rPr>
        <w:rFonts w:hint="default"/>
        <w:lang w:val="en-US" w:eastAsia="en-US" w:bidi="en-US"/>
      </w:rPr>
    </w:lvl>
    <w:lvl w:ilvl="1">
      <w:start w:val="1"/>
      <w:numFmt w:val="decimal"/>
      <w:lvlText w:val="%1.%2"/>
      <w:lvlJc w:val="left"/>
      <w:pPr>
        <w:ind w:left="84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789" w:hanging="720"/>
      </w:pPr>
      <w:rPr>
        <w:rFonts w:hint="default"/>
        <w:lang w:val="en-US" w:eastAsia="en-US" w:bidi="en-US"/>
      </w:rPr>
    </w:lvl>
    <w:lvl w:ilvl="3">
      <w:numFmt w:val="bullet"/>
      <w:lvlText w:val="•"/>
      <w:lvlJc w:val="left"/>
      <w:pPr>
        <w:ind w:left="3763" w:hanging="720"/>
      </w:pPr>
      <w:rPr>
        <w:rFonts w:hint="default"/>
        <w:lang w:val="en-US" w:eastAsia="en-US" w:bidi="en-US"/>
      </w:rPr>
    </w:lvl>
    <w:lvl w:ilvl="4">
      <w:numFmt w:val="bullet"/>
      <w:lvlText w:val="•"/>
      <w:lvlJc w:val="left"/>
      <w:pPr>
        <w:ind w:left="4738" w:hanging="720"/>
      </w:pPr>
      <w:rPr>
        <w:rFonts w:hint="default"/>
        <w:lang w:val="en-US" w:eastAsia="en-US" w:bidi="en-US"/>
      </w:rPr>
    </w:lvl>
    <w:lvl w:ilvl="5">
      <w:numFmt w:val="bullet"/>
      <w:lvlText w:val="•"/>
      <w:lvlJc w:val="left"/>
      <w:pPr>
        <w:ind w:left="5713" w:hanging="720"/>
      </w:pPr>
      <w:rPr>
        <w:rFonts w:hint="default"/>
        <w:lang w:val="en-US" w:eastAsia="en-US" w:bidi="en-US"/>
      </w:rPr>
    </w:lvl>
    <w:lvl w:ilvl="6">
      <w:numFmt w:val="bullet"/>
      <w:lvlText w:val="•"/>
      <w:lvlJc w:val="left"/>
      <w:pPr>
        <w:ind w:left="6687" w:hanging="720"/>
      </w:pPr>
      <w:rPr>
        <w:rFonts w:hint="default"/>
        <w:lang w:val="en-US" w:eastAsia="en-US" w:bidi="en-US"/>
      </w:rPr>
    </w:lvl>
    <w:lvl w:ilvl="7">
      <w:numFmt w:val="bullet"/>
      <w:lvlText w:val="•"/>
      <w:lvlJc w:val="left"/>
      <w:pPr>
        <w:ind w:left="7662" w:hanging="720"/>
      </w:pPr>
      <w:rPr>
        <w:rFonts w:hint="default"/>
        <w:lang w:val="en-US" w:eastAsia="en-US" w:bidi="en-US"/>
      </w:rPr>
    </w:lvl>
    <w:lvl w:ilvl="8">
      <w:numFmt w:val="bullet"/>
      <w:lvlText w:val="•"/>
      <w:lvlJc w:val="left"/>
      <w:pPr>
        <w:ind w:left="8637" w:hanging="720"/>
      </w:pPr>
      <w:rPr>
        <w:rFonts w:hint="default"/>
        <w:lang w:val="en-US" w:eastAsia="en-US" w:bidi="en-US"/>
      </w:rPr>
    </w:lvl>
  </w:abstractNum>
  <w:abstractNum w:abstractNumId="67" w15:restartNumberingAfterBreak="0">
    <w:nsid w:val="7BD45663"/>
    <w:multiLevelType w:val="multilevel"/>
    <w:tmpl w:val="DCD809BA"/>
    <w:lvl w:ilvl="0">
      <w:start w:val="14"/>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start w:val="1"/>
      <w:numFmt w:val="lowerLetter"/>
      <w:lvlText w:val="%3)"/>
      <w:lvlJc w:val="left"/>
      <w:pPr>
        <w:ind w:left="1253" w:hanging="425"/>
        <w:jc w:val="left"/>
      </w:pPr>
      <w:rPr>
        <w:rFonts w:ascii="Arial" w:eastAsia="Arial" w:hAnsi="Arial" w:cs="Arial" w:hint="default"/>
        <w:spacing w:val="-1"/>
        <w:w w:val="100"/>
        <w:sz w:val="22"/>
        <w:szCs w:val="22"/>
        <w:lang w:val="en-US" w:eastAsia="en-US" w:bidi="en-US"/>
      </w:rPr>
    </w:lvl>
    <w:lvl w:ilvl="3">
      <w:numFmt w:val="bullet"/>
      <w:lvlText w:val="•"/>
      <w:lvlJc w:val="left"/>
      <w:pPr>
        <w:ind w:left="3332" w:hanging="425"/>
      </w:pPr>
      <w:rPr>
        <w:rFonts w:hint="default"/>
        <w:lang w:val="en-US" w:eastAsia="en-US" w:bidi="en-US"/>
      </w:rPr>
    </w:lvl>
    <w:lvl w:ilvl="4">
      <w:numFmt w:val="bullet"/>
      <w:lvlText w:val="•"/>
      <w:lvlJc w:val="left"/>
      <w:pPr>
        <w:ind w:left="4368" w:hanging="425"/>
      </w:pPr>
      <w:rPr>
        <w:rFonts w:hint="default"/>
        <w:lang w:val="en-US" w:eastAsia="en-US" w:bidi="en-US"/>
      </w:rPr>
    </w:lvl>
    <w:lvl w:ilvl="5">
      <w:numFmt w:val="bullet"/>
      <w:lvlText w:val="•"/>
      <w:lvlJc w:val="left"/>
      <w:pPr>
        <w:ind w:left="5405" w:hanging="425"/>
      </w:pPr>
      <w:rPr>
        <w:rFonts w:hint="default"/>
        <w:lang w:val="en-US" w:eastAsia="en-US" w:bidi="en-US"/>
      </w:rPr>
    </w:lvl>
    <w:lvl w:ilvl="6">
      <w:numFmt w:val="bullet"/>
      <w:lvlText w:val="•"/>
      <w:lvlJc w:val="left"/>
      <w:pPr>
        <w:ind w:left="6441" w:hanging="425"/>
      </w:pPr>
      <w:rPr>
        <w:rFonts w:hint="default"/>
        <w:lang w:val="en-US" w:eastAsia="en-US" w:bidi="en-US"/>
      </w:rPr>
    </w:lvl>
    <w:lvl w:ilvl="7">
      <w:numFmt w:val="bullet"/>
      <w:lvlText w:val="•"/>
      <w:lvlJc w:val="left"/>
      <w:pPr>
        <w:ind w:left="7477" w:hanging="425"/>
      </w:pPr>
      <w:rPr>
        <w:rFonts w:hint="default"/>
        <w:lang w:val="en-US" w:eastAsia="en-US" w:bidi="en-US"/>
      </w:rPr>
    </w:lvl>
    <w:lvl w:ilvl="8">
      <w:numFmt w:val="bullet"/>
      <w:lvlText w:val="•"/>
      <w:lvlJc w:val="left"/>
      <w:pPr>
        <w:ind w:left="8513" w:hanging="425"/>
      </w:pPr>
      <w:rPr>
        <w:rFonts w:hint="default"/>
        <w:lang w:val="en-US" w:eastAsia="en-US" w:bidi="en-US"/>
      </w:rPr>
    </w:lvl>
  </w:abstractNum>
  <w:abstractNum w:abstractNumId="68" w15:restartNumberingAfterBreak="0">
    <w:nsid w:val="7BD5635B"/>
    <w:multiLevelType w:val="multilevel"/>
    <w:tmpl w:val="CCDA3FD6"/>
    <w:lvl w:ilvl="0">
      <w:start w:val="1"/>
      <w:numFmt w:val="decimal"/>
      <w:lvlText w:val="%1"/>
      <w:lvlJc w:val="left"/>
      <w:pPr>
        <w:ind w:left="120" w:hanging="720"/>
        <w:jc w:val="left"/>
      </w:pPr>
      <w:rPr>
        <w:rFonts w:hint="default"/>
        <w:lang w:val="en-US" w:eastAsia="en-US" w:bidi="en-US"/>
      </w:rPr>
    </w:lvl>
    <w:lvl w:ilvl="1">
      <w:start w:val="1"/>
      <w:numFmt w:val="decimal"/>
      <w:lvlText w:val="%1.%2"/>
      <w:lvlJc w:val="left"/>
      <w:pPr>
        <w:ind w:left="120" w:hanging="720"/>
        <w:jc w:val="left"/>
      </w:pPr>
      <w:rPr>
        <w:rFonts w:ascii="Arial" w:eastAsia="Arial" w:hAnsi="Arial" w:cs="Arial" w:hint="default"/>
        <w:spacing w:val="-1"/>
        <w:w w:val="100"/>
        <w:sz w:val="22"/>
        <w:szCs w:val="22"/>
        <w:lang w:val="en-US" w:eastAsia="en-US" w:bidi="en-US"/>
      </w:rPr>
    </w:lvl>
    <w:lvl w:ilvl="2">
      <w:numFmt w:val="bullet"/>
      <w:lvlText w:val="•"/>
      <w:lvlJc w:val="left"/>
      <w:pPr>
        <w:ind w:left="2213" w:hanging="720"/>
      </w:pPr>
      <w:rPr>
        <w:rFonts w:hint="default"/>
        <w:lang w:val="en-US" w:eastAsia="en-US" w:bidi="en-US"/>
      </w:rPr>
    </w:lvl>
    <w:lvl w:ilvl="3">
      <w:numFmt w:val="bullet"/>
      <w:lvlText w:val="•"/>
      <w:lvlJc w:val="left"/>
      <w:pPr>
        <w:ind w:left="3259" w:hanging="720"/>
      </w:pPr>
      <w:rPr>
        <w:rFonts w:hint="default"/>
        <w:lang w:val="en-US" w:eastAsia="en-US" w:bidi="en-US"/>
      </w:rPr>
    </w:lvl>
    <w:lvl w:ilvl="4">
      <w:numFmt w:val="bullet"/>
      <w:lvlText w:val="•"/>
      <w:lvlJc w:val="left"/>
      <w:pPr>
        <w:ind w:left="4306" w:hanging="720"/>
      </w:pPr>
      <w:rPr>
        <w:rFonts w:hint="default"/>
        <w:lang w:val="en-US" w:eastAsia="en-US" w:bidi="en-US"/>
      </w:rPr>
    </w:lvl>
    <w:lvl w:ilvl="5">
      <w:numFmt w:val="bullet"/>
      <w:lvlText w:val="•"/>
      <w:lvlJc w:val="left"/>
      <w:pPr>
        <w:ind w:left="5353" w:hanging="720"/>
      </w:pPr>
      <w:rPr>
        <w:rFonts w:hint="default"/>
        <w:lang w:val="en-US" w:eastAsia="en-US" w:bidi="en-US"/>
      </w:rPr>
    </w:lvl>
    <w:lvl w:ilvl="6">
      <w:numFmt w:val="bullet"/>
      <w:lvlText w:val="•"/>
      <w:lvlJc w:val="left"/>
      <w:pPr>
        <w:ind w:left="6399" w:hanging="720"/>
      </w:pPr>
      <w:rPr>
        <w:rFonts w:hint="default"/>
        <w:lang w:val="en-US" w:eastAsia="en-US" w:bidi="en-US"/>
      </w:rPr>
    </w:lvl>
    <w:lvl w:ilvl="7">
      <w:numFmt w:val="bullet"/>
      <w:lvlText w:val="•"/>
      <w:lvlJc w:val="left"/>
      <w:pPr>
        <w:ind w:left="7446" w:hanging="720"/>
      </w:pPr>
      <w:rPr>
        <w:rFonts w:hint="default"/>
        <w:lang w:val="en-US" w:eastAsia="en-US" w:bidi="en-US"/>
      </w:rPr>
    </w:lvl>
    <w:lvl w:ilvl="8">
      <w:numFmt w:val="bullet"/>
      <w:lvlText w:val="•"/>
      <w:lvlJc w:val="left"/>
      <w:pPr>
        <w:ind w:left="8493" w:hanging="720"/>
      </w:pPr>
      <w:rPr>
        <w:rFonts w:hint="default"/>
        <w:lang w:val="en-US" w:eastAsia="en-US" w:bidi="en-US"/>
      </w:rPr>
    </w:lvl>
  </w:abstractNum>
  <w:num w:numId="1" w16cid:durableId="1657688986">
    <w:abstractNumId w:val="41"/>
  </w:num>
  <w:num w:numId="2" w16cid:durableId="1519268484">
    <w:abstractNumId w:val="2"/>
  </w:num>
  <w:num w:numId="3" w16cid:durableId="2088842161">
    <w:abstractNumId w:val="14"/>
  </w:num>
  <w:num w:numId="4" w16cid:durableId="2051489074">
    <w:abstractNumId w:val="40"/>
  </w:num>
  <w:num w:numId="5" w16cid:durableId="1244024507">
    <w:abstractNumId w:val="5"/>
  </w:num>
  <w:num w:numId="6" w16cid:durableId="376929688">
    <w:abstractNumId w:val="52"/>
  </w:num>
  <w:num w:numId="7" w16cid:durableId="186214696">
    <w:abstractNumId w:val="30"/>
  </w:num>
  <w:num w:numId="8" w16cid:durableId="988948398">
    <w:abstractNumId w:val="10"/>
  </w:num>
  <w:num w:numId="9" w16cid:durableId="38628190">
    <w:abstractNumId w:val="34"/>
  </w:num>
  <w:num w:numId="10" w16cid:durableId="1912421745">
    <w:abstractNumId w:val="45"/>
  </w:num>
  <w:num w:numId="11" w16cid:durableId="823935286">
    <w:abstractNumId w:val="22"/>
  </w:num>
  <w:num w:numId="12" w16cid:durableId="322590549">
    <w:abstractNumId w:val="24"/>
  </w:num>
  <w:num w:numId="13" w16cid:durableId="1563366987">
    <w:abstractNumId w:val="53"/>
  </w:num>
  <w:num w:numId="14" w16cid:durableId="960651073">
    <w:abstractNumId w:val="15"/>
  </w:num>
  <w:num w:numId="15" w16cid:durableId="1230460854">
    <w:abstractNumId w:val="32"/>
  </w:num>
  <w:num w:numId="16" w16cid:durableId="2008244091">
    <w:abstractNumId w:val="6"/>
  </w:num>
  <w:num w:numId="17" w16cid:durableId="2037806944">
    <w:abstractNumId w:val="20"/>
  </w:num>
  <w:num w:numId="18" w16cid:durableId="1509252235">
    <w:abstractNumId w:val="47"/>
  </w:num>
  <w:num w:numId="19" w16cid:durableId="1133719622">
    <w:abstractNumId w:val="37"/>
  </w:num>
  <w:num w:numId="20" w16cid:durableId="1384405320">
    <w:abstractNumId w:val="54"/>
  </w:num>
  <w:num w:numId="21" w16cid:durableId="891892602">
    <w:abstractNumId w:val="35"/>
  </w:num>
  <w:num w:numId="22" w16cid:durableId="541672201">
    <w:abstractNumId w:val="49"/>
  </w:num>
  <w:num w:numId="23" w16cid:durableId="1422988317">
    <w:abstractNumId w:val="38"/>
  </w:num>
  <w:num w:numId="24" w16cid:durableId="991373700">
    <w:abstractNumId w:val="65"/>
  </w:num>
  <w:num w:numId="25" w16cid:durableId="1025985470">
    <w:abstractNumId w:val="26"/>
  </w:num>
  <w:num w:numId="26" w16cid:durableId="1825199127">
    <w:abstractNumId w:val="31"/>
  </w:num>
  <w:num w:numId="27" w16cid:durableId="1306660429">
    <w:abstractNumId w:val="42"/>
  </w:num>
  <w:num w:numId="28" w16cid:durableId="1268543222">
    <w:abstractNumId w:val="51"/>
  </w:num>
  <w:num w:numId="29" w16cid:durableId="1092045854">
    <w:abstractNumId w:val="43"/>
  </w:num>
  <w:num w:numId="30" w16cid:durableId="852842443">
    <w:abstractNumId w:val="0"/>
  </w:num>
  <w:num w:numId="31" w16cid:durableId="1468741227">
    <w:abstractNumId w:val="12"/>
  </w:num>
  <w:num w:numId="32" w16cid:durableId="293684510">
    <w:abstractNumId w:val="21"/>
  </w:num>
  <w:num w:numId="33" w16cid:durableId="1740440851">
    <w:abstractNumId w:val="59"/>
  </w:num>
  <w:num w:numId="34" w16cid:durableId="347176827">
    <w:abstractNumId w:val="7"/>
  </w:num>
  <w:num w:numId="35" w16cid:durableId="149638068">
    <w:abstractNumId w:val="64"/>
  </w:num>
  <w:num w:numId="36" w16cid:durableId="1368530181">
    <w:abstractNumId w:val="57"/>
  </w:num>
  <w:num w:numId="37" w16cid:durableId="659308356">
    <w:abstractNumId w:val="29"/>
  </w:num>
  <w:num w:numId="38" w16cid:durableId="429669712">
    <w:abstractNumId w:val="56"/>
  </w:num>
  <w:num w:numId="39" w16cid:durableId="1967929779">
    <w:abstractNumId w:val="16"/>
  </w:num>
  <w:num w:numId="40" w16cid:durableId="1805000491">
    <w:abstractNumId w:val="1"/>
  </w:num>
  <w:num w:numId="41" w16cid:durableId="306906758">
    <w:abstractNumId w:val="58"/>
  </w:num>
  <w:num w:numId="42" w16cid:durableId="897784014">
    <w:abstractNumId w:val="9"/>
  </w:num>
  <w:num w:numId="43" w16cid:durableId="249513288">
    <w:abstractNumId w:val="44"/>
  </w:num>
  <w:num w:numId="44" w16cid:durableId="2023780595">
    <w:abstractNumId w:val="60"/>
  </w:num>
  <w:num w:numId="45" w16cid:durableId="1207185016">
    <w:abstractNumId w:val="36"/>
  </w:num>
  <w:num w:numId="46" w16cid:durableId="354119832">
    <w:abstractNumId w:val="19"/>
  </w:num>
  <w:num w:numId="47" w16cid:durableId="247345424">
    <w:abstractNumId w:val="11"/>
  </w:num>
  <w:num w:numId="48" w16cid:durableId="455803095">
    <w:abstractNumId w:val="66"/>
  </w:num>
  <w:num w:numId="49" w16cid:durableId="1624730318">
    <w:abstractNumId w:val="33"/>
  </w:num>
  <w:num w:numId="50" w16cid:durableId="744307211">
    <w:abstractNumId w:val="46"/>
  </w:num>
  <w:num w:numId="51" w16cid:durableId="736198581">
    <w:abstractNumId w:val="18"/>
  </w:num>
  <w:num w:numId="52" w16cid:durableId="923883403">
    <w:abstractNumId w:val="13"/>
  </w:num>
  <w:num w:numId="53" w16cid:durableId="1174295690">
    <w:abstractNumId w:val="67"/>
  </w:num>
  <w:num w:numId="54" w16cid:durableId="1842238172">
    <w:abstractNumId w:val="27"/>
  </w:num>
  <w:num w:numId="55" w16cid:durableId="1525246881">
    <w:abstractNumId w:val="39"/>
  </w:num>
  <w:num w:numId="56" w16cid:durableId="1133475324">
    <w:abstractNumId w:val="25"/>
  </w:num>
  <w:num w:numId="57" w16cid:durableId="1430155979">
    <w:abstractNumId w:val="55"/>
  </w:num>
  <w:num w:numId="58" w16cid:durableId="1767115781">
    <w:abstractNumId w:val="61"/>
  </w:num>
  <w:num w:numId="59" w16cid:durableId="130829872">
    <w:abstractNumId w:val="8"/>
  </w:num>
  <w:num w:numId="60" w16cid:durableId="1127316358">
    <w:abstractNumId w:val="28"/>
  </w:num>
  <w:num w:numId="61" w16cid:durableId="586352682">
    <w:abstractNumId w:val="50"/>
  </w:num>
  <w:num w:numId="62" w16cid:durableId="1645701540">
    <w:abstractNumId w:val="4"/>
  </w:num>
  <w:num w:numId="63" w16cid:durableId="252013874">
    <w:abstractNumId w:val="48"/>
  </w:num>
  <w:num w:numId="64" w16cid:durableId="1457219499">
    <w:abstractNumId w:val="68"/>
  </w:num>
  <w:num w:numId="65" w16cid:durableId="2083674655">
    <w:abstractNumId w:val="23"/>
  </w:num>
  <w:num w:numId="66" w16cid:durableId="1545940668">
    <w:abstractNumId w:val="17"/>
  </w:num>
  <w:num w:numId="67" w16cid:durableId="1066880178">
    <w:abstractNumId w:val="63"/>
  </w:num>
  <w:num w:numId="68" w16cid:durableId="1758743311">
    <w:abstractNumId w:val="62"/>
  </w:num>
  <w:num w:numId="69" w16cid:durableId="1499150060">
    <w:abstractNumId w:val="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118"/>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757DA"/>
    <w:rsid w:val="0017311E"/>
    <w:rsid w:val="0033254E"/>
    <w:rsid w:val="003C0036"/>
    <w:rsid w:val="00C06C24"/>
    <w:rsid w:val="00D757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18"/>
    <o:shapelayout v:ext="edit">
      <o:idmap v:ext="edit" data="2"/>
    </o:shapelayout>
  </w:shapeDefaults>
  <w:decimalSymbol w:val=","/>
  <w:listSeparator w:val=";"/>
  <w14:docId w14:val="66CF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bidi="en-US"/>
    </w:rPr>
  </w:style>
  <w:style w:type="paragraph" w:styleId="Nadpis1">
    <w:name w:val="heading 1"/>
    <w:basedOn w:val="Normln"/>
    <w:uiPriority w:val="9"/>
    <w:qFormat/>
    <w:pPr>
      <w:spacing w:before="1"/>
      <w:ind w:left="120"/>
      <w:jc w:val="both"/>
      <w:outlineLvl w:val="0"/>
    </w:pPr>
    <w:rPr>
      <w:b/>
      <w:bCs/>
      <w:sz w:val="32"/>
      <w:szCs w:val="32"/>
    </w:rPr>
  </w:style>
  <w:style w:type="paragraph" w:styleId="Nadpis2">
    <w:name w:val="heading 2"/>
    <w:basedOn w:val="Normln"/>
    <w:uiPriority w:val="9"/>
    <w:unhideWhenUsed/>
    <w:qFormat/>
    <w:pPr>
      <w:ind w:left="388" w:hanging="269"/>
      <w:outlineLvl w:val="1"/>
    </w:pPr>
    <w:rPr>
      <w:b/>
      <w:bCs/>
      <w:sz w:val="24"/>
      <w:szCs w:val="24"/>
    </w:rPr>
  </w:style>
  <w:style w:type="paragraph" w:styleId="Nadpis3">
    <w:name w:val="heading 3"/>
    <w:basedOn w:val="Normln"/>
    <w:uiPriority w:val="9"/>
    <w:unhideWhenUsed/>
    <w:qFormat/>
    <w:pPr>
      <w:ind w:left="12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20"/>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33254E"/>
    <w:pPr>
      <w:tabs>
        <w:tab w:val="center" w:pos="4536"/>
        <w:tab w:val="right" w:pos="9072"/>
      </w:tabs>
    </w:pPr>
  </w:style>
  <w:style w:type="character" w:customStyle="1" w:styleId="ZhlavChar">
    <w:name w:val="Záhlaví Char"/>
    <w:basedOn w:val="Standardnpsmoodstavce"/>
    <w:link w:val="Zhlav"/>
    <w:uiPriority w:val="99"/>
    <w:rsid w:val="0033254E"/>
    <w:rPr>
      <w:rFonts w:ascii="Arial" w:eastAsia="Arial" w:hAnsi="Arial" w:cs="Arial"/>
      <w:lang w:bidi="en-US"/>
    </w:rPr>
  </w:style>
  <w:style w:type="paragraph" w:styleId="Zpat">
    <w:name w:val="footer"/>
    <w:basedOn w:val="Normln"/>
    <w:link w:val="ZpatChar"/>
    <w:uiPriority w:val="99"/>
    <w:unhideWhenUsed/>
    <w:rsid w:val="0033254E"/>
    <w:pPr>
      <w:tabs>
        <w:tab w:val="center" w:pos="4536"/>
        <w:tab w:val="right" w:pos="9072"/>
      </w:tabs>
    </w:pPr>
  </w:style>
  <w:style w:type="character" w:customStyle="1" w:styleId="ZpatChar">
    <w:name w:val="Zápatí Char"/>
    <w:basedOn w:val="Standardnpsmoodstavce"/>
    <w:link w:val="Zpat"/>
    <w:uiPriority w:val="99"/>
    <w:rsid w:val="0033254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operationAgreement@euipo.europa.eu" TargetMode="External"/><Relationship Id="rId13" Type="http://schemas.openxmlformats.org/officeDocument/2006/relationships/image" Target="media/image1.png"/><Relationship Id="rId18" Type="http://schemas.openxmlformats.org/officeDocument/2006/relationships/hyperlink" Target="mailto:ipscan@upv.gov.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c.europa.eu/info/funding-tenders/procedures-guidelines-tenders/information-contractors-and-beneficiaries/exchange-rate-inforeuro_en" TargetMode="External"/><Relationship Id="rId17" Type="http://schemas.openxmlformats.org/officeDocument/2006/relationships/hyperlink" Target="mailto:SMEFund@euipo.europa.eu"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info/funding-tenders/procedures-guidelines-tenders/information-contractors-and-beneficiaries/exchange-rate-inforeuro_en"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eur-lex.europa.eu/legal-content/EN/TXT/?uri=celex%3A32018R172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mdn.org/network/data-protection"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19564</Words>
  <Characters>115432</Characters>
  <Application>Microsoft Office Word</Application>
  <DocSecurity>0</DocSecurity>
  <Lines>961</Lines>
  <Paragraphs>269</Paragraphs>
  <ScaleCrop>false</ScaleCrop>
  <Company/>
  <LinksUpToDate>false</LinksUpToDate>
  <CharactersWithSpaces>134727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2025-12-18T09:18:00Z</dcterms:created>
  <dcterms:modified xsi:type="dcterms:W3CDTF">2025-12-18T09:18:00Z</dcterms:modified>
</cp:coreProperties>
</file>