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1C4D58A3" w14:textId="77777777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45F73">
        <w:rPr>
          <w:rFonts w:ascii="Arial" w:hAnsi="Arial" w:cs="Arial"/>
          <w:sz w:val="22"/>
          <w:szCs w:val="22"/>
        </w:rPr>
        <w:t>11a</w:t>
      </w:r>
      <w:proofErr w:type="gramEnd"/>
      <w:r w:rsidRPr="00945F73">
        <w:rPr>
          <w:rFonts w:ascii="Arial" w:hAnsi="Arial" w:cs="Arial"/>
          <w:sz w:val="22"/>
          <w:szCs w:val="22"/>
        </w:rPr>
        <w:t>, 130 00 Praha 3 – Žižkov, IČO: 013 12 774, Krajský pozemkový úřad pro Jihomoravský kraj, na adrese Hroznová 227/17, 603 00 Brno</w:t>
      </w:r>
    </w:p>
    <w:p w14:paraId="5E4E3683" w14:textId="0F42F63C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Zastoupená: Ing. Pav</w:t>
      </w:r>
      <w:r>
        <w:rPr>
          <w:rFonts w:ascii="Arial" w:hAnsi="Arial" w:cs="Arial"/>
          <w:sz w:val="22"/>
          <w:szCs w:val="22"/>
        </w:rPr>
        <w:t>lem</w:t>
      </w:r>
      <w:r w:rsidRPr="00945F73">
        <w:rPr>
          <w:rFonts w:ascii="Arial" w:hAnsi="Arial" w:cs="Arial"/>
          <w:sz w:val="22"/>
          <w:szCs w:val="22"/>
        </w:rPr>
        <w:t xml:space="preserve"> Zajíčkem, ředitelem KPÚ pro </w:t>
      </w:r>
      <w:proofErr w:type="spellStart"/>
      <w:r w:rsidRPr="00945F73">
        <w:rPr>
          <w:rFonts w:ascii="Arial" w:hAnsi="Arial" w:cs="Arial"/>
          <w:sz w:val="22"/>
          <w:szCs w:val="22"/>
        </w:rPr>
        <w:t>JmK</w:t>
      </w:r>
      <w:proofErr w:type="spellEnd"/>
    </w:p>
    <w:p w14:paraId="798E1C7F" w14:textId="44CE05CB" w:rsidR="00945F73" w:rsidRPr="00945F73" w:rsidRDefault="00945F73" w:rsidP="00945F73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>Ve smluvních záležitostech zastoupená: Ing. Pav</w:t>
      </w:r>
      <w:r>
        <w:rPr>
          <w:rFonts w:ascii="Arial" w:hAnsi="Arial" w:cs="Arial"/>
          <w:sz w:val="22"/>
          <w:szCs w:val="22"/>
        </w:rPr>
        <w:t>lem</w:t>
      </w:r>
      <w:r w:rsidRPr="00945F73">
        <w:rPr>
          <w:rFonts w:ascii="Arial" w:hAnsi="Arial" w:cs="Arial"/>
          <w:sz w:val="22"/>
          <w:szCs w:val="22"/>
        </w:rPr>
        <w:t xml:space="preserve"> Zajíčkem, ředitelem KPÚ pro </w:t>
      </w:r>
      <w:proofErr w:type="spellStart"/>
      <w:r w:rsidRPr="00945F73">
        <w:rPr>
          <w:rFonts w:ascii="Arial" w:hAnsi="Arial" w:cs="Arial"/>
          <w:sz w:val="22"/>
          <w:szCs w:val="22"/>
        </w:rPr>
        <w:t>JmK</w:t>
      </w:r>
      <w:proofErr w:type="spellEnd"/>
    </w:p>
    <w:p w14:paraId="12789E01" w14:textId="77777777" w:rsidR="00634530" w:rsidRPr="00634530" w:rsidRDefault="00945F73" w:rsidP="00634530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45F73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634530" w:rsidRPr="00634530">
        <w:rPr>
          <w:rFonts w:ascii="Arial" w:hAnsi="Arial" w:cs="Arial"/>
          <w:snapToGrid w:val="0"/>
          <w:sz w:val="22"/>
          <w:szCs w:val="22"/>
        </w:rPr>
        <w:t>Ing. Miroslava Priessnitzová, vedoucí pobočky Brno</w:t>
      </w:r>
    </w:p>
    <w:p w14:paraId="03360636" w14:textId="4F53A17E" w:rsidR="00E271B3" w:rsidRPr="002E0F64" w:rsidRDefault="00634530" w:rsidP="0063453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34530">
        <w:rPr>
          <w:rFonts w:ascii="Arial" w:hAnsi="Arial" w:cs="Arial"/>
          <w:snapToGrid w:val="0"/>
          <w:sz w:val="22"/>
          <w:szCs w:val="22"/>
        </w:rPr>
        <w:t xml:space="preserve">     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634530">
        <w:rPr>
          <w:rFonts w:ascii="Arial" w:hAnsi="Arial" w:cs="Arial"/>
          <w:snapToGrid w:val="0"/>
          <w:sz w:val="22"/>
          <w:szCs w:val="22"/>
        </w:rPr>
        <w:t xml:space="preserve">Ing. Barbora Jakubcová, odborný rada, pobočka </w:t>
      </w:r>
      <w:r>
        <w:rPr>
          <w:rFonts w:ascii="Arial" w:hAnsi="Arial" w:cs="Arial"/>
          <w:snapToGrid w:val="0"/>
          <w:sz w:val="22"/>
          <w:szCs w:val="22"/>
        </w:rPr>
        <w:t>B</w:t>
      </w:r>
      <w:r w:rsidRPr="00634530">
        <w:rPr>
          <w:rFonts w:ascii="Arial" w:hAnsi="Arial" w:cs="Arial"/>
          <w:snapToGrid w:val="0"/>
          <w:sz w:val="22"/>
          <w:szCs w:val="22"/>
        </w:rPr>
        <w:t>rno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11B5AA" w14:textId="77777777" w:rsidR="00457B85" w:rsidRDefault="00E271B3" w:rsidP="00E62550">
      <w:pPr>
        <w:tabs>
          <w:tab w:val="left" w:pos="4253"/>
        </w:tabs>
        <w:spacing w:before="120" w:after="12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457B85">
        <w:rPr>
          <w:rFonts w:ascii="Arial" w:hAnsi="Arial" w:cs="Arial"/>
          <w:sz w:val="22"/>
          <w:szCs w:val="22"/>
        </w:rPr>
        <w:tab/>
      </w:r>
      <w:r w:rsidR="00457B85" w:rsidRPr="00457B85">
        <w:rPr>
          <w:rFonts w:ascii="Arial" w:hAnsi="Arial" w:cs="Arial"/>
          <w:snapToGrid w:val="0"/>
          <w:sz w:val="22"/>
          <w:szCs w:val="22"/>
        </w:rPr>
        <w:t>+420 602 559 300 – Ing. Priessnitzová</w:t>
      </w:r>
      <w:r w:rsidR="00457B85" w:rsidRPr="00457B85">
        <w:rPr>
          <w:rFonts w:ascii="Arial" w:hAnsi="Arial" w:cs="Arial"/>
          <w:snapToGrid w:val="0"/>
          <w:sz w:val="22"/>
          <w:szCs w:val="22"/>
        </w:rPr>
        <w:tab/>
      </w:r>
      <w:r w:rsidR="00457B85" w:rsidRPr="00457B85">
        <w:rPr>
          <w:rFonts w:ascii="Arial" w:hAnsi="Arial" w:cs="Arial"/>
          <w:snapToGrid w:val="0"/>
          <w:sz w:val="22"/>
          <w:szCs w:val="22"/>
        </w:rPr>
        <w:tab/>
        <w:t>+420 724 521 225 – Ing. Jakubcová</w:t>
      </w:r>
    </w:p>
    <w:p w14:paraId="22CC0951" w14:textId="1EAC5D39" w:rsidR="00E271B3" w:rsidRPr="002E0F64" w:rsidRDefault="00E271B3" w:rsidP="00E62550">
      <w:p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A672D7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A672D7" w:rsidRPr="00A672D7">
        <w:rPr>
          <w:rFonts w:ascii="Arial" w:hAnsi="Arial" w:cs="Arial"/>
          <w:snapToGrid w:val="0"/>
          <w:sz w:val="22"/>
          <w:szCs w:val="22"/>
        </w:rPr>
        <w:t>brno.pk@spu.gov.cz</w:t>
      </w:r>
    </w:p>
    <w:p w14:paraId="088E35D5" w14:textId="0B4F40DE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ID datové schránky: </w:t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z49per3</w:t>
      </w:r>
    </w:p>
    <w:p w14:paraId="52B3D1D8" w14:textId="7A783E31" w:rsidR="00E271B3" w:rsidRPr="002E0F64" w:rsidRDefault="00E271B3" w:rsidP="00E62550">
      <w:pPr>
        <w:tabs>
          <w:tab w:val="left" w:pos="4253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E62550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Česká národní banka</w:t>
      </w:r>
    </w:p>
    <w:p w14:paraId="57861E6A" w14:textId="291FCC05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3723001/0710</w:t>
      </w:r>
    </w:p>
    <w:p w14:paraId="4F49A545" w14:textId="47584605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="00E62550">
        <w:rPr>
          <w:rFonts w:ascii="Arial" w:hAnsi="Arial" w:cs="Arial"/>
          <w:sz w:val="22"/>
          <w:szCs w:val="22"/>
        </w:rPr>
        <w:tab/>
      </w:r>
      <w:r w:rsidRPr="002E0F64">
        <w:rPr>
          <w:rFonts w:ascii="Arial" w:hAnsi="Arial" w:cs="Arial"/>
          <w:sz w:val="22"/>
          <w:szCs w:val="22"/>
        </w:rPr>
        <w:t>CZ01312774</w:t>
      </w:r>
      <w:r w:rsidR="00C57347">
        <w:rPr>
          <w:rFonts w:ascii="Arial" w:hAnsi="Arial" w:cs="Arial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C57347">
        <w:rPr>
          <w:rFonts w:ascii="Arial" w:hAnsi="Arial" w:cs="Arial"/>
          <w:sz w:val="22"/>
          <w:szCs w:val="22"/>
        </w:rPr>
        <w:t>není plátce DPH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0211295C" w14:textId="77777777" w:rsidR="00632096" w:rsidRPr="00B02667" w:rsidRDefault="00632096" w:rsidP="00B02667">
      <w:pPr>
        <w:pStyle w:val="Odstavecseseznamem"/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 w:rsidRPr="00B02667">
        <w:rPr>
          <w:rFonts w:ascii="Arial" w:hAnsi="Arial" w:cs="Arial"/>
          <w:b/>
          <w:sz w:val="22"/>
          <w:szCs w:val="22"/>
        </w:rPr>
        <w:t>AGERIS s.r.o.</w:t>
      </w:r>
    </w:p>
    <w:p w14:paraId="7988C3C5" w14:textId="77777777" w:rsidR="003155D6" w:rsidRDefault="003155D6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155D6">
        <w:rPr>
          <w:rFonts w:ascii="Arial" w:hAnsi="Arial" w:cs="Arial"/>
          <w:sz w:val="22"/>
          <w:szCs w:val="22"/>
        </w:rPr>
        <w:t>společnost založená a existující podle právního řádu České republiky, se sídlem Jeřábkova 1848/5, 602 00 Brno, IČO: 255 76 992, zapsaná v obchodním rejstříku vedeném u Krajského soudu v Brně, oddíl C, vložka 35034</w:t>
      </w:r>
    </w:p>
    <w:p w14:paraId="4382AAC7" w14:textId="1CE70938" w:rsidR="003155D6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E62550">
        <w:rPr>
          <w:rFonts w:ascii="Arial" w:hAnsi="Arial" w:cs="Arial"/>
          <w:snapToGrid w:val="0"/>
          <w:sz w:val="22"/>
          <w:szCs w:val="22"/>
        </w:rPr>
        <w:tab/>
      </w:r>
      <w:r w:rsidR="003155D6" w:rsidRPr="00E62550">
        <w:rPr>
          <w:rFonts w:ascii="Arial" w:hAnsi="Arial" w:cs="Arial"/>
          <w:snapToGrid w:val="0"/>
          <w:sz w:val="22"/>
          <w:szCs w:val="22"/>
        </w:rPr>
        <w:t>RNDr. Josefem Glosem, jednatelem spol.</w:t>
      </w:r>
    </w:p>
    <w:p w14:paraId="425278F6" w14:textId="0C2F53A9" w:rsidR="00E271B3" w:rsidRDefault="00E271B3" w:rsidP="0096357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="00E62550">
        <w:rPr>
          <w:rFonts w:ascii="Arial" w:hAnsi="Arial" w:cs="Arial"/>
          <w:bCs/>
          <w:sz w:val="22"/>
          <w:szCs w:val="22"/>
        </w:rPr>
        <w:tab/>
      </w:r>
      <w:r w:rsidR="009E4239" w:rsidRPr="00E62550">
        <w:rPr>
          <w:rFonts w:ascii="Arial" w:hAnsi="Arial" w:cs="Arial"/>
          <w:snapToGrid w:val="0"/>
          <w:sz w:val="22"/>
          <w:szCs w:val="22"/>
        </w:rPr>
        <w:t>RNDr. Josefem Glosem, jednatelem spol.</w:t>
      </w:r>
    </w:p>
    <w:p w14:paraId="2F6AB924" w14:textId="5137D1C4" w:rsidR="0041293F" w:rsidRPr="002E0F64" w:rsidRDefault="0041293F" w:rsidP="00963578">
      <w:pPr>
        <w:spacing w:after="120"/>
        <w:ind w:left="3544" w:firstLine="709"/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napToGrid w:val="0"/>
          <w:sz w:val="22"/>
          <w:szCs w:val="22"/>
        </w:rPr>
        <w:t xml:space="preserve">Ing. Ivem </w:t>
      </w:r>
      <w:proofErr w:type="spellStart"/>
      <w:r w:rsidRPr="00E62550">
        <w:rPr>
          <w:rFonts w:ascii="Arial" w:hAnsi="Arial" w:cs="Arial"/>
          <w:snapToGrid w:val="0"/>
          <w:sz w:val="22"/>
          <w:szCs w:val="22"/>
        </w:rPr>
        <w:t>Podrackým</w:t>
      </w:r>
      <w:proofErr w:type="spellEnd"/>
      <w:r w:rsidRPr="00E62550">
        <w:rPr>
          <w:rFonts w:ascii="Arial" w:hAnsi="Arial" w:cs="Arial"/>
          <w:snapToGrid w:val="0"/>
          <w:sz w:val="22"/>
          <w:szCs w:val="22"/>
        </w:rPr>
        <w:t>, jednatelem spol.</w:t>
      </w:r>
    </w:p>
    <w:p w14:paraId="756D9442" w14:textId="65BE89A7" w:rsidR="009E4239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E62550">
        <w:rPr>
          <w:rFonts w:ascii="Arial" w:hAnsi="Arial" w:cs="Arial"/>
          <w:sz w:val="22"/>
          <w:szCs w:val="22"/>
        </w:rPr>
        <w:t xml:space="preserve">  </w:t>
      </w:r>
      <w:proofErr w:type="gramEnd"/>
      <w:r w:rsidR="00E6255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CF2A34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A6CF883" w14:textId="5CB3B683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68791BE" w14:textId="48E8C891" w:rsidR="00E62550" w:rsidRDefault="00E62550" w:rsidP="00E62550">
      <w:pPr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F2A34">
        <w:rPr>
          <w:rFonts w:ascii="Arial" w:hAnsi="Arial" w:cs="Arial"/>
          <w:sz w:val="22"/>
          <w:szCs w:val="22"/>
        </w:rPr>
        <w:t>xxxxx</w:t>
      </w:r>
      <w:proofErr w:type="spellEnd"/>
    </w:p>
    <w:p w14:paraId="2CC959F3" w14:textId="2DD8438B" w:rsidR="00E62550" w:rsidRDefault="00E62550" w:rsidP="00E62550">
      <w:pPr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CF2A34">
        <w:rPr>
          <w:rFonts w:ascii="Arial" w:hAnsi="Arial" w:cs="Arial"/>
          <w:sz w:val="22"/>
          <w:szCs w:val="22"/>
        </w:rPr>
        <w:t>xxxxx</w:t>
      </w:r>
      <w:proofErr w:type="spellEnd"/>
    </w:p>
    <w:p w14:paraId="0031CFBC" w14:textId="0C6C3FBF" w:rsidR="00E62550" w:rsidRDefault="00E62550" w:rsidP="00E62550">
      <w:pPr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z w:val="22"/>
          <w:szCs w:val="22"/>
        </w:rPr>
        <w:t xml:space="preserve">ID datové schránky: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2550">
        <w:rPr>
          <w:rFonts w:ascii="Arial" w:hAnsi="Arial" w:cs="Arial"/>
          <w:sz w:val="22"/>
          <w:szCs w:val="22"/>
        </w:rPr>
        <w:t xml:space="preserve">zr6jqnz </w:t>
      </w:r>
    </w:p>
    <w:p w14:paraId="39962341" w14:textId="72812A68" w:rsidR="00E62550" w:rsidRDefault="00E62550" w:rsidP="00E6255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b/>
          <w:bCs/>
          <w:sz w:val="22"/>
          <w:szCs w:val="22"/>
        </w:rPr>
        <w:t>Bankovní spojení:</w:t>
      </w:r>
      <w:r w:rsidRPr="00E625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2550">
        <w:rPr>
          <w:rFonts w:ascii="Arial" w:hAnsi="Arial" w:cs="Arial"/>
          <w:sz w:val="22"/>
          <w:szCs w:val="22"/>
        </w:rPr>
        <w:t xml:space="preserve">ČSOB a.s. </w:t>
      </w:r>
    </w:p>
    <w:p w14:paraId="79F6CF7C" w14:textId="2DC278DB" w:rsidR="00E62550" w:rsidRDefault="00E62550" w:rsidP="00E62550">
      <w:pPr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2550">
        <w:rPr>
          <w:rFonts w:ascii="Arial" w:hAnsi="Arial" w:cs="Arial"/>
          <w:sz w:val="22"/>
          <w:szCs w:val="22"/>
        </w:rPr>
        <w:t xml:space="preserve">382293143/0300 </w:t>
      </w:r>
    </w:p>
    <w:p w14:paraId="74BC3567" w14:textId="244371A4" w:rsidR="00E62550" w:rsidRDefault="00E62550" w:rsidP="00E62550">
      <w:pPr>
        <w:jc w:val="both"/>
        <w:rPr>
          <w:rFonts w:ascii="Arial" w:hAnsi="Arial" w:cs="Arial"/>
          <w:sz w:val="22"/>
          <w:szCs w:val="22"/>
        </w:rPr>
      </w:pPr>
      <w:r w:rsidRPr="00E62550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62550">
        <w:rPr>
          <w:rFonts w:ascii="Arial" w:hAnsi="Arial" w:cs="Arial"/>
          <w:sz w:val="22"/>
          <w:szCs w:val="22"/>
        </w:rPr>
        <w:t xml:space="preserve">CZ25576992 </w:t>
      </w:r>
    </w:p>
    <w:p w14:paraId="27BCD943" w14:textId="061F2ADE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5EFBC864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proofErr w:type="spellStart"/>
      <w:r w:rsidRPr="006D6C55">
        <w:rPr>
          <w:rFonts w:ascii="Arial" w:hAnsi="Arial" w:cs="Arial"/>
          <w:b/>
          <w:sz w:val="22"/>
          <w:szCs w:val="22"/>
        </w:rPr>
        <w:t>k.ú</w:t>
      </w:r>
      <w:proofErr w:type="spellEnd"/>
      <w:r w:rsidRPr="006D6C55">
        <w:rPr>
          <w:rFonts w:ascii="Arial" w:hAnsi="Arial" w:cs="Arial"/>
          <w:b/>
          <w:sz w:val="22"/>
          <w:szCs w:val="22"/>
        </w:rPr>
        <w:t xml:space="preserve">. </w:t>
      </w:r>
      <w:r w:rsidR="00D6456D">
        <w:rPr>
          <w:rFonts w:ascii="Arial" w:hAnsi="Arial" w:cs="Arial"/>
          <w:b/>
          <w:bCs/>
          <w:sz w:val="22"/>
          <w:szCs w:val="22"/>
        </w:rPr>
        <w:t>Mělčany</w:t>
      </w:r>
      <w:r w:rsidR="006B3538">
        <w:rPr>
          <w:rFonts w:ascii="Arial" w:hAnsi="Arial" w:cs="Arial"/>
          <w:b/>
          <w:bCs/>
          <w:sz w:val="22"/>
          <w:szCs w:val="22"/>
        </w:rPr>
        <w:t xml:space="preserve"> u Ivančic</w:t>
      </w:r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proofErr w:type="spellStart"/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>.ú</w:t>
      </w:r>
      <w:proofErr w:type="spellEnd"/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r w:rsidR="00D042B4" w:rsidRPr="006D6C55">
        <w:rPr>
          <w:rFonts w:ascii="Arial" w:hAnsi="Arial" w:cs="Arial"/>
          <w:sz w:val="22"/>
          <w:szCs w:val="22"/>
        </w:rPr>
        <w:t xml:space="preserve">“) </w:t>
      </w:r>
      <w:r w:rsidR="00D6456D">
        <w:rPr>
          <w:rFonts w:ascii="Arial" w:hAnsi="Arial" w:cs="Arial"/>
          <w:sz w:val="22"/>
          <w:szCs w:val="22"/>
        </w:rPr>
        <w:t>Mělčany</w:t>
      </w:r>
      <w:r w:rsidR="006B3538">
        <w:rPr>
          <w:rFonts w:ascii="Arial" w:hAnsi="Arial" w:cs="Arial"/>
          <w:sz w:val="22"/>
          <w:szCs w:val="22"/>
        </w:rPr>
        <w:t xml:space="preserve"> u Ivančic</w:t>
      </w:r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3624A85D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</w:t>
      </w:r>
      <w:r w:rsidR="00DA3DB3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</w:t>
      </w:r>
      <w:r w:rsidR="00D6456D">
        <w:rPr>
          <w:rFonts w:ascii="Arial" w:hAnsi="Arial" w:cs="Arial"/>
          <w:sz w:val="22"/>
          <w:szCs w:val="22"/>
        </w:rPr>
        <w:t>Mělčany</w:t>
      </w:r>
      <w:r w:rsidR="00275B9B">
        <w:rPr>
          <w:rFonts w:ascii="Arial" w:hAnsi="Arial" w:cs="Arial"/>
          <w:sz w:val="22"/>
          <w:szCs w:val="22"/>
        </w:rPr>
        <w:t xml:space="preserve"> u Ivančic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39F09D08" w:rsidR="00DC1D9A" w:rsidRPr="00FA1C47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</w:t>
      </w:r>
      <w:r w:rsidR="00FA1C47">
        <w:rPr>
          <w:rFonts w:ascii="Arial" w:hAnsi="Arial" w:cs="Arial"/>
          <w:sz w:val="22"/>
          <w:szCs w:val="22"/>
        </w:rPr>
        <w:t> </w:t>
      </w:r>
      <w:r w:rsidRPr="006D6C55">
        <w:rPr>
          <w:rFonts w:ascii="Arial" w:hAnsi="Arial" w:cs="Arial"/>
          <w:sz w:val="22"/>
          <w:szCs w:val="22"/>
        </w:rPr>
        <w:t>území</w:t>
      </w:r>
    </w:p>
    <w:p w14:paraId="55FED088" w14:textId="5710A07F" w:rsidR="00FA1C47" w:rsidRPr="00FA1C47" w:rsidRDefault="00425CDF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vypracování typologie území</w:t>
      </w:r>
    </w:p>
    <w:p w14:paraId="480A788A" w14:textId="77777777" w:rsidR="00FA1C47" w:rsidRPr="006D6C55" w:rsidRDefault="00FA1C47" w:rsidP="00FA1C47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>návrh rozsahu obvodu následných KoPÚ</w:t>
      </w:r>
    </w:p>
    <w:p w14:paraId="3BC9B106" w14:textId="77777777" w:rsidR="00425CDF" w:rsidRPr="006D6C55" w:rsidRDefault="00425CDF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60DC128C" w14:textId="77777777" w:rsidR="0038122F" w:rsidRDefault="0038122F" w:rsidP="0038122F">
      <w:pPr>
        <w:pStyle w:val="Bezmezer"/>
        <w:numPr>
          <w:ilvl w:val="1"/>
          <w:numId w:val="39"/>
        </w:numPr>
        <w:ind w:right="-1" w:hanging="4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typologie území</w:t>
      </w:r>
    </w:p>
    <w:p w14:paraId="6914DFD6" w14:textId="77777777" w:rsidR="0038122F" w:rsidRPr="006D6C55" w:rsidRDefault="0038122F" w:rsidP="0038122F">
      <w:pPr>
        <w:pStyle w:val="Bezmezer"/>
        <w:ind w:left="709"/>
        <w:jc w:val="both"/>
        <w:rPr>
          <w:rFonts w:ascii="Arial" w:hAnsi="Arial" w:cs="Arial"/>
          <w:sz w:val="22"/>
          <w:szCs w:val="22"/>
        </w:rPr>
      </w:pP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63555653" w:rsidR="00DC1D9A" w:rsidRPr="00751C35" w:rsidRDefault="00DC1D9A" w:rsidP="00F947AF">
      <w:pPr>
        <w:pStyle w:val="Bezmezer"/>
        <w:numPr>
          <w:ilvl w:val="0"/>
          <w:numId w:val="42"/>
        </w:numPr>
        <w:tabs>
          <w:tab w:val="left" w:pos="851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proofErr w:type="gramStart"/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</w:t>
      </w:r>
      <w:r w:rsidR="00D4226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>nejpozději</w:t>
      </w:r>
      <w:proofErr w:type="gramEnd"/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751C35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30126" w:rsidRPr="00751C35">
        <w:rPr>
          <w:rFonts w:ascii="Arial" w:hAnsi="Arial" w:cs="Arial"/>
          <w:b/>
          <w:bCs/>
          <w:sz w:val="22"/>
          <w:szCs w:val="22"/>
        </w:rPr>
        <w:t>29</w:t>
      </w:r>
      <w:r w:rsidR="00125448" w:rsidRPr="00751C35">
        <w:rPr>
          <w:rFonts w:ascii="Arial" w:hAnsi="Arial" w:cs="Arial"/>
          <w:b/>
          <w:bCs/>
          <w:sz w:val="22"/>
          <w:szCs w:val="22"/>
        </w:rPr>
        <w:t>.</w:t>
      </w:r>
      <w:r w:rsidR="00F947AF" w:rsidRPr="00751C35">
        <w:rPr>
          <w:rFonts w:ascii="Arial" w:hAnsi="Arial" w:cs="Arial"/>
          <w:b/>
          <w:bCs/>
          <w:sz w:val="22"/>
          <w:szCs w:val="22"/>
        </w:rPr>
        <w:t>5</w:t>
      </w:r>
      <w:r w:rsidR="00125448" w:rsidRPr="00751C35">
        <w:rPr>
          <w:rFonts w:ascii="Arial" w:hAnsi="Arial" w:cs="Arial"/>
          <w:b/>
          <w:bCs/>
          <w:sz w:val="22"/>
          <w:szCs w:val="22"/>
        </w:rPr>
        <w:t>.2026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5F7CED00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</w:t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nejpozději </w:t>
      </w:r>
      <w:r w:rsidRPr="00751C35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5930FF" w:rsidRPr="00751C35">
        <w:rPr>
          <w:rFonts w:ascii="Arial" w:hAnsi="Arial" w:cs="Arial"/>
          <w:b/>
          <w:sz w:val="22"/>
          <w:szCs w:val="22"/>
        </w:rPr>
        <w:t>3</w:t>
      </w:r>
      <w:r w:rsidR="00030126" w:rsidRPr="00751C35">
        <w:rPr>
          <w:rFonts w:ascii="Arial" w:hAnsi="Arial" w:cs="Arial"/>
          <w:b/>
          <w:sz w:val="22"/>
          <w:szCs w:val="22"/>
        </w:rPr>
        <w:t>1</w:t>
      </w:r>
      <w:r w:rsidR="005930FF" w:rsidRPr="00751C35">
        <w:rPr>
          <w:rFonts w:ascii="Arial" w:hAnsi="Arial" w:cs="Arial"/>
          <w:b/>
          <w:sz w:val="22"/>
          <w:szCs w:val="22"/>
        </w:rPr>
        <w:t>.</w:t>
      </w:r>
      <w:r w:rsidR="0053375C" w:rsidRPr="00751C35">
        <w:rPr>
          <w:rFonts w:ascii="Arial" w:hAnsi="Arial" w:cs="Arial"/>
          <w:b/>
          <w:sz w:val="22"/>
          <w:szCs w:val="22"/>
        </w:rPr>
        <w:t>3</w:t>
      </w:r>
      <w:r w:rsidR="005930FF" w:rsidRPr="00751C35">
        <w:rPr>
          <w:rFonts w:ascii="Arial" w:hAnsi="Arial" w:cs="Arial"/>
          <w:b/>
          <w:sz w:val="22"/>
          <w:szCs w:val="22"/>
        </w:rPr>
        <w:t>.2026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1851BD20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030126" w:rsidRPr="00751C35">
        <w:rPr>
          <w:rFonts w:ascii="Arial" w:hAnsi="Arial" w:cs="Arial"/>
          <w:sz w:val="22"/>
          <w:szCs w:val="22"/>
        </w:rPr>
        <w:t>10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66FDBC9B" w:rsidR="00DC1D9A" w:rsidRPr="00751C35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751C35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6E4114" w:rsidRPr="00751C35">
        <w:rPr>
          <w:rFonts w:ascii="Arial" w:hAnsi="Arial" w:cs="Arial"/>
          <w:b/>
          <w:bCs/>
          <w:sz w:val="22"/>
          <w:szCs w:val="22"/>
        </w:rPr>
        <w:t>3</w:t>
      </w:r>
      <w:r w:rsidR="004628E0" w:rsidRPr="00751C35">
        <w:rPr>
          <w:rFonts w:ascii="Arial" w:hAnsi="Arial" w:cs="Arial"/>
          <w:b/>
          <w:bCs/>
          <w:sz w:val="22"/>
          <w:szCs w:val="22"/>
        </w:rPr>
        <w:t>1</w:t>
      </w:r>
      <w:r w:rsidR="006E4114" w:rsidRPr="00751C35">
        <w:rPr>
          <w:rFonts w:ascii="Arial" w:hAnsi="Arial" w:cs="Arial"/>
          <w:b/>
          <w:bCs/>
          <w:sz w:val="22"/>
          <w:szCs w:val="22"/>
        </w:rPr>
        <w:t>.</w:t>
      </w:r>
      <w:r w:rsidR="004628E0" w:rsidRPr="00751C35">
        <w:rPr>
          <w:rFonts w:ascii="Arial" w:hAnsi="Arial" w:cs="Arial"/>
          <w:b/>
          <w:bCs/>
          <w:sz w:val="22"/>
          <w:szCs w:val="22"/>
        </w:rPr>
        <w:t>3</w:t>
      </w:r>
      <w:r w:rsidR="006E4114" w:rsidRPr="00751C35">
        <w:rPr>
          <w:rFonts w:ascii="Arial" w:hAnsi="Arial" w:cs="Arial"/>
          <w:b/>
          <w:bCs/>
          <w:sz w:val="22"/>
          <w:szCs w:val="22"/>
        </w:rPr>
        <w:t>.202</w:t>
      </w:r>
      <w:r w:rsidR="00926251" w:rsidRPr="00751C35">
        <w:rPr>
          <w:rFonts w:ascii="Arial" w:hAnsi="Arial" w:cs="Arial"/>
          <w:b/>
          <w:bCs/>
          <w:sz w:val="22"/>
          <w:szCs w:val="22"/>
        </w:rPr>
        <w:t>6</w:t>
      </w:r>
    </w:p>
    <w:p w14:paraId="72FE4AD6" w14:textId="4F07B641" w:rsidR="00DC1D9A" w:rsidRPr="00751C35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Cs w:val="0"/>
          <w:sz w:val="22"/>
          <w:szCs w:val="22"/>
        </w:rPr>
      </w:pPr>
      <w:r w:rsidRPr="00751C35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ab/>
      </w:r>
      <w:r w:rsidRPr="00751C35">
        <w:rPr>
          <w:rStyle w:val="Siln"/>
          <w:rFonts w:ascii="Arial" w:hAnsi="Arial" w:cs="Arial"/>
          <w:b w:val="0"/>
          <w:sz w:val="22"/>
          <w:szCs w:val="22"/>
        </w:rPr>
        <w:tab/>
      </w:r>
      <w:r w:rsidR="00926251" w:rsidRPr="00751C35">
        <w:rPr>
          <w:rStyle w:val="Siln"/>
          <w:rFonts w:ascii="Arial" w:hAnsi="Arial" w:cs="Arial"/>
          <w:b w:val="0"/>
          <w:sz w:val="22"/>
          <w:szCs w:val="22"/>
        </w:rPr>
        <w:t xml:space="preserve">       </w:t>
      </w:r>
      <w:r w:rsidR="00030126" w:rsidRPr="00751C35">
        <w:rPr>
          <w:rStyle w:val="Siln"/>
          <w:rFonts w:ascii="Arial" w:hAnsi="Arial" w:cs="Arial"/>
          <w:bCs w:val="0"/>
          <w:sz w:val="22"/>
          <w:szCs w:val="22"/>
        </w:rPr>
        <w:t>29</w:t>
      </w:r>
      <w:r w:rsidR="004628E0" w:rsidRPr="00751C35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F947AF" w:rsidRPr="00751C35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926251" w:rsidRPr="00751C35">
        <w:rPr>
          <w:rStyle w:val="Siln"/>
          <w:rFonts w:ascii="Arial" w:hAnsi="Arial" w:cs="Arial"/>
          <w:bCs w:val="0"/>
          <w:sz w:val="22"/>
          <w:szCs w:val="22"/>
        </w:rPr>
        <w:t>.2026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3BC66AE5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CB0E46">
        <w:rPr>
          <w:rFonts w:ascii="Arial" w:hAnsi="Arial" w:cs="Arial"/>
          <w:b/>
          <w:bCs/>
          <w:sz w:val="22"/>
          <w:szCs w:val="22"/>
        </w:rPr>
        <w:t>260</w:t>
      </w:r>
      <w:r w:rsidR="00D7542F">
        <w:rPr>
          <w:rFonts w:ascii="Arial" w:hAnsi="Arial" w:cs="Arial"/>
          <w:b/>
          <w:bCs/>
          <w:sz w:val="22"/>
          <w:szCs w:val="22"/>
        </w:rPr>
        <w:t> </w:t>
      </w:r>
      <w:r w:rsidR="00CB0E46">
        <w:rPr>
          <w:rFonts w:ascii="Arial" w:hAnsi="Arial" w:cs="Arial"/>
          <w:b/>
          <w:bCs/>
          <w:sz w:val="22"/>
          <w:szCs w:val="22"/>
        </w:rPr>
        <w:t>000</w:t>
      </w:r>
      <w:r w:rsidR="00D7542F">
        <w:rPr>
          <w:rFonts w:ascii="Arial" w:hAnsi="Arial" w:cs="Arial"/>
          <w:b/>
          <w:bCs/>
          <w:sz w:val="22"/>
          <w:szCs w:val="22"/>
        </w:rPr>
        <w:t>,</w:t>
      </w:r>
      <w:r w:rsidR="00CB0E46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70CA4228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D7542F">
        <w:rPr>
          <w:rStyle w:val="Siln"/>
          <w:rFonts w:ascii="Arial" w:hAnsi="Arial" w:cs="Arial"/>
          <w:sz w:val="22"/>
          <w:szCs w:val="22"/>
        </w:rPr>
        <w:t xml:space="preserve">  </w:t>
      </w:r>
      <w:r w:rsidR="00D7542F">
        <w:rPr>
          <w:rFonts w:ascii="Arial" w:hAnsi="Arial" w:cs="Arial"/>
          <w:b/>
          <w:bCs/>
          <w:sz w:val="22"/>
          <w:szCs w:val="22"/>
        </w:rPr>
        <w:t>54</w:t>
      </w:r>
      <w:proofErr w:type="gramEnd"/>
      <w:r w:rsidR="00D7542F">
        <w:rPr>
          <w:rFonts w:ascii="Arial" w:hAnsi="Arial" w:cs="Arial"/>
          <w:b/>
          <w:bCs/>
          <w:sz w:val="22"/>
          <w:szCs w:val="22"/>
        </w:rPr>
        <w:t> 600,00</w:t>
      </w:r>
      <w:r w:rsidR="005918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0E91CF80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5918B1">
        <w:rPr>
          <w:rStyle w:val="Siln"/>
          <w:rFonts w:ascii="Arial" w:hAnsi="Arial" w:cs="Arial"/>
          <w:sz w:val="22"/>
          <w:szCs w:val="22"/>
        </w:rPr>
        <w:tab/>
      </w:r>
      <w:r w:rsidR="00697A73">
        <w:rPr>
          <w:rFonts w:ascii="Arial" w:hAnsi="Arial" w:cs="Arial"/>
          <w:b/>
          <w:bCs/>
          <w:sz w:val="22"/>
          <w:szCs w:val="22"/>
        </w:rPr>
        <w:t xml:space="preserve">314 600,00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70AC82B1" w:rsidR="00DC1D9A" w:rsidRPr="00030126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30126">
        <w:rPr>
          <w:rFonts w:ascii="Arial" w:hAnsi="Arial" w:cs="Arial"/>
          <w:sz w:val="22"/>
          <w:szCs w:val="22"/>
        </w:rPr>
        <w:t xml:space="preserve">Fakturační adresou </w:t>
      </w:r>
      <w:r w:rsidR="00916636" w:rsidRPr="00030126">
        <w:rPr>
          <w:rFonts w:ascii="Arial" w:hAnsi="Arial" w:cs="Arial"/>
          <w:sz w:val="22"/>
          <w:szCs w:val="22"/>
        </w:rPr>
        <w:t>f</w:t>
      </w:r>
      <w:r w:rsidRPr="00030126">
        <w:rPr>
          <w:rFonts w:ascii="Arial" w:hAnsi="Arial" w:cs="Arial"/>
          <w:sz w:val="22"/>
          <w:szCs w:val="22"/>
        </w:rPr>
        <w:t>aktur bude vždy: Státní poz</w:t>
      </w:r>
      <w:r w:rsidR="008113D7" w:rsidRPr="00030126">
        <w:rPr>
          <w:rFonts w:ascii="Arial" w:hAnsi="Arial" w:cs="Arial"/>
          <w:sz w:val="22"/>
          <w:szCs w:val="22"/>
        </w:rPr>
        <w:t>e</w:t>
      </w:r>
      <w:r w:rsidRPr="00030126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030126">
        <w:rPr>
          <w:rFonts w:ascii="Arial" w:hAnsi="Arial" w:cs="Arial"/>
          <w:sz w:val="22"/>
          <w:szCs w:val="22"/>
        </w:rPr>
        <w:t>11a</w:t>
      </w:r>
      <w:proofErr w:type="gramEnd"/>
      <w:r w:rsidRPr="00030126">
        <w:rPr>
          <w:rFonts w:ascii="Arial" w:hAnsi="Arial" w:cs="Arial"/>
          <w:sz w:val="22"/>
          <w:szCs w:val="22"/>
        </w:rPr>
        <w:t>, 130</w:t>
      </w:r>
      <w:r w:rsidR="00030126">
        <w:rPr>
          <w:rFonts w:ascii="Arial" w:hAnsi="Arial" w:cs="Arial"/>
          <w:sz w:val="22"/>
          <w:szCs w:val="22"/>
        </w:rPr>
        <w:t> </w:t>
      </w:r>
      <w:r w:rsidRPr="00030126">
        <w:rPr>
          <w:rFonts w:ascii="Arial" w:hAnsi="Arial" w:cs="Arial"/>
          <w:sz w:val="22"/>
          <w:szCs w:val="22"/>
        </w:rPr>
        <w:t xml:space="preserve">00 Praha 3 – Žižkov, IČO: 01312774. </w:t>
      </w:r>
      <w:r w:rsidR="00DA51B9" w:rsidRPr="00030126">
        <w:rPr>
          <w:rFonts w:ascii="Arial" w:hAnsi="Arial" w:cs="Arial"/>
          <w:sz w:val="22"/>
          <w:szCs w:val="22"/>
        </w:rPr>
        <w:t xml:space="preserve">Na </w:t>
      </w:r>
      <w:r w:rsidR="00886E00" w:rsidRPr="00030126">
        <w:rPr>
          <w:rFonts w:ascii="Arial" w:hAnsi="Arial" w:cs="Arial"/>
          <w:sz w:val="22"/>
          <w:szCs w:val="22"/>
        </w:rPr>
        <w:t>f</w:t>
      </w:r>
      <w:r w:rsidR="00DA51B9" w:rsidRPr="00030126">
        <w:rPr>
          <w:rFonts w:ascii="Arial" w:hAnsi="Arial" w:cs="Arial"/>
          <w:sz w:val="22"/>
          <w:szCs w:val="22"/>
        </w:rPr>
        <w:t xml:space="preserve">aktuře bude uveden konečný příjemce plnění Díla: </w:t>
      </w:r>
      <w:r w:rsidR="00DA51B9" w:rsidRPr="00751C35">
        <w:rPr>
          <w:rFonts w:ascii="Arial" w:hAnsi="Arial" w:cs="Arial"/>
          <w:sz w:val="22"/>
          <w:szCs w:val="22"/>
        </w:rPr>
        <w:t xml:space="preserve">Pobočka </w:t>
      </w:r>
      <w:r w:rsidR="00030126" w:rsidRPr="00751C35">
        <w:rPr>
          <w:rFonts w:ascii="Arial" w:hAnsi="Arial" w:cs="Arial"/>
          <w:sz w:val="22"/>
          <w:szCs w:val="22"/>
        </w:rPr>
        <w:t>Brno</w:t>
      </w:r>
      <w:r w:rsidR="00DA51B9" w:rsidRPr="00751C35">
        <w:rPr>
          <w:rFonts w:ascii="Arial" w:hAnsi="Arial" w:cs="Arial"/>
          <w:sz w:val="22"/>
          <w:szCs w:val="22"/>
        </w:rPr>
        <w:t xml:space="preserve">, KPÚ pro </w:t>
      </w:r>
      <w:r w:rsidR="00030126" w:rsidRPr="00751C35">
        <w:rPr>
          <w:rFonts w:ascii="Arial" w:hAnsi="Arial" w:cs="Arial"/>
          <w:sz w:val="22"/>
          <w:szCs w:val="22"/>
        </w:rPr>
        <w:t>Jihomoravský kraj.</w:t>
      </w:r>
      <w:r w:rsidR="00030126">
        <w:rPr>
          <w:rFonts w:ascii="Arial" w:hAnsi="Arial" w:cs="Arial"/>
          <w:sz w:val="22"/>
          <w:szCs w:val="22"/>
        </w:rPr>
        <w:t xml:space="preserve"> </w:t>
      </w:r>
      <w:r w:rsidR="00DA51B9" w:rsidRPr="00030126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8" w:history="1">
        <w:r w:rsidR="00DA51B9" w:rsidRPr="00030126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030126">
        <w:rPr>
          <w:rFonts w:ascii="Arial" w:hAnsi="Arial" w:cs="Arial"/>
          <w:sz w:val="22"/>
          <w:szCs w:val="22"/>
        </w:rPr>
        <w:t>) Objednatele</w:t>
      </w:r>
      <w:r w:rsidR="0027398D" w:rsidRPr="00030126">
        <w:rPr>
          <w:rFonts w:ascii="Arial" w:hAnsi="Arial" w:cs="Arial"/>
          <w:sz w:val="22"/>
          <w:szCs w:val="22"/>
        </w:rPr>
        <w:t>.</w:t>
      </w:r>
      <w:r w:rsidR="0012004D" w:rsidRPr="00030126">
        <w:rPr>
          <w:rFonts w:ascii="Arial" w:hAnsi="Arial" w:cs="Arial"/>
          <w:sz w:val="22"/>
          <w:szCs w:val="22"/>
        </w:rPr>
        <w:t xml:space="preserve"> </w:t>
      </w:r>
      <w:r w:rsidR="00DC1D9A" w:rsidRPr="00030126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030126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030126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030126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030126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030126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030126">
        <w:rPr>
          <w:rStyle w:val="Siln"/>
          <w:rFonts w:ascii="Arial" w:hAnsi="Arial" w:cs="Arial"/>
          <w:b w:val="0"/>
          <w:sz w:val="22"/>
          <w:szCs w:val="22"/>
        </w:rPr>
        <w:t>přepracování. V</w:t>
      </w:r>
      <w:r w:rsidR="006D42C1" w:rsidRPr="00030126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030126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ve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637D73E6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36 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lastRenderedPageBreak/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030126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030126">
        <w:rPr>
          <w:rStyle w:val="Siln"/>
          <w:rFonts w:ascii="Arial" w:hAnsi="Arial" w:cs="Arial"/>
          <w:b w:val="0"/>
          <w:bCs w:val="0"/>
          <w:sz w:val="22"/>
          <w:szCs w:val="22"/>
        </w:rPr>
        <w:t>Smluvní strany tímto výslovně prohlašují, že tato Smlouva vyjadřuje jejich pravou a</w:t>
      </w:r>
      <w:r w:rsidR="005B412B" w:rsidRPr="00030126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030126">
        <w:rPr>
          <w:rStyle w:val="Siln"/>
          <w:rFonts w:ascii="Arial" w:hAnsi="Arial" w:cs="Arial"/>
          <w:b w:val="0"/>
          <w:bCs w:val="0"/>
          <w:sz w:val="22"/>
          <w:szCs w:val="22"/>
        </w:rPr>
        <w:t>svobodnou vůli, na důkaz čehož připojují níže své podpisy.</w:t>
      </w: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459B0614" w14:textId="77777777" w:rsidR="004A496E" w:rsidRPr="004A496E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4A496E" w:rsidRPr="004A496E">
        <w:rPr>
          <w:rFonts w:ascii="Arial" w:hAnsi="Arial" w:cs="Arial"/>
          <w:b/>
          <w:bCs/>
          <w:sz w:val="22"/>
          <w:szCs w:val="22"/>
        </w:rPr>
        <w:t>AGERIS s.r.o.</w:t>
      </w:r>
    </w:p>
    <w:p w14:paraId="192AA0AF" w14:textId="2ECF7283" w:rsidR="005E09AC" w:rsidRPr="004A496E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4A496E">
        <w:rPr>
          <w:rFonts w:ascii="Arial" w:hAnsi="Arial" w:cs="Arial"/>
          <w:sz w:val="22"/>
          <w:szCs w:val="22"/>
        </w:rPr>
        <w:t xml:space="preserve">Místo: </w:t>
      </w:r>
      <w:r w:rsidR="00C034DD" w:rsidRPr="004A496E">
        <w:rPr>
          <w:rFonts w:ascii="Arial" w:hAnsi="Arial" w:cs="Arial"/>
          <w:sz w:val="22"/>
          <w:szCs w:val="22"/>
        </w:rPr>
        <w:t>Brno</w:t>
      </w:r>
      <w:r w:rsidRPr="004A496E">
        <w:rPr>
          <w:rFonts w:ascii="Arial" w:hAnsi="Arial" w:cs="Arial"/>
          <w:sz w:val="22"/>
          <w:szCs w:val="22"/>
        </w:rPr>
        <w:tab/>
      </w:r>
      <w:r w:rsidRPr="004A496E">
        <w:rPr>
          <w:rFonts w:ascii="Arial" w:hAnsi="Arial" w:cs="Arial"/>
          <w:sz w:val="22"/>
          <w:szCs w:val="22"/>
        </w:rPr>
        <w:tab/>
        <w:t xml:space="preserve">Místo: </w:t>
      </w:r>
      <w:r w:rsidR="004A496E" w:rsidRPr="004A496E">
        <w:rPr>
          <w:rFonts w:ascii="Arial" w:hAnsi="Arial" w:cs="Arial"/>
          <w:sz w:val="22"/>
          <w:szCs w:val="22"/>
        </w:rPr>
        <w:t>Brno</w:t>
      </w:r>
    </w:p>
    <w:p w14:paraId="3E57205B" w14:textId="49848100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4A496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3971E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16.12.2025</w:t>
      </w:r>
      <w:r w:rsidR="003971E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971E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  <w:t xml:space="preserve">          </w:t>
      </w:r>
      <w:r w:rsidRPr="004A496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Datum: </w:t>
      </w:r>
      <w:r w:rsidR="003971E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15.12.2025</w:t>
      </w:r>
    </w:p>
    <w:p w14:paraId="5DB4D53C" w14:textId="77777777" w:rsidR="005E09A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275BCB95" w14:textId="77777777" w:rsidR="00030126" w:rsidRDefault="00030126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4BDE8E36" w14:textId="77777777" w:rsidR="00030126" w:rsidRPr="00967C3C" w:rsidRDefault="00030126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„elektronicky </w:t>
      </w:r>
      <w:proofErr w:type="spellStart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5D926AFC" w14:textId="77777777" w:rsidR="005E09AC" w:rsidRPr="00693482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693482">
        <w:rPr>
          <w:rFonts w:ascii="Arial" w:hAnsi="Arial" w:cs="Arial"/>
          <w:sz w:val="22"/>
          <w:szCs w:val="22"/>
        </w:rPr>
        <w:t xml:space="preserve">________________________________ </w:t>
      </w:r>
      <w:r w:rsidRPr="00693482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39081508" w:rsidR="005E09AC" w:rsidRPr="00693482" w:rsidRDefault="00C034DD" w:rsidP="00C96114">
      <w:pPr>
        <w:spacing w:before="120" w:after="120"/>
        <w:rPr>
          <w:rFonts w:ascii="Arial" w:hAnsi="Arial" w:cs="Arial"/>
          <w:sz w:val="22"/>
          <w:szCs w:val="22"/>
        </w:rPr>
      </w:pPr>
      <w:r w:rsidRPr="00693482">
        <w:rPr>
          <w:rFonts w:ascii="Arial" w:hAnsi="Arial" w:cs="Arial"/>
          <w:sz w:val="22"/>
          <w:szCs w:val="22"/>
        </w:rPr>
        <w:t>Ing. Pavel Zajíček</w:t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4A496E" w:rsidRPr="00693482">
        <w:rPr>
          <w:rFonts w:ascii="Arial" w:hAnsi="Arial" w:cs="Arial"/>
          <w:sz w:val="22"/>
          <w:szCs w:val="22"/>
        </w:rPr>
        <w:t>Ing</w:t>
      </w:r>
      <w:r w:rsidR="00E42B4B" w:rsidRPr="00693482">
        <w:rPr>
          <w:rFonts w:ascii="Arial" w:hAnsi="Arial" w:cs="Arial"/>
          <w:sz w:val="22"/>
          <w:szCs w:val="22"/>
        </w:rPr>
        <w:t>.</w:t>
      </w:r>
      <w:r w:rsidR="00734309" w:rsidRPr="00693482">
        <w:rPr>
          <w:rFonts w:ascii="Arial" w:hAnsi="Arial" w:cs="Arial"/>
          <w:sz w:val="22"/>
          <w:szCs w:val="22"/>
        </w:rPr>
        <w:t xml:space="preserve"> Ivo Podracký</w:t>
      </w:r>
    </w:p>
    <w:p w14:paraId="29B5A017" w14:textId="4F0C61C9" w:rsidR="005E09AC" w:rsidRPr="00967C3C" w:rsidRDefault="00030126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693482">
        <w:rPr>
          <w:rFonts w:ascii="Arial" w:hAnsi="Arial" w:cs="Arial"/>
          <w:sz w:val="22"/>
          <w:szCs w:val="22"/>
        </w:rPr>
        <w:t>ř</w:t>
      </w:r>
      <w:r w:rsidR="00C034DD" w:rsidRPr="00693482">
        <w:rPr>
          <w:rFonts w:ascii="Arial" w:hAnsi="Arial" w:cs="Arial"/>
          <w:sz w:val="22"/>
          <w:szCs w:val="22"/>
        </w:rPr>
        <w:t>editel KP</w:t>
      </w:r>
      <w:r w:rsidR="00F86C9A">
        <w:rPr>
          <w:rFonts w:ascii="Arial" w:hAnsi="Arial" w:cs="Arial"/>
          <w:sz w:val="22"/>
          <w:szCs w:val="22"/>
        </w:rPr>
        <w:t>Ú</w:t>
      </w:r>
      <w:r w:rsidR="00C034DD" w:rsidRPr="00693482">
        <w:rPr>
          <w:rFonts w:ascii="Arial" w:hAnsi="Arial" w:cs="Arial"/>
          <w:sz w:val="22"/>
          <w:szCs w:val="22"/>
        </w:rPr>
        <w:t xml:space="preserve"> pro JMK</w:t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5E09AC" w:rsidRPr="00693482">
        <w:rPr>
          <w:rFonts w:ascii="Arial" w:hAnsi="Arial" w:cs="Arial"/>
          <w:sz w:val="22"/>
          <w:szCs w:val="22"/>
        </w:rPr>
        <w:tab/>
      </w:r>
      <w:r w:rsidR="00693482" w:rsidRPr="00693482">
        <w:rPr>
          <w:rFonts w:ascii="Arial" w:hAnsi="Arial" w:cs="Arial"/>
          <w:sz w:val="22"/>
          <w:szCs w:val="22"/>
        </w:rPr>
        <w:t>jednatel</w:t>
      </w:r>
    </w:p>
    <w:tbl>
      <w:tblPr>
        <w:tblW w:w="13606" w:type="dxa"/>
        <w:tblLook w:val="04A0" w:firstRow="1" w:lastRow="0" w:firstColumn="1" w:lastColumn="0" w:noHBand="0" w:noVBand="1"/>
      </w:tblPr>
      <w:tblGrid>
        <w:gridCol w:w="9071"/>
        <w:gridCol w:w="4535"/>
      </w:tblGrid>
      <w:tr w:rsidR="00DC1D9A" w:rsidRPr="00967C3C" w14:paraId="3F1B5844" w14:textId="77777777" w:rsidTr="00226908">
        <w:tc>
          <w:tcPr>
            <w:tcW w:w="9071" w:type="dxa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7650A9A8" w14:textId="77777777" w:rsidTr="00226908">
        <w:tc>
          <w:tcPr>
            <w:tcW w:w="9071" w:type="dxa"/>
          </w:tcPr>
          <w:p w14:paraId="139D7D8F" w14:textId="54112BC9" w:rsidR="00DC1D9A" w:rsidRPr="00967C3C" w:rsidRDefault="008C372F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C372F">
              <w:rPr>
                <w:rFonts w:ascii="Arial" w:hAnsi="Arial" w:cs="Arial"/>
                <w:b w:val="0"/>
                <w:i w:val="0"/>
                <w:sz w:val="22"/>
                <w:szCs w:val="22"/>
              </w:rPr>
              <w:t>Za správnost vyhotovení: Ing. Hana Divinová</w:t>
            </w:r>
          </w:p>
        </w:tc>
        <w:tc>
          <w:tcPr>
            <w:tcW w:w="4535" w:type="dxa"/>
          </w:tcPr>
          <w:p w14:paraId="1BE68A34" w14:textId="71034E61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4B58C5D" w14:textId="77777777" w:rsidR="003971EB" w:rsidRDefault="003971EB">
      <w:r>
        <w:br w:type="page"/>
      </w:r>
    </w:p>
    <w:tbl>
      <w:tblPr>
        <w:tblW w:w="13606" w:type="dxa"/>
        <w:tblLook w:val="04A0" w:firstRow="1" w:lastRow="0" w:firstColumn="1" w:lastColumn="0" w:noHBand="0" w:noVBand="1"/>
      </w:tblPr>
      <w:tblGrid>
        <w:gridCol w:w="9071"/>
        <w:gridCol w:w="4535"/>
      </w:tblGrid>
      <w:tr w:rsidR="00DC1D9A" w:rsidRPr="00967C3C" w14:paraId="11CA7CD6" w14:textId="77777777" w:rsidTr="00226908">
        <w:tc>
          <w:tcPr>
            <w:tcW w:w="9071" w:type="dxa"/>
          </w:tcPr>
          <w:p w14:paraId="27C52746" w14:textId="64B6F2BC" w:rsidR="00DC1D9A" w:rsidRDefault="00DC1D9A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  <w:rFonts w:ascii="Arial" w:hAnsi="Arial" w:cs="Arial"/>
                <w:b w:val="0"/>
                <w:sz w:val="22"/>
                <w:szCs w:val="22"/>
              </w:rPr>
            </w:pP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Příloha č. 1: Podrobná specifikace </w:t>
            </w:r>
            <w:r w:rsidR="00646E37"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967C3C">
              <w:rPr>
                <w:rStyle w:val="Siln"/>
                <w:rFonts w:ascii="Arial" w:hAnsi="Arial" w:cs="Arial"/>
                <w:b w:val="0"/>
                <w:sz w:val="22"/>
                <w:szCs w:val="22"/>
              </w:rPr>
              <w:t>lnění</w:t>
            </w:r>
          </w:p>
          <w:p w14:paraId="7603E022" w14:textId="77777777" w:rsidR="00B1786B" w:rsidRDefault="00B1786B" w:rsidP="00C96114">
            <w:pPr>
              <w:pStyle w:val="Bezmezer"/>
              <w:tabs>
                <w:tab w:val="left" w:pos="284"/>
              </w:tabs>
              <w:spacing w:before="120" w:after="120" w:line="276" w:lineRule="auto"/>
              <w:ind w:hanging="105"/>
              <w:jc w:val="both"/>
              <w:rPr>
                <w:rStyle w:val="Siln"/>
              </w:rPr>
            </w:pPr>
          </w:p>
          <w:p w14:paraId="04BB6102" w14:textId="00ABF91E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. Analýza území</w:t>
            </w:r>
          </w:p>
          <w:p w14:paraId="23854FC9" w14:textId="444B4C68" w:rsidR="00B1786B" w:rsidRPr="00EC4F0F" w:rsidRDefault="003D5104" w:rsidP="00B1786B">
            <w:pPr>
              <w:pStyle w:val="Normlnweb"/>
              <w:tabs>
                <w:tab w:val="left" w:pos="426"/>
              </w:tabs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Vypracování rozborových map na podkladě hydrologicky korektního digitálního modelu terénu („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DMT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“), jako jsou:</w:t>
            </w:r>
          </w:p>
          <w:p w14:paraId="4C52A57D" w14:textId="77777777" w:rsidR="00B1786B" w:rsidRPr="00EC4F0F" w:rsidRDefault="00B1786B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přehledná mapa území včetně vrstevnic, mapa sklonitosti, mapa expozice, mapa podrobné hydrologické situace včetně směrů a akumulace odtoku, mapa druhů pozemků (využití území), mapa uživatelů zemědělské půdy dle veřejného registru půdy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LPIS</w:t>
            </w:r>
            <w:r w:rsidRPr="00EC4F0F">
              <w:rPr>
                <w:rFonts w:ascii="Arial" w:hAnsi="Arial" w:cs="Arial"/>
                <w:sz w:val="22"/>
                <w:szCs w:val="22"/>
              </w:rPr>
              <w:t>“), mapa hloubky půdy, mapa hydrologických skupin půd, mapa hlavních půdních jednotek, mapa čísel odtokových křivek CN (doporučená měřítka map 1:5 000, 1:10 000)</w:t>
            </w:r>
          </w:p>
          <w:p w14:paraId="19A39397" w14:textId="1969AAB3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.2. Provedení terénního průzkumu za účelem:</w:t>
            </w:r>
          </w:p>
          <w:p w14:paraId="3361BFE7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ověření správnosti provedených analýz (především druhů pozemků)</w:t>
            </w:r>
          </w:p>
          <w:p w14:paraId="480BD5A9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dokumentace erozních a povodňových rizik </w:t>
            </w:r>
          </w:p>
          <w:p w14:paraId="09109EF2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identifikace melioračních staveb</w:t>
            </w:r>
          </w:p>
          <w:p w14:paraId="5DAE68A1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12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pořízení fotodokumentace</w:t>
            </w:r>
          </w:p>
          <w:p w14:paraId="06F0C39B" w14:textId="265C060F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.3. Analýza ohrožení území vodní erozí půdy:</w:t>
            </w:r>
          </w:p>
          <w:p w14:paraId="5D8CBFFD" w14:textId="77777777" w:rsidR="00B1786B" w:rsidRPr="00EC4F0F" w:rsidRDefault="00B1786B" w:rsidP="00B1786B">
            <w:pPr>
              <w:pStyle w:val="Normlnweb"/>
              <w:numPr>
                <w:ilvl w:val="0"/>
                <w:numId w:val="35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stanovení potenciální ohroženosti zemědělské půdy vodní erozí (dlouhodobý průměrný smyv půdy) na podkladě LPIS v rastrovém vyjádření (dle metodiky </w:t>
            </w:r>
            <w:r w:rsidRPr="00EC4F0F">
              <w:rPr>
                <w:rFonts w:ascii="Arial" w:hAnsi="Arial" w:cs="Arial"/>
                <w:sz w:val="22"/>
              </w:rPr>
              <w:t>Výzkumného ústavu meliorací a ochrany půdy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v.v.i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Pr="00EC4F0F">
              <w:rPr>
                <w:rFonts w:ascii="Arial" w:hAnsi="Arial" w:cs="Arial"/>
                <w:sz w:val="22"/>
                <w:szCs w:val="22"/>
              </w:rPr>
              <w:t xml:space="preserve">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VÚMOP</w:t>
            </w:r>
            <w:r w:rsidRPr="00EC4F0F">
              <w:rPr>
                <w:rFonts w:ascii="Arial" w:hAnsi="Arial" w:cs="Arial"/>
                <w:sz w:val="22"/>
                <w:szCs w:val="22"/>
              </w:rPr>
              <w:t>“) s použitím faktoru R = 40 MJ.ha</w:t>
            </w:r>
            <w:r w:rsidRPr="00EC4F0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EC4F0F">
              <w:rPr>
                <w:rFonts w:ascii="Arial" w:hAnsi="Arial" w:cs="Arial"/>
                <w:sz w:val="22"/>
                <w:szCs w:val="22"/>
              </w:rPr>
              <w:t>.cm.h</w:t>
            </w:r>
            <w:r w:rsidRPr="00EC4F0F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EC4F0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AE2CF7" w14:textId="32527D96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.4. Analýza ohrožení území větrnou erozí půdy:</w:t>
            </w:r>
          </w:p>
          <w:p w14:paraId="63FFFAB0" w14:textId="77777777" w:rsidR="00B1786B" w:rsidRPr="00EC4F0F" w:rsidRDefault="00B1786B" w:rsidP="00B1786B">
            <w:pPr>
              <w:pStyle w:val="Normlnweb"/>
              <w:numPr>
                <w:ilvl w:val="0"/>
                <w:numId w:val="36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stanovení potenciální ohroženosti zemědělské půdy větrnou erozí (dle metodiky VÚMOP)</w:t>
            </w:r>
          </w:p>
          <w:p w14:paraId="6E410E9F" w14:textId="60E19E25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.5. Analýza srážkoodtokových poměrů území:</w:t>
            </w:r>
          </w:p>
          <w:p w14:paraId="50DADE0D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analýza odtokových poměrů a vymezení kritických profilů včetně jejich přispívajících ploch (z hlediska nepříznivého působení povrchového odtoku a transportu splavenin) na podkladě DMT</w:t>
            </w:r>
          </w:p>
          <w:p w14:paraId="77856EF6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výpočet odtokových charakteristik (zejména objemu odtoku a kulminačního průtoku), z návrhových srážek ve vymezených kritických profilech metodou CN křivek</w:t>
            </w:r>
          </w:p>
          <w:p w14:paraId="54FED631" w14:textId="77777777" w:rsidR="00B1786B" w:rsidRPr="00EC4F0F" w:rsidRDefault="00B1786B" w:rsidP="00B1786B">
            <w:pPr>
              <w:pStyle w:val="Normlnweb"/>
              <w:numPr>
                <w:ilvl w:val="0"/>
                <w:numId w:val="37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provedení hydrotechnických výpočtů pro návrh technických opatření</w:t>
            </w:r>
          </w:p>
          <w:p w14:paraId="4F6BF555" w14:textId="333E5BEC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.6. Analýza a vyhodnocení stávajících územně plánovacích dokumentací či jiných studií krajinných struktur</w:t>
            </w:r>
          </w:p>
          <w:p w14:paraId="7BAFAE6B" w14:textId="77777777" w:rsidR="00B1786B" w:rsidRPr="00EC4F0F" w:rsidRDefault="00B1786B" w:rsidP="00B1786B">
            <w:pPr>
              <w:pStyle w:val="Normlnweb"/>
              <w:numPr>
                <w:ilvl w:val="0"/>
                <w:numId w:val="38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posouzení možnosti využití územního plánu pro následný návrh protierozních a protipovodňových opatření</w:t>
            </w:r>
          </w:p>
          <w:p w14:paraId="1DC33855" w14:textId="4A045478" w:rsidR="00B1786B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.7. Provedení identifikace melioračních staveb v území ze všech dostupných podkladů s užším zaměřením na odvodňovací zařízení (hlavní a podrobná odvodňovací zařízení)</w:t>
            </w:r>
          </w:p>
          <w:p w14:paraId="6554D949" w14:textId="02985D2D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1786B">
              <w:rPr>
                <w:rFonts w:ascii="Arial" w:hAnsi="Arial" w:cs="Arial"/>
                <w:sz w:val="22"/>
                <w:szCs w:val="22"/>
              </w:rPr>
              <w:t>.8. Vypracování typologie území</w:t>
            </w:r>
          </w:p>
          <w:p w14:paraId="0320BF82" w14:textId="77777777" w:rsidR="00B1786B" w:rsidRPr="00EC4F0F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5F869E" w14:textId="3BD6D324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. Návrh opatření</w:t>
            </w:r>
          </w:p>
          <w:p w14:paraId="5DBC0B34" w14:textId="25E4F7A9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Návrh komplexního systému protierozních a protipovodňových opatření (prostorově a funkčně uspořádaný, a dále využitelný v KoPÚ)</w:t>
            </w:r>
          </w:p>
          <w:p w14:paraId="1206B664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organizačních, agrotechnických a technických protierozních opatření v ploše povodí (možnost variantních řešení)</w:t>
            </w:r>
          </w:p>
          <w:p w14:paraId="268FCE68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vodohospodářských opatření (včetně stanovení rozsahu geologického průzkumu v ha)</w:t>
            </w:r>
          </w:p>
          <w:p w14:paraId="75EE2878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rámcový návrh cestní sítě, především s možností využití jejich protierozní funkce (podrobné vymezení cestní sítě s ohledem na pozemkovou držbu bude až předmětem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F0F">
              <w:rPr>
                <w:rFonts w:ascii="Arial" w:hAnsi="Arial" w:cs="Arial"/>
                <w:sz w:val="22"/>
                <w:szCs w:val="22"/>
              </w:rPr>
              <w:t>plánu společných zařízení)</w:t>
            </w:r>
          </w:p>
          <w:p w14:paraId="4C9388BE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lastRenderedPageBreak/>
              <w:t>návrh základních technických parametrů u navržených opatření</w:t>
            </w:r>
          </w:p>
          <w:p w14:paraId="52F1B252" w14:textId="77777777" w:rsidR="00B1786B" w:rsidRPr="00EC4F0F" w:rsidRDefault="00B1786B" w:rsidP="00B1786B">
            <w:pPr>
              <w:pStyle w:val="Normlnweb"/>
              <w:numPr>
                <w:ilvl w:val="0"/>
                <w:numId w:val="34"/>
              </w:numPr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posouzení možnosti zapojení navržených protierozních a protipovodňových opatření do Územního systému ekologické stability („</w:t>
            </w:r>
            <w:r w:rsidRPr="00EC4F0F">
              <w:rPr>
                <w:rFonts w:ascii="Arial" w:hAnsi="Arial" w:cs="Arial"/>
                <w:b/>
                <w:bCs/>
                <w:sz w:val="22"/>
                <w:szCs w:val="22"/>
              </w:rPr>
              <w:t>ÚSES</w:t>
            </w:r>
            <w:r w:rsidRPr="00EC4F0F">
              <w:rPr>
                <w:rFonts w:ascii="Arial" w:hAnsi="Arial" w:cs="Arial"/>
                <w:sz w:val="22"/>
                <w:szCs w:val="22"/>
              </w:rPr>
              <w:t>“) s vazbou na územní plán</w:t>
            </w:r>
          </w:p>
          <w:p w14:paraId="1D52D0B4" w14:textId="346492C2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 Projednání návrhů opatření s rozhodující částí (z hlediska řešení této studie) uživatelů a vlastníků zemědělské půdy, správci vodních toků a povodí, dotčených orgánů a zástupci obce.</w:t>
            </w:r>
          </w:p>
          <w:p w14:paraId="0D1D45DC" w14:textId="011F89FE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.3 Zohlednění a zapracování připomínek uživatelů, vlastníků, správců vodních toků a povodí, dotčených orgánů a zástupců obce do komplexního systému návrhu opatření.</w:t>
            </w:r>
          </w:p>
          <w:p w14:paraId="370DD2CD" w14:textId="6676DF4B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.4 Stanovení účinnosti navržených opatření (především formou </w:t>
            </w:r>
            <w:proofErr w:type="gramStart"/>
            <w:r w:rsidR="00B1786B" w:rsidRPr="00EC4F0F">
              <w:rPr>
                <w:rFonts w:ascii="Arial" w:hAnsi="Arial" w:cs="Arial"/>
                <w:sz w:val="22"/>
                <w:szCs w:val="22"/>
              </w:rPr>
              <w:t>změny  erozních</w:t>
            </w:r>
            <w:proofErr w:type="gramEnd"/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 a odtokových poměrů území).</w:t>
            </w:r>
          </w:p>
          <w:p w14:paraId="285CE00F" w14:textId="1E3C73AB" w:rsidR="00B1786B" w:rsidRPr="00EC4F0F" w:rsidRDefault="003D5104" w:rsidP="00B1786B">
            <w:pPr>
              <w:pStyle w:val="Normlnweb"/>
              <w:spacing w:before="120" w:beforeAutospacing="0" w:after="0" w:afterAutospacing="0"/>
              <w:ind w:left="426" w:right="-1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.5 Návrh rozsahu obvodu následných KoPÚ (s ohledem na navrhované řešení problematiky území) tak, aby návrh zahrnoval území pro řešení výše uvedené problematiky i do přilehlých částí sousedních k. </w:t>
            </w:r>
            <w:proofErr w:type="spellStart"/>
            <w:r w:rsidR="00B1786B" w:rsidRPr="00EC4F0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</w:p>
          <w:p w14:paraId="0E0C7445" w14:textId="77777777" w:rsidR="00B1786B" w:rsidRPr="00EC4F0F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D54639" w14:textId="5385B3D7" w:rsidR="00B1786B" w:rsidRPr="00EC4F0F" w:rsidRDefault="003D5104" w:rsidP="00B1786B">
            <w:pPr>
              <w:pStyle w:val="Normlnweb"/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b/>
                <w:sz w:val="22"/>
                <w:szCs w:val="22"/>
              </w:rPr>
              <w:t>. Výstupy studie</w:t>
            </w:r>
          </w:p>
          <w:p w14:paraId="26F3B34E" w14:textId="0200048A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.1. Výstupy analytické části:</w:t>
            </w:r>
          </w:p>
          <w:p w14:paraId="6E326C75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průvodní a technická zpráva</w:t>
            </w:r>
          </w:p>
          <w:p w14:paraId="1F77BC64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vymezení zájmového území studie, popis území (morfologické, geologické, </w:t>
            </w:r>
            <w:proofErr w:type="spellStart"/>
            <w:r w:rsidRPr="00EC4F0F">
              <w:rPr>
                <w:rFonts w:ascii="Arial" w:hAnsi="Arial" w:cs="Arial"/>
                <w:sz w:val="22"/>
                <w:szCs w:val="22"/>
              </w:rPr>
              <w:t>hydropedologické</w:t>
            </w:r>
            <w:proofErr w:type="spellEnd"/>
            <w:r w:rsidRPr="00EC4F0F">
              <w:rPr>
                <w:rFonts w:ascii="Arial" w:hAnsi="Arial" w:cs="Arial"/>
                <w:sz w:val="22"/>
                <w:szCs w:val="22"/>
              </w:rPr>
              <w:t xml:space="preserve">, hydrologické, klimatické podmínky, využití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území,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apod.)</w:t>
            </w:r>
          </w:p>
          <w:p w14:paraId="4F8313C8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výpočtů erozní ohroženosti území (vodní i větrná eroze)</w:t>
            </w:r>
          </w:p>
          <w:p w14:paraId="729AB61F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provedení terénního průzkumu</w:t>
            </w:r>
          </w:p>
          <w:p w14:paraId="3449B4A1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stanovení kritických profilů a jejich přispívajících ploch</w:t>
            </w:r>
          </w:p>
          <w:p w14:paraId="0AA35796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stanovení základních odtokových charakteristik a popis hydrotechnických výpočtů</w:t>
            </w:r>
          </w:p>
          <w:p w14:paraId="3763D9D4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provedené analýzy stávajících územně plánovacích dokumentací</w:t>
            </w:r>
          </w:p>
          <w:p w14:paraId="0CA866AC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způsobů identifikace melioračních staveb včetně uvedení použitých zdrojů</w:t>
            </w:r>
          </w:p>
          <w:p w14:paraId="337780FE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mapové výstupy</w:t>
            </w:r>
          </w:p>
          <w:p w14:paraId="0A9C6612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rozborové mapy viz kap. 1.1</w:t>
            </w:r>
          </w:p>
          <w:p w14:paraId="2D047331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současná potenciální ohroženost zemědělské půdy vodní erozí</w:t>
            </w:r>
          </w:p>
          <w:p w14:paraId="1EC3F08D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současná potenciální ohroženost zemědělské půdy větrnou erozí</w:t>
            </w:r>
          </w:p>
          <w:p w14:paraId="5DF00B37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kritické profily a jejich přispívající plochy</w:t>
            </w:r>
          </w:p>
          <w:p w14:paraId="5CEB2D72" w14:textId="77777777" w:rsidR="00B1786B" w:rsidRPr="00EC4F0F" w:rsidRDefault="00B1786B" w:rsidP="00B1786B">
            <w:pPr>
              <w:pStyle w:val="Normlnweb"/>
              <w:numPr>
                <w:ilvl w:val="0"/>
                <w:numId w:val="21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mapa identifikovaných melioračních staveb s odlišením odvodňovacích zařízení</w:t>
            </w:r>
          </w:p>
          <w:p w14:paraId="453B60E8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grafy (možno jako součást průvodní a technické zprávy)</w:t>
            </w:r>
          </w:p>
          <w:p w14:paraId="12016CBD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tabulky současných hodnot erozního smyvu a erozního ohrožení na zemědělském půdním fondu </w:t>
            </w:r>
          </w:p>
          <w:p w14:paraId="5BB55AF0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 současných odtokových poměrů území</w:t>
            </w:r>
          </w:p>
          <w:p w14:paraId="576E7F94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plynoucí z analýzy územně technických podkladů (stav územních plánů, seznam správců inženýrských sítí, údaje z </w:t>
            </w:r>
            <w:proofErr w:type="spellStart"/>
            <w:r w:rsidRPr="00EC4F0F">
              <w:rPr>
                <w:rFonts w:ascii="Arial" w:hAnsi="Arial" w:cs="Arial"/>
                <w:sz w:val="22"/>
                <w:szCs w:val="22"/>
              </w:rPr>
              <w:t>technicko</w:t>
            </w:r>
            <w:proofErr w:type="spellEnd"/>
            <w:r w:rsidRPr="00EC4F0F">
              <w:rPr>
                <w:rFonts w:ascii="Arial" w:hAnsi="Arial" w:cs="Arial"/>
                <w:sz w:val="22"/>
                <w:szCs w:val="22"/>
              </w:rPr>
              <w:t xml:space="preserve"> – provozní evidence správce toku apod.) </w:t>
            </w:r>
          </w:p>
          <w:p w14:paraId="45213B2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dotčených uživatelů a vlastníků půdy</w:t>
            </w:r>
          </w:p>
          <w:p w14:paraId="26E79167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výměr melioračních staveb s odlišením odvodňovacích zařízení</w:t>
            </w:r>
          </w:p>
          <w:p w14:paraId="1CC1D969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dokladová část</w:t>
            </w:r>
          </w:p>
          <w:p w14:paraId="53BE6570" w14:textId="77777777" w:rsidR="00B1786B" w:rsidRPr="00AC7A4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12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zprávy, záznamy, zápisy z projednání, seznamy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dokumentů,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atd.</w:t>
            </w:r>
          </w:p>
          <w:p w14:paraId="4A4660C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12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typologie území</w:t>
            </w:r>
          </w:p>
          <w:p w14:paraId="08FBFCD4" w14:textId="7893B685" w:rsidR="00B1786B" w:rsidRPr="00EC4F0F" w:rsidRDefault="003D5104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1786B" w:rsidRPr="00EC4F0F">
              <w:rPr>
                <w:rFonts w:ascii="Arial" w:hAnsi="Arial" w:cs="Arial"/>
                <w:sz w:val="22"/>
                <w:szCs w:val="22"/>
              </w:rPr>
              <w:t>.2.  Výstupy</w:t>
            </w:r>
            <w:proofErr w:type="gramEnd"/>
            <w:r w:rsidR="00B1786B" w:rsidRPr="00EC4F0F">
              <w:rPr>
                <w:rFonts w:ascii="Arial" w:hAnsi="Arial" w:cs="Arial"/>
                <w:sz w:val="22"/>
                <w:szCs w:val="22"/>
              </w:rPr>
              <w:t xml:space="preserve"> návrhové části:</w:t>
            </w:r>
          </w:p>
          <w:p w14:paraId="461F038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průvodní a technická zpráva</w:t>
            </w:r>
          </w:p>
          <w:p w14:paraId="2ED6C921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návrhu plošných a liniových prvků protipovodňové a protierozní ochrany</w:t>
            </w:r>
          </w:p>
          <w:p w14:paraId="00EEB93B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výsledného situačního řešení komplexního systému opatření – syntéza problematik území, souhrnný textový výstup všech navrhovaných opatření</w:t>
            </w:r>
          </w:p>
          <w:p w14:paraId="6144AF6C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popis návrhu cestní sítě</w:t>
            </w:r>
          </w:p>
          <w:p w14:paraId="230ABBC5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3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možnosti zapojení navržených opatření do ÚSES</w:t>
            </w:r>
          </w:p>
          <w:p w14:paraId="6DD24B55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lastRenderedPageBreak/>
              <w:t>popis vyhodnocení účinnosti všech navrhovaných opatření</w:t>
            </w:r>
          </w:p>
          <w:p w14:paraId="37A0E2C2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územně technické podmínky realizovatelnosti navržených opatření</w:t>
            </w:r>
          </w:p>
          <w:p w14:paraId="3227EF17" w14:textId="77777777" w:rsidR="00B1786B" w:rsidRPr="00EC4F0F" w:rsidRDefault="00B1786B" w:rsidP="00B1786B">
            <w:pPr>
              <w:pStyle w:val="Normlnweb"/>
              <w:numPr>
                <w:ilvl w:val="0"/>
                <w:numId w:val="23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vyhodnocení a závěry navržených opatření po projednání s dotčenými uživateli, vlastníky, správci vodních toků a povodí, dotčenými orgány a zástupci obce</w:t>
            </w:r>
          </w:p>
          <w:p w14:paraId="410C0B30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mapové výstupy</w:t>
            </w:r>
          </w:p>
          <w:p w14:paraId="0616155F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návrh komplexního systému protierozních a protipovodňových opatření</w:t>
            </w:r>
          </w:p>
          <w:p w14:paraId="183E8454" w14:textId="77777777" w:rsidR="00B1786B" w:rsidRPr="00EC4F0F" w:rsidRDefault="00B1786B" w:rsidP="00B1786B">
            <w:pPr>
              <w:pStyle w:val="Odstavecseseznamem"/>
              <w:widowControl/>
              <w:numPr>
                <w:ilvl w:val="0"/>
                <w:numId w:val="24"/>
              </w:numPr>
              <w:suppressAutoHyphens w:val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mapa cestní sítě</w:t>
            </w:r>
          </w:p>
          <w:p w14:paraId="31674170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potenciální ohroženost zemědělské půdy vodní erozí po návrhu opatření</w:t>
            </w:r>
          </w:p>
          <w:p w14:paraId="614644FF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potenciální ohroženost zemědělské půdy větrnou erozí po návrhu opatření</w:t>
            </w:r>
          </w:p>
          <w:p w14:paraId="5FD1C646" w14:textId="77777777" w:rsidR="00B1786B" w:rsidRPr="00EC4F0F" w:rsidRDefault="00B1786B" w:rsidP="00B1786B">
            <w:pPr>
              <w:pStyle w:val="Normlnweb"/>
              <w:numPr>
                <w:ilvl w:val="0"/>
                <w:numId w:val="24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vyhodnocení účinnosti navržených opatření na odtokové poměry</w:t>
            </w:r>
          </w:p>
          <w:p w14:paraId="0DB04AE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a grafy (možno jako součást průvodní a technické zprávy)</w:t>
            </w:r>
          </w:p>
          <w:p w14:paraId="3F35D00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tabulky vyhodnocení účinnosti navržených opatření (změna erozních i odtokových poměrů)</w:t>
            </w:r>
          </w:p>
          <w:p w14:paraId="0E7AE6DA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 xml:space="preserve">přehled půdních bloků s bilancí navržených opatření </w:t>
            </w:r>
          </w:p>
          <w:p w14:paraId="1BF6FD28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grafy vyhodnocení účinnosti navržených opatření (změna erozních i odtokových poměrů)</w:t>
            </w:r>
          </w:p>
          <w:p w14:paraId="6D5AB7B4" w14:textId="77777777" w:rsidR="00B1786B" w:rsidRPr="00EC4F0F" w:rsidRDefault="00B1786B" w:rsidP="00B1786B">
            <w:pPr>
              <w:pStyle w:val="Normlnweb"/>
              <w:numPr>
                <w:ilvl w:val="0"/>
                <w:numId w:val="20"/>
              </w:numPr>
              <w:spacing w:before="0" w:beforeAutospacing="0" w:after="0" w:afterAutospacing="0"/>
              <w:ind w:left="851"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4F0F">
              <w:rPr>
                <w:rFonts w:ascii="Arial" w:hAnsi="Arial" w:cs="Arial"/>
                <w:sz w:val="22"/>
                <w:szCs w:val="22"/>
              </w:rPr>
              <w:t>dokladová část</w:t>
            </w:r>
          </w:p>
          <w:p w14:paraId="4C465BDE" w14:textId="77777777" w:rsidR="00B1786B" w:rsidRPr="00EC4F0F" w:rsidRDefault="00B1786B" w:rsidP="00B1786B">
            <w:pPr>
              <w:pStyle w:val="Normlnweb"/>
              <w:numPr>
                <w:ilvl w:val="0"/>
                <w:numId w:val="22"/>
              </w:numPr>
              <w:spacing w:before="0" w:beforeAutospacing="0" w:after="0" w:afterAutospacing="0"/>
              <w:ind w:left="1134" w:right="-1"/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6C97">
              <w:rPr>
                <w:rFonts w:ascii="Arial" w:hAnsi="Arial" w:cs="Arial"/>
                <w:sz w:val="22"/>
                <w:szCs w:val="22"/>
              </w:rPr>
              <w:t xml:space="preserve">zprávy, záznamy, zápisy z projednání, záznamy připomínek k návrhu opatření, seznamy </w:t>
            </w:r>
            <w:proofErr w:type="gramStart"/>
            <w:r w:rsidRPr="00EC4F0F">
              <w:rPr>
                <w:rFonts w:ascii="Arial" w:hAnsi="Arial" w:cs="Arial"/>
                <w:sz w:val="22"/>
                <w:szCs w:val="22"/>
              </w:rPr>
              <w:t>dokumentů,</w:t>
            </w:r>
            <w:proofErr w:type="gramEnd"/>
            <w:r w:rsidRPr="00EC4F0F">
              <w:rPr>
                <w:rFonts w:ascii="Arial" w:hAnsi="Arial" w:cs="Arial"/>
                <w:sz w:val="22"/>
                <w:szCs w:val="22"/>
              </w:rPr>
              <w:t xml:space="preserve"> atd.</w:t>
            </w:r>
          </w:p>
          <w:p w14:paraId="423F27A5" w14:textId="77777777" w:rsidR="00B1786B" w:rsidRPr="00A96C97" w:rsidRDefault="00B1786B" w:rsidP="00B1786B">
            <w:pPr>
              <w:pStyle w:val="Normlnweb"/>
              <w:spacing w:before="0" w:beforeAutospacing="0" w:after="0" w:afterAutospacing="0"/>
              <w:ind w:right="-1"/>
              <w:jc w:val="both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1806652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5E232FA" w14:textId="77777777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4E5B2FFB" w14:textId="6C39BB10" w:rsidR="00277E6B" w:rsidRPr="008624E5" w:rsidRDefault="00277E6B" w:rsidP="00030126">
      <w:pPr>
        <w:pStyle w:val="TSlneksmlouvy"/>
        <w:spacing w:before="120" w:after="120" w:line="276" w:lineRule="auto"/>
        <w:jc w:val="both"/>
        <w:rPr>
          <w:rStyle w:val="Siln"/>
          <w:rFonts w:cs="Arial"/>
          <w:b/>
          <w:bCs w:val="0"/>
          <w:i/>
          <w:szCs w:val="22"/>
        </w:rPr>
      </w:pPr>
    </w:p>
    <w:sectPr w:rsidR="00277E6B" w:rsidRPr="008624E5" w:rsidSect="00743F0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F9CE" w14:textId="77777777" w:rsidR="00001CFA" w:rsidRDefault="00001CFA">
      <w:r>
        <w:separator/>
      </w:r>
    </w:p>
  </w:endnote>
  <w:endnote w:type="continuationSeparator" w:id="0">
    <w:p w14:paraId="7615FEA1" w14:textId="77777777" w:rsidR="00001CFA" w:rsidRDefault="00001CFA">
      <w:r>
        <w:continuationSeparator/>
      </w:r>
    </w:p>
  </w:endnote>
  <w:endnote w:type="continuationNotice" w:id="1">
    <w:p w14:paraId="6F960CF9" w14:textId="77777777" w:rsidR="00001CFA" w:rsidRDefault="00001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8B19" w14:textId="77777777" w:rsidR="00001CFA" w:rsidRDefault="00001CFA">
      <w:r>
        <w:separator/>
      </w:r>
    </w:p>
  </w:footnote>
  <w:footnote w:type="continuationSeparator" w:id="0">
    <w:p w14:paraId="029B7DFF" w14:textId="77777777" w:rsidR="00001CFA" w:rsidRDefault="00001CFA">
      <w:r>
        <w:continuationSeparator/>
      </w:r>
    </w:p>
  </w:footnote>
  <w:footnote w:type="continuationNotice" w:id="1">
    <w:p w14:paraId="23CD26AE" w14:textId="77777777" w:rsidR="00001CFA" w:rsidRDefault="00001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7E69" w14:textId="39D3B946" w:rsidR="00870CE1" w:rsidRPr="0025676C" w:rsidRDefault="00870CE1" w:rsidP="00D6456D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sz w:val="14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Pr="00E271B3">
      <w:rPr>
        <w:rFonts w:ascii="Arial" w:hAnsi="Arial" w:cs="Arial"/>
        <w:sz w:val="16"/>
        <w:szCs w:val="16"/>
      </w:rPr>
      <w:t xml:space="preserve"> </w:t>
    </w:r>
    <w:r w:rsidR="00D6456D">
      <w:rPr>
        <w:rFonts w:ascii="Arial" w:hAnsi="Arial" w:cs="Arial"/>
        <w:sz w:val="16"/>
        <w:szCs w:val="16"/>
      </w:rPr>
      <w:t>Mělčany</w:t>
    </w:r>
    <w:r w:rsidR="006B3538">
      <w:rPr>
        <w:rFonts w:ascii="Arial" w:hAnsi="Arial" w:cs="Arial"/>
        <w:sz w:val="16"/>
        <w:szCs w:val="16"/>
      </w:rPr>
      <w:t xml:space="preserve"> u Ivančic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6FD78034" w:rsidR="004F71B7" w:rsidRPr="005309BD" w:rsidRDefault="00870CE1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5309BD">
      <w:rPr>
        <w:rFonts w:ascii="Arial" w:hAnsi="Arial" w:cs="Arial"/>
        <w:sz w:val="16"/>
        <w:szCs w:val="16"/>
      </w:rPr>
      <w:t xml:space="preserve">Číslo </w:t>
    </w:r>
    <w:r w:rsidR="004E1928" w:rsidRPr="005309BD">
      <w:rPr>
        <w:rFonts w:ascii="Arial" w:hAnsi="Arial" w:cs="Arial"/>
        <w:sz w:val="16"/>
        <w:szCs w:val="16"/>
      </w:rPr>
      <w:t>S</w:t>
    </w:r>
    <w:r w:rsidRPr="005309BD">
      <w:rPr>
        <w:rFonts w:ascii="Arial" w:hAnsi="Arial" w:cs="Arial"/>
        <w:sz w:val="16"/>
        <w:szCs w:val="16"/>
      </w:rPr>
      <w:t xml:space="preserve">mlouvy Objednatele: </w:t>
    </w:r>
    <w:r w:rsidR="00D36379" w:rsidRPr="005309BD">
      <w:rPr>
        <w:rFonts w:ascii="Arial" w:hAnsi="Arial" w:cs="Arial"/>
        <w:sz w:val="16"/>
        <w:szCs w:val="16"/>
      </w:rPr>
      <w:t>1254-2025-523201</w:t>
    </w:r>
  </w:p>
  <w:p w14:paraId="3BC1C211" w14:textId="77777777" w:rsidR="005309BD" w:rsidRPr="005309BD" w:rsidRDefault="002A6E50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 w:rsidRPr="005309BD">
      <w:rPr>
        <w:rFonts w:ascii="Arial" w:hAnsi="Arial" w:cs="Arial"/>
        <w:sz w:val="16"/>
        <w:szCs w:val="16"/>
      </w:rPr>
      <w:tab/>
    </w:r>
    <w:r w:rsidR="004A1ED0" w:rsidRPr="005309BD">
      <w:rPr>
        <w:rFonts w:ascii="Arial" w:hAnsi="Arial" w:cs="Arial"/>
        <w:sz w:val="16"/>
        <w:szCs w:val="16"/>
      </w:rPr>
      <w:t>UID</w:t>
    </w:r>
    <w:r w:rsidR="00381DBC" w:rsidRPr="005309BD">
      <w:rPr>
        <w:rFonts w:ascii="Arial" w:hAnsi="Arial" w:cs="Arial"/>
        <w:sz w:val="16"/>
        <w:szCs w:val="16"/>
      </w:rPr>
      <w:t>:</w:t>
    </w:r>
    <w:r w:rsidR="009A20BB" w:rsidRPr="005309BD">
      <w:rPr>
        <w:rFonts w:ascii="Arial" w:hAnsi="Arial" w:cs="Arial"/>
        <w:sz w:val="16"/>
        <w:szCs w:val="16"/>
      </w:rPr>
      <w:t xml:space="preserve"> </w:t>
    </w:r>
    <w:r w:rsidR="0008431A" w:rsidRPr="005309BD">
      <w:rPr>
        <w:rFonts w:ascii="Arial" w:hAnsi="Arial" w:cs="Arial"/>
        <w:sz w:val="16"/>
        <w:szCs w:val="16"/>
      </w:rPr>
      <w:t>spudms00000016218383</w:t>
    </w:r>
  </w:p>
  <w:p w14:paraId="5A6AEF52" w14:textId="77777777" w:rsidR="002853DA" w:rsidRPr="002853DA" w:rsidRDefault="009A20BB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>
      <w:rPr>
        <w:rFonts w:ascii="Arial" w:hAnsi="Arial" w:cs="Arial"/>
        <w:sz w:val="16"/>
        <w:szCs w:val="16"/>
      </w:rPr>
      <w:t xml:space="preserve"> </w:t>
    </w:r>
    <w:r w:rsidR="00477F9B" w:rsidRPr="002853DA">
      <w:rPr>
        <w:rFonts w:ascii="Arial" w:hAnsi="Arial" w:cs="Arial"/>
        <w:sz w:val="16"/>
        <w:szCs w:val="16"/>
      </w:rPr>
      <w:t>2025/25</w:t>
    </w:r>
  </w:p>
  <w:p w14:paraId="78A7BEE7" w14:textId="45F70D4D" w:rsidR="00870CE1" w:rsidRDefault="00870CE1" w:rsidP="009A20B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</w:pPr>
    <w:r w:rsidRPr="00E271B3">
      <w:rPr>
        <w:rFonts w:ascii="Arial" w:hAnsi="Arial" w:cs="Arial"/>
        <w:sz w:val="16"/>
        <w:szCs w:val="16"/>
      </w:rPr>
      <w:tab/>
    </w: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Pr="00E271B3">
      <w:rPr>
        <w:rFonts w:ascii="Arial" w:hAnsi="Arial" w:cs="Arial"/>
        <w:sz w:val="16"/>
        <w:szCs w:val="16"/>
      </w:rPr>
      <w:t xml:space="preserve"> </w:t>
    </w:r>
    <w:r w:rsidR="009A20BB">
      <w:rPr>
        <w:rFonts w:ascii="Arial" w:hAnsi="Arial" w:cs="Arial"/>
        <w:sz w:val="16"/>
        <w:szCs w:val="16"/>
      </w:rPr>
      <w:t>Mělčany</w:t>
    </w:r>
    <w:r w:rsidR="006B3538">
      <w:rPr>
        <w:rFonts w:ascii="Arial" w:hAnsi="Arial" w:cs="Arial"/>
        <w:sz w:val="16"/>
        <w:szCs w:val="16"/>
      </w:rPr>
      <w:t xml:space="preserve"> </w:t>
    </w:r>
    <w:r w:rsidR="00372ECB">
      <w:rPr>
        <w:rFonts w:ascii="Arial" w:hAnsi="Arial" w:cs="Arial"/>
        <w:sz w:val="16"/>
        <w:szCs w:val="16"/>
      </w:rPr>
      <w:t>u</w:t>
    </w:r>
    <w:r w:rsidR="006B3538">
      <w:rPr>
        <w:rFonts w:ascii="Arial" w:hAnsi="Arial" w:cs="Arial"/>
        <w:sz w:val="16"/>
        <w:szCs w:val="16"/>
      </w:rPr>
      <w:t xml:space="preserve"> Ivančic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D6D65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205E6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0554E7"/>
    <w:multiLevelType w:val="hybridMultilevel"/>
    <w:tmpl w:val="E61C50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F752F"/>
    <w:multiLevelType w:val="hybridMultilevel"/>
    <w:tmpl w:val="8F88FC3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5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F1C8F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3326594">
    <w:abstractNumId w:val="27"/>
  </w:num>
  <w:num w:numId="2" w16cid:durableId="988285395">
    <w:abstractNumId w:val="20"/>
  </w:num>
  <w:num w:numId="3" w16cid:durableId="1499617988">
    <w:abstractNumId w:val="6"/>
  </w:num>
  <w:num w:numId="4" w16cid:durableId="1507209418">
    <w:abstractNumId w:val="18"/>
  </w:num>
  <w:num w:numId="5" w16cid:durableId="1233732694">
    <w:abstractNumId w:val="24"/>
  </w:num>
  <w:num w:numId="6" w16cid:durableId="1331298701">
    <w:abstractNumId w:val="43"/>
  </w:num>
  <w:num w:numId="7" w16cid:durableId="1341203830">
    <w:abstractNumId w:val="37"/>
  </w:num>
  <w:num w:numId="8" w16cid:durableId="1839077353">
    <w:abstractNumId w:val="50"/>
  </w:num>
  <w:num w:numId="9" w16cid:durableId="563223823">
    <w:abstractNumId w:val="13"/>
  </w:num>
  <w:num w:numId="10" w16cid:durableId="2132894939">
    <w:abstractNumId w:val="49"/>
  </w:num>
  <w:num w:numId="11" w16cid:durableId="9843223">
    <w:abstractNumId w:val="17"/>
  </w:num>
  <w:num w:numId="12" w16cid:durableId="823668638">
    <w:abstractNumId w:val="25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8"/>
  </w:num>
  <w:num w:numId="17" w16cid:durableId="826550233">
    <w:abstractNumId w:val="30"/>
  </w:num>
  <w:num w:numId="18" w16cid:durableId="488640296">
    <w:abstractNumId w:val="26"/>
  </w:num>
  <w:num w:numId="19" w16cid:durableId="369691138">
    <w:abstractNumId w:val="5"/>
  </w:num>
  <w:num w:numId="20" w16cid:durableId="1541017737">
    <w:abstractNumId w:val="36"/>
  </w:num>
  <w:num w:numId="21" w16cid:durableId="1909685643">
    <w:abstractNumId w:val="19"/>
  </w:num>
  <w:num w:numId="22" w16cid:durableId="661541781">
    <w:abstractNumId w:val="22"/>
  </w:num>
  <w:num w:numId="23" w16cid:durableId="1820808390">
    <w:abstractNumId w:val="32"/>
  </w:num>
  <w:num w:numId="24" w16cid:durableId="1723284310">
    <w:abstractNumId w:val="21"/>
  </w:num>
  <w:num w:numId="25" w16cid:durableId="1039892098">
    <w:abstractNumId w:val="23"/>
  </w:num>
  <w:num w:numId="26" w16cid:durableId="1699895836">
    <w:abstractNumId w:val="46"/>
  </w:num>
  <w:num w:numId="27" w16cid:durableId="1779368307">
    <w:abstractNumId w:val="1"/>
  </w:num>
  <w:num w:numId="28" w16cid:durableId="541676950">
    <w:abstractNumId w:val="35"/>
  </w:num>
  <w:num w:numId="29" w16cid:durableId="1559047333">
    <w:abstractNumId w:val="47"/>
  </w:num>
  <w:num w:numId="30" w16cid:durableId="1996714244">
    <w:abstractNumId w:val="12"/>
  </w:num>
  <w:num w:numId="31" w16cid:durableId="1006638107">
    <w:abstractNumId w:val="40"/>
  </w:num>
  <w:num w:numId="32" w16cid:durableId="519583712">
    <w:abstractNumId w:val="42"/>
  </w:num>
  <w:num w:numId="33" w16cid:durableId="439497329">
    <w:abstractNumId w:val="45"/>
  </w:num>
  <w:num w:numId="34" w16cid:durableId="259218482">
    <w:abstractNumId w:val="48"/>
  </w:num>
  <w:num w:numId="35" w16cid:durableId="1708528308">
    <w:abstractNumId w:val="29"/>
  </w:num>
  <w:num w:numId="36" w16cid:durableId="1102997106">
    <w:abstractNumId w:val="33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8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8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9"/>
  </w:num>
  <w:num w:numId="43" w16cid:durableId="946228774">
    <w:abstractNumId w:val="44"/>
  </w:num>
  <w:num w:numId="44" w16cid:durableId="604271097">
    <w:abstractNumId w:val="9"/>
  </w:num>
  <w:num w:numId="45" w16cid:durableId="1876691921">
    <w:abstractNumId w:val="41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4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8"/>
  </w:num>
  <w:num w:numId="52" w16cid:durableId="1053961717">
    <w:abstractNumId w:val="31"/>
  </w:num>
  <w:num w:numId="53" w16cid:durableId="1602489621">
    <w:abstractNumId w:val="51"/>
  </w:num>
  <w:num w:numId="54" w16cid:durableId="530069978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CF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0126"/>
    <w:rsid w:val="00031604"/>
    <w:rsid w:val="00032A28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431A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0F7C58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5448"/>
    <w:rsid w:val="00126413"/>
    <w:rsid w:val="0013196B"/>
    <w:rsid w:val="001342B9"/>
    <w:rsid w:val="001342D9"/>
    <w:rsid w:val="0013434C"/>
    <w:rsid w:val="001357F7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59A7"/>
    <w:rsid w:val="00197775"/>
    <w:rsid w:val="001A1855"/>
    <w:rsid w:val="001A1F82"/>
    <w:rsid w:val="001A2060"/>
    <w:rsid w:val="001A2CA6"/>
    <w:rsid w:val="001A6C24"/>
    <w:rsid w:val="001B0943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5786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1F7BE3"/>
    <w:rsid w:val="00200A21"/>
    <w:rsid w:val="0020159A"/>
    <w:rsid w:val="00202063"/>
    <w:rsid w:val="002046C2"/>
    <w:rsid w:val="00204F0B"/>
    <w:rsid w:val="0020536F"/>
    <w:rsid w:val="002077C2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872"/>
    <w:rsid w:val="00222A70"/>
    <w:rsid w:val="00222D7C"/>
    <w:rsid w:val="0022492B"/>
    <w:rsid w:val="00226908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5B9B"/>
    <w:rsid w:val="00277E6B"/>
    <w:rsid w:val="00280853"/>
    <w:rsid w:val="0028254D"/>
    <w:rsid w:val="00284D21"/>
    <w:rsid w:val="002853DA"/>
    <w:rsid w:val="00286B4A"/>
    <w:rsid w:val="00287B70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0E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3F76"/>
    <w:rsid w:val="002F6379"/>
    <w:rsid w:val="00303DF4"/>
    <w:rsid w:val="00303E20"/>
    <w:rsid w:val="003040CF"/>
    <w:rsid w:val="00305829"/>
    <w:rsid w:val="00306C4D"/>
    <w:rsid w:val="00307007"/>
    <w:rsid w:val="00307F23"/>
    <w:rsid w:val="003129F1"/>
    <w:rsid w:val="00313A87"/>
    <w:rsid w:val="003149B2"/>
    <w:rsid w:val="003155D6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2ECB"/>
    <w:rsid w:val="00373110"/>
    <w:rsid w:val="00374F0E"/>
    <w:rsid w:val="0037583F"/>
    <w:rsid w:val="0038122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96217"/>
    <w:rsid w:val="003971EB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5104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10C9"/>
    <w:rsid w:val="0041293F"/>
    <w:rsid w:val="004129CA"/>
    <w:rsid w:val="00413625"/>
    <w:rsid w:val="00415343"/>
    <w:rsid w:val="004165D7"/>
    <w:rsid w:val="00422A09"/>
    <w:rsid w:val="00425CDF"/>
    <w:rsid w:val="00425F20"/>
    <w:rsid w:val="00427232"/>
    <w:rsid w:val="0042756C"/>
    <w:rsid w:val="004302AD"/>
    <w:rsid w:val="0043049E"/>
    <w:rsid w:val="00431DAC"/>
    <w:rsid w:val="004324D3"/>
    <w:rsid w:val="00432FEF"/>
    <w:rsid w:val="00433AC4"/>
    <w:rsid w:val="00433CFA"/>
    <w:rsid w:val="00436A0A"/>
    <w:rsid w:val="00436F20"/>
    <w:rsid w:val="00437DCA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57B85"/>
    <w:rsid w:val="004628E0"/>
    <w:rsid w:val="004641A4"/>
    <w:rsid w:val="004648C3"/>
    <w:rsid w:val="00472D78"/>
    <w:rsid w:val="00473549"/>
    <w:rsid w:val="0047411B"/>
    <w:rsid w:val="00474C9C"/>
    <w:rsid w:val="0047513F"/>
    <w:rsid w:val="00477C83"/>
    <w:rsid w:val="00477F9B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6E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09BD"/>
    <w:rsid w:val="00531890"/>
    <w:rsid w:val="00531DD8"/>
    <w:rsid w:val="005326CD"/>
    <w:rsid w:val="0053375C"/>
    <w:rsid w:val="00534A15"/>
    <w:rsid w:val="005410E8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8B1"/>
    <w:rsid w:val="00591A67"/>
    <w:rsid w:val="005930FF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D31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0C6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6F2"/>
    <w:rsid w:val="006306FA"/>
    <w:rsid w:val="006309C8"/>
    <w:rsid w:val="00630F6F"/>
    <w:rsid w:val="00632096"/>
    <w:rsid w:val="00634530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93482"/>
    <w:rsid w:val="00697A73"/>
    <w:rsid w:val="006A0D15"/>
    <w:rsid w:val="006A44A5"/>
    <w:rsid w:val="006A4A07"/>
    <w:rsid w:val="006A6193"/>
    <w:rsid w:val="006B09ED"/>
    <w:rsid w:val="006B352C"/>
    <w:rsid w:val="006B3538"/>
    <w:rsid w:val="006B3D80"/>
    <w:rsid w:val="006B422B"/>
    <w:rsid w:val="006B59AB"/>
    <w:rsid w:val="006B5ABA"/>
    <w:rsid w:val="006C69E2"/>
    <w:rsid w:val="006D10BA"/>
    <w:rsid w:val="006D39D2"/>
    <w:rsid w:val="006D42C1"/>
    <w:rsid w:val="006D55C2"/>
    <w:rsid w:val="006D6C55"/>
    <w:rsid w:val="006D7389"/>
    <w:rsid w:val="006E07FE"/>
    <w:rsid w:val="006E1F07"/>
    <w:rsid w:val="006E2EA0"/>
    <w:rsid w:val="006E3F2D"/>
    <w:rsid w:val="006E4017"/>
    <w:rsid w:val="006E4114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34309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51C35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23F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B8F"/>
    <w:rsid w:val="007E6F67"/>
    <w:rsid w:val="007F0CEA"/>
    <w:rsid w:val="007F0E90"/>
    <w:rsid w:val="007F48BE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5C35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417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02B6"/>
    <w:rsid w:val="008C20C1"/>
    <w:rsid w:val="008C3534"/>
    <w:rsid w:val="008C372F"/>
    <w:rsid w:val="008C45CD"/>
    <w:rsid w:val="008C5D07"/>
    <w:rsid w:val="008C6059"/>
    <w:rsid w:val="008C69A5"/>
    <w:rsid w:val="008C76A3"/>
    <w:rsid w:val="008D0617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272B"/>
    <w:rsid w:val="009255B1"/>
    <w:rsid w:val="00925656"/>
    <w:rsid w:val="00926251"/>
    <w:rsid w:val="00931686"/>
    <w:rsid w:val="00931EA8"/>
    <w:rsid w:val="0094054F"/>
    <w:rsid w:val="00940E1E"/>
    <w:rsid w:val="0094270F"/>
    <w:rsid w:val="00942A75"/>
    <w:rsid w:val="009445FF"/>
    <w:rsid w:val="009454A8"/>
    <w:rsid w:val="00945F73"/>
    <w:rsid w:val="00950158"/>
    <w:rsid w:val="00953F58"/>
    <w:rsid w:val="009561D8"/>
    <w:rsid w:val="00956B42"/>
    <w:rsid w:val="00957A32"/>
    <w:rsid w:val="009626D3"/>
    <w:rsid w:val="00963470"/>
    <w:rsid w:val="00963578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6270"/>
    <w:rsid w:val="00997036"/>
    <w:rsid w:val="009A20BB"/>
    <w:rsid w:val="009A2FEB"/>
    <w:rsid w:val="009A5634"/>
    <w:rsid w:val="009A60D0"/>
    <w:rsid w:val="009A6A8B"/>
    <w:rsid w:val="009A6D2B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976"/>
    <w:rsid w:val="009E4239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999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6C5F"/>
    <w:rsid w:val="00A672D7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4803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667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1786B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868C5"/>
    <w:rsid w:val="00B94AA8"/>
    <w:rsid w:val="00B96489"/>
    <w:rsid w:val="00B965AA"/>
    <w:rsid w:val="00BA27FB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E52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4DD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4F4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347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E43"/>
    <w:rsid w:val="00C83798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0E46"/>
    <w:rsid w:val="00CB2017"/>
    <w:rsid w:val="00CB239D"/>
    <w:rsid w:val="00CB2944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2A34"/>
    <w:rsid w:val="00CF37E2"/>
    <w:rsid w:val="00CF54DB"/>
    <w:rsid w:val="00CF647C"/>
    <w:rsid w:val="00D02FFF"/>
    <w:rsid w:val="00D038BE"/>
    <w:rsid w:val="00D03A41"/>
    <w:rsid w:val="00D03CFF"/>
    <w:rsid w:val="00D042B4"/>
    <w:rsid w:val="00D0475B"/>
    <w:rsid w:val="00D10C42"/>
    <w:rsid w:val="00D13E0A"/>
    <w:rsid w:val="00D13F17"/>
    <w:rsid w:val="00D1452E"/>
    <w:rsid w:val="00D14976"/>
    <w:rsid w:val="00D14D9A"/>
    <w:rsid w:val="00D1701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36379"/>
    <w:rsid w:val="00D41E4D"/>
    <w:rsid w:val="00D42268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56D"/>
    <w:rsid w:val="00D64818"/>
    <w:rsid w:val="00D65C68"/>
    <w:rsid w:val="00D65F0A"/>
    <w:rsid w:val="00D65FEB"/>
    <w:rsid w:val="00D711C5"/>
    <w:rsid w:val="00D713DE"/>
    <w:rsid w:val="00D72612"/>
    <w:rsid w:val="00D7542F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A09F9"/>
    <w:rsid w:val="00DA2A0C"/>
    <w:rsid w:val="00DA2F23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E7099"/>
    <w:rsid w:val="00DF07BB"/>
    <w:rsid w:val="00DF53A1"/>
    <w:rsid w:val="00DF6363"/>
    <w:rsid w:val="00DF6369"/>
    <w:rsid w:val="00E06B3A"/>
    <w:rsid w:val="00E142BC"/>
    <w:rsid w:val="00E15418"/>
    <w:rsid w:val="00E16C12"/>
    <w:rsid w:val="00E172F8"/>
    <w:rsid w:val="00E2175F"/>
    <w:rsid w:val="00E23742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0A87"/>
    <w:rsid w:val="00E42B4B"/>
    <w:rsid w:val="00E43456"/>
    <w:rsid w:val="00E454D3"/>
    <w:rsid w:val="00E45EE9"/>
    <w:rsid w:val="00E4747C"/>
    <w:rsid w:val="00E50A69"/>
    <w:rsid w:val="00E52ECC"/>
    <w:rsid w:val="00E54F3D"/>
    <w:rsid w:val="00E5551F"/>
    <w:rsid w:val="00E605DF"/>
    <w:rsid w:val="00E62550"/>
    <w:rsid w:val="00E6262C"/>
    <w:rsid w:val="00E63422"/>
    <w:rsid w:val="00E6424F"/>
    <w:rsid w:val="00E65673"/>
    <w:rsid w:val="00E65A11"/>
    <w:rsid w:val="00E66C18"/>
    <w:rsid w:val="00E678BF"/>
    <w:rsid w:val="00E72780"/>
    <w:rsid w:val="00E72878"/>
    <w:rsid w:val="00E74254"/>
    <w:rsid w:val="00E76F18"/>
    <w:rsid w:val="00E77656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6C9A"/>
    <w:rsid w:val="00F8750E"/>
    <w:rsid w:val="00F87A5F"/>
    <w:rsid w:val="00F91758"/>
    <w:rsid w:val="00F918D5"/>
    <w:rsid w:val="00F93BDC"/>
    <w:rsid w:val="00F947AF"/>
    <w:rsid w:val="00F94AEC"/>
    <w:rsid w:val="00F95325"/>
    <w:rsid w:val="00F961E9"/>
    <w:rsid w:val="00F96E2D"/>
    <w:rsid w:val="00F97E23"/>
    <w:rsid w:val="00FA042E"/>
    <w:rsid w:val="00FA0D7B"/>
    <w:rsid w:val="00FA1C47"/>
    <w:rsid w:val="00FA20FE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35F4E-E20B-483B-A3F4-D881670D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3946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2025-12-16T12:06:00Z</dcterms:created>
  <dcterms:modified xsi:type="dcterms:W3CDTF">2025-12-16T13:23:00Z</dcterms:modified>
</cp:coreProperties>
</file>