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E7561" w14:textId="5CDFDF37" w:rsidR="00CD7C92" w:rsidRPr="00FC3078" w:rsidRDefault="342FAA93">
      <w:pPr>
        <w:pStyle w:val="Nzev"/>
        <w:rPr>
          <w:color w:val="FF0000"/>
        </w:rPr>
      </w:pPr>
      <w:r>
        <w:t>Kupní smlouva č. KS-2025-015</w:t>
      </w:r>
    </w:p>
    <w:p w14:paraId="7D49F409" w14:textId="0CAE2737" w:rsidR="00CD7C92" w:rsidRPr="003E5C73" w:rsidRDefault="003E5C73">
      <w:pPr>
        <w:jc w:val="center"/>
      </w:pPr>
      <w:r w:rsidRPr="003E5C73">
        <w:t>v</w:t>
      </w:r>
      <w:r>
        <w:t>er. 2</w:t>
      </w:r>
      <w:r w:rsidRPr="003E5C73">
        <w:t>.0</w:t>
      </w:r>
      <w:r w:rsidR="00D741C0">
        <w:t>2</w:t>
      </w:r>
    </w:p>
    <w:p w14:paraId="1923E965" w14:textId="77777777" w:rsidR="003E5C73" w:rsidRDefault="003E5C73">
      <w:pPr>
        <w:jc w:val="center"/>
        <w:rPr>
          <w:sz w:val="24"/>
        </w:rPr>
      </w:pPr>
    </w:p>
    <w:p w14:paraId="11BD7F5E" w14:textId="77777777" w:rsidR="00CD7C92" w:rsidRPr="00FC3078" w:rsidRDefault="00CD7C92">
      <w:pPr>
        <w:jc w:val="center"/>
        <w:rPr>
          <w:sz w:val="24"/>
        </w:rPr>
      </w:pPr>
      <w:r w:rsidRPr="00FC3078">
        <w:rPr>
          <w:sz w:val="24"/>
        </w:rPr>
        <w:t xml:space="preserve">uzavřená podle ustanovení </w:t>
      </w:r>
      <w:r w:rsidR="00D5433B" w:rsidRPr="00FC3078">
        <w:rPr>
          <w:sz w:val="24"/>
        </w:rPr>
        <w:t xml:space="preserve">dle § </w:t>
      </w:r>
      <w:r w:rsidR="00A7638A" w:rsidRPr="00FC3078">
        <w:rPr>
          <w:sz w:val="24"/>
        </w:rPr>
        <w:t>2079</w:t>
      </w:r>
      <w:r w:rsidR="00D5433B" w:rsidRPr="00FC3078">
        <w:rPr>
          <w:sz w:val="24"/>
        </w:rPr>
        <w:t xml:space="preserve"> zákona č. 89/2012 Sb. občanského zákoníku</w:t>
      </w:r>
    </w:p>
    <w:p w14:paraId="2DCBEB0D" w14:textId="77777777" w:rsidR="00CD7C92" w:rsidRPr="00FC3078" w:rsidRDefault="00CD7C92">
      <w:pPr>
        <w:jc w:val="center"/>
        <w:rPr>
          <w:b/>
          <w:sz w:val="28"/>
        </w:rPr>
      </w:pPr>
    </w:p>
    <w:p w14:paraId="03052A84" w14:textId="77777777" w:rsidR="00CD7C92" w:rsidRPr="00FC3078" w:rsidRDefault="00CD7C92">
      <w:pPr>
        <w:jc w:val="center"/>
        <w:rPr>
          <w:b/>
          <w:sz w:val="24"/>
        </w:rPr>
      </w:pPr>
    </w:p>
    <w:p w14:paraId="783CC6CB" w14:textId="6EE8E1A0" w:rsidR="00CD7C92" w:rsidRPr="00FC3078" w:rsidRDefault="00CD7C92">
      <w:pPr>
        <w:pStyle w:val="Nadpis1"/>
        <w:jc w:val="left"/>
        <w:rPr>
          <w:b w:val="0"/>
        </w:rPr>
      </w:pPr>
      <w:r w:rsidRPr="001331E7">
        <w:rPr>
          <w:b w:val="0"/>
          <w:u w:val="single"/>
        </w:rPr>
        <w:t>Smluvní strany</w:t>
      </w:r>
      <w:r w:rsidR="001331E7">
        <w:rPr>
          <w:b w:val="0"/>
        </w:rPr>
        <w:t>:</w:t>
      </w:r>
    </w:p>
    <w:p w14:paraId="4EA34678" w14:textId="77777777" w:rsidR="00CD7C92" w:rsidRPr="00FC3078" w:rsidRDefault="00CD7C92">
      <w:pPr>
        <w:jc w:val="center"/>
        <w:rPr>
          <w:b/>
          <w:sz w:val="28"/>
        </w:rPr>
      </w:pPr>
    </w:p>
    <w:p w14:paraId="784E5353" w14:textId="77777777" w:rsidR="00F91845" w:rsidRDefault="00F91845">
      <w:pPr>
        <w:rPr>
          <w:b/>
          <w:sz w:val="24"/>
        </w:rPr>
      </w:pPr>
      <w:r w:rsidRPr="00F91845">
        <w:rPr>
          <w:b/>
          <w:sz w:val="24"/>
        </w:rPr>
        <w:t>Střední zahradnická škola Rajhrad, p. o.</w:t>
      </w:r>
    </w:p>
    <w:p w14:paraId="45EAF565" w14:textId="7724A425" w:rsidR="00E578D9" w:rsidRPr="000A27BA" w:rsidRDefault="00CD7C92" w:rsidP="00F824B2">
      <w:pPr>
        <w:rPr>
          <w:sz w:val="24"/>
          <w:szCs w:val="24"/>
          <w:highlight w:val="yellow"/>
        </w:rPr>
      </w:pPr>
      <w:r w:rsidRPr="00F824B2">
        <w:rPr>
          <w:sz w:val="24"/>
          <w:szCs w:val="24"/>
        </w:rPr>
        <w:t>se sídlem:</w:t>
      </w:r>
      <w:r w:rsidR="00E578D9" w:rsidRPr="00F824B2">
        <w:rPr>
          <w:sz w:val="24"/>
          <w:szCs w:val="24"/>
        </w:rPr>
        <w:t xml:space="preserve"> </w:t>
      </w:r>
      <w:r w:rsidR="00F91845" w:rsidRPr="00F91845">
        <w:rPr>
          <w:sz w:val="24"/>
          <w:szCs w:val="24"/>
        </w:rPr>
        <w:t>Masarykova 198</w:t>
      </w:r>
      <w:r w:rsidR="00F91845">
        <w:rPr>
          <w:sz w:val="24"/>
          <w:szCs w:val="24"/>
        </w:rPr>
        <w:t xml:space="preserve">, </w:t>
      </w:r>
      <w:r w:rsidR="00F91845" w:rsidRPr="00F91845">
        <w:rPr>
          <w:sz w:val="24"/>
          <w:szCs w:val="24"/>
        </w:rPr>
        <w:t>664 61 Rajhrad</w:t>
      </w:r>
    </w:p>
    <w:p w14:paraId="43AA5518" w14:textId="22467DC4" w:rsidR="00CD7C92" w:rsidRPr="00F91845" w:rsidRDefault="00CD7C92" w:rsidP="00645E33">
      <w:pPr>
        <w:rPr>
          <w:sz w:val="24"/>
          <w:szCs w:val="24"/>
        </w:rPr>
      </w:pPr>
      <w:r w:rsidRPr="00F824B2">
        <w:rPr>
          <w:sz w:val="24"/>
          <w:szCs w:val="24"/>
        </w:rPr>
        <w:t xml:space="preserve">zastoupená: </w:t>
      </w:r>
      <w:r w:rsidR="00645E33" w:rsidRPr="00F824B2">
        <w:rPr>
          <w:sz w:val="24"/>
          <w:szCs w:val="24"/>
        </w:rPr>
        <w:tab/>
      </w:r>
      <w:r w:rsidR="00645E33" w:rsidRPr="00F824B2">
        <w:rPr>
          <w:sz w:val="24"/>
          <w:szCs w:val="24"/>
        </w:rPr>
        <w:tab/>
      </w:r>
      <w:r w:rsidR="00D741C0" w:rsidRPr="00D741C0">
        <w:rPr>
          <w:b/>
          <w:bCs/>
          <w:sz w:val="24"/>
          <w:szCs w:val="24"/>
        </w:rPr>
        <w:t xml:space="preserve">PaedDr. Markem </w:t>
      </w:r>
      <w:proofErr w:type="spellStart"/>
      <w:r w:rsidR="00D741C0" w:rsidRPr="00D741C0">
        <w:rPr>
          <w:b/>
          <w:bCs/>
          <w:sz w:val="24"/>
          <w:szCs w:val="24"/>
        </w:rPr>
        <w:t>Kň</w:t>
      </w:r>
      <w:r w:rsidR="001331E7">
        <w:rPr>
          <w:b/>
          <w:bCs/>
          <w:sz w:val="24"/>
          <w:szCs w:val="24"/>
        </w:rPr>
        <w:t>a</w:t>
      </w:r>
      <w:r w:rsidR="00D741C0" w:rsidRPr="00D741C0">
        <w:rPr>
          <w:b/>
          <w:bCs/>
          <w:sz w:val="24"/>
          <w:szCs w:val="24"/>
        </w:rPr>
        <w:t>žíkem</w:t>
      </w:r>
      <w:proofErr w:type="spellEnd"/>
      <w:r w:rsidR="00D741C0" w:rsidRPr="00D741C0">
        <w:rPr>
          <w:b/>
          <w:bCs/>
          <w:sz w:val="24"/>
          <w:szCs w:val="24"/>
        </w:rPr>
        <w:t>, ředitelem</w:t>
      </w:r>
      <w:r w:rsidR="00645E33" w:rsidRPr="00D741C0">
        <w:rPr>
          <w:b/>
          <w:bCs/>
          <w:sz w:val="24"/>
          <w:szCs w:val="24"/>
          <w:highlight w:val="yellow"/>
        </w:rPr>
        <w:br/>
      </w:r>
      <w:proofErr w:type="gramStart"/>
      <w:r w:rsidRPr="00F91845">
        <w:rPr>
          <w:sz w:val="24"/>
          <w:szCs w:val="24"/>
        </w:rPr>
        <w:t>IČO :</w:t>
      </w:r>
      <w:proofErr w:type="gramEnd"/>
      <w:r w:rsidRPr="00F91845">
        <w:rPr>
          <w:sz w:val="24"/>
          <w:szCs w:val="24"/>
        </w:rPr>
        <w:t xml:space="preserve"> </w:t>
      </w:r>
      <w:r w:rsidR="00D5433B" w:rsidRPr="00F91845">
        <w:rPr>
          <w:sz w:val="24"/>
          <w:szCs w:val="24"/>
        </w:rPr>
        <w:tab/>
      </w:r>
      <w:r w:rsidR="00D5433B" w:rsidRPr="00F91845">
        <w:rPr>
          <w:sz w:val="24"/>
          <w:szCs w:val="24"/>
        </w:rPr>
        <w:tab/>
      </w:r>
      <w:r w:rsidR="00D5433B" w:rsidRPr="00F91845">
        <w:rPr>
          <w:sz w:val="24"/>
          <w:szCs w:val="24"/>
        </w:rPr>
        <w:tab/>
      </w:r>
      <w:r w:rsidR="00F91845" w:rsidRPr="00F91845">
        <w:rPr>
          <w:sz w:val="24"/>
          <w:szCs w:val="24"/>
        </w:rPr>
        <w:t>00055468</w:t>
      </w:r>
    </w:p>
    <w:p w14:paraId="2E995A35" w14:textId="33BD9D4B" w:rsidR="00CD7C92" w:rsidRPr="00FC3078" w:rsidRDefault="00CD7C92" w:rsidP="001331E7">
      <w:pPr>
        <w:rPr>
          <w:sz w:val="24"/>
        </w:rPr>
      </w:pPr>
      <w:proofErr w:type="gramStart"/>
      <w:r w:rsidRPr="00F91845">
        <w:rPr>
          <w:sz w:val="24"/>
          <w:szCs w:val="24"/>
        </w:rPr>
        <w:t>DIČ :</w:t>
      </w:r>
      <w:proofErr w:type="gramEnd"/>
      <w:r w:rsidRPr="00F91845">
        <w:rPr>
          <w:sz w:val="24"/>
          <w:szCs w:val="24"/>
        </w:rPr>
        <w:t xml:space="preserve"> </w:t>
      </w:r>
      <w:r w:rsidR="00D5433B" w:rsidRPr="00F91845">
        <w:rPr>
          <w:sz w:val="24"/>
          <w:szCs w:val="24"/>
        </w:rPr>
        <w:tab/>
      </w:r>
      <w:r w:rsidR="00D5433B" w:rsidRPr="00F91845">
        <w:rPr>
          <w:sz w:val="24"/>
          <w:szCs w:val="24"/>
        </w:rPr>
        <w:tab/>
      </w:r>
      <w:r w:rsidR="00D5433B" w:rsidRPr="00F91845">
        <w:rPr>
          <w:sz w:val="24"/>
          <w:szCs w:val="24"/>
        </w:rPr>
        <w:tab/>
      </w:r>
      <w:r w:rsidR="00F91845" w:rsidRPr="00F91845">
        <w:rPr>
          <w:sz w:val="24"/>
          <w:szCs w:val="24"/>
        </w:rPr>
        <w:t>CZ00055468</w:t>
      </w:r>
      <w:r w:rsidR="00D17D55" w:rsidRPr="00FC3078">
        <w:rPr>
          <w:sz w:val="24"/>
          <w:szCs w:val="24"/>
        </w:rPr>
        <w:t xml:space="preserve"> </w:t>
      </w:r>
      <w:r w:rsidR="00AA4B3A" w:rsidRPr="00FC3078">
        <w:rPr>
          <w:sz w:val="24"/>
          <w:szCs w:val="24"/>
        </w:rPr>
        <w:br/>
      </w:r>
      <w:r w:rsidRPr="00FC3078">
        <w:rPr>
          <w:sz w:val="24"/>
        </w:rPr>
        <w:t>(dále jen „kupující“)</w:t>
      </w:r>
    </w:p>
    <w:p w14:paraId="4C2670CE" w14:textId="77777777" w:rsidR="00CD7C92" w:rsidRPr="00FC3078" w:rsidRDefault="00CD7C92">
      <w:pPr>
        <w:jc w:val="both"/>
        <w:rPr>
          <w:sz w:val="24"/>
        </w:rPr>
      </w:pPr>
    </w:p>
    <w:p w14:paraId="79C26899" w14:textId="77777777" w:rsidR="00CD7C92" w:rsidRPr="00FC3078" w:rsidRDefault="00CD7C92">
      <w:pPr>
        <w:jc w:val="both"/>
        <w:rPr>
          <w:sz w:val="24"/>
        </w:rPr>
      </w:pPr>
      <w:r w:rsidRPr="00FC3078">
        <w:rPr>
          <w:sz w:val="24"/>
        </w:rPr>
        <w:t>a</w:t>
      </w:r>
    </w:p>
    <w:p w14:paraId="3233A6A6" w14:textId="77777777" w:rsidR="00CD7C92" w:rsidRPr="00FC3078" w:rsidRDefault="00CD7C92">
      <w:pPr>
        <w:rPr>
          <w:sz w:val="24"/>
        </w:rPr>
      </w:pPr>
    </w:p>
    <w:p w14:paraId="028D0BE5" w14:textId="77777777" w:rsidR="00CD7C92" w:rsidRPr="00FC3078" w:rsidRDefault="00CD7C92">
      <w:pPr>
        <w:rPr>
          <w:b/>
          <w:sz w:val="24"/>
        </w:rPr>
      </w:pPr>
      <w:r w:rsidRPr="00FC3078">
        <w:rPr>
          <w:b/>
          <w:sz w:val="24"/>
        </w:rPr>
        <w:t>PROFIcomms s.r.o.</w:t>
      </w:r>
    </w:p>
    <w:p w14:paraId="780DFEA5" w14:textId="77777777" w:rsidR="00CD7C92" w:rsidRPr="00FC3078" w:rsidRDefault="00CD7C92">
      <w:pPr>
        <w:rPr>
          <w:sz w:val="24"/>
        </w:rPr>
      </w:pPr>
      <w:r w:rsidRPr="00FC3078">
        <w:rPr>
          <w:sz w:val="24"/>
        </w:rPr>
        <w:t>zapsaná v obchodním rejstříku vedeném u Krajského soudu v Brně odd. C</w:t>
      </w:r>
      <w:r w:rsidR="001051CD" w:rsidRPr="00FC3078">
        <w:rPr>
          <w:sz w:val="24"/>
        </w:rPr>
        <w:t>.</w:t>
      </w:r>
      <w:r w:rsidRPr="00FC3078">
        <w:rPr>
          <w:sz w:val="24"/>
        </w:rPr>
        <w:t>, vložka č. 9905</w:t>
      </w:r>
    </w:p>
    <w:p w14:paraId="4BEEF176" w14:textId="77777777" w:rsidR="00CD7C92" w:rsidRPr="00FC3078" w:rsidRDefault="00CD7C92">
      <w:pPr>
        <w:spacing w:line="240" w:lineRule="atLeast"/>
        <w:rPr>
          <w:sz w:val="24"/>
        </w:rPr>
      </w:pPr>
      <w:r w:rsidRPr="00FC3078">
        <w:rPr>
          <w:sz w:val="24"/>
        </w:rPr>
        <w:t xml:space="preserve">se sídlem: </w:t>
      </w:r>
      <w:r w:rsidR="00D5433B" w:rsidRPr="00FC3078">
        <w:rPr>
          <w:sz w:val="24"/>
        </w:rPr>
        <w:tab/>
      </w:r>
      <w:r w:rsidR="00D5433B" w:rsidRPr="00FC3078">
        <w:rPr>
          <w:sz w:val="24"/>
        </w:rPr>
        <w:tab/>
      </w:r>
      <w:r w:rsidR="001C5844" w:rsidRPr="00FC3078">
        <w:rPr>
          <w:sz w:val="24"/>
        </w:rPr>
        <w:t>Olomoucká 91</w:t>
      </w:r>
      <w:r w:rsidRPr="00FC3078">
        <w:rPr>
          <w:sz w:val="24"/>
        </w:rPr>
        <w:t>, 6</w:t>
      </w:r>
      <w:r w:rsidR="001C5844" w:rsidRPr="00FC3078">
        <w:rPr>
          <w:sz w:val="24"/>
        </w:rPr>
        <w:t>27</w:t>
      </w:r>
      <w:r w:rsidRPr="00FC3078">
        <w:rPr>
          <w:sz w:val="24"/>
        </w:rPr>
        <w:t xml:space="preserve"> 00 Brno</w:t>
      </w:r>
    </w:p>
    <w:p w14:paraId="28B20D77" w14:textId="77777777" w:rsidR="00CD7C92" w:rsidRPr="00FC3078" w:rsidRDefault="00CD7C92">
      <w:pPr>
        <w:spacing w:line="240" w:lineRule="atLeast"/>
        <w:rPr>
          <w:sz w:val="24"/>
        </w:rPr>
      </w:pPr>
      <w:r w:rsidRPr="00FC3078">
        <w:rPr>
          <w:sz w:val="24"/>
        </w:rPr>
        <w:t xml:space="preserve">zastoupená: </w:t>
      </w:r>
      <w:r w:rsidR="00D5433B" w:rsidRPr="00FC3078">
        <w:rPr>
          <w:sz w:val="24"/>
        </w:rPr>
        <w:tab/>
      </w:r>
      <w:r w:rsidR="00D5433B" w:rsidRPr="00FC3078">
        <w:rPr>
          <w:sz w:val="24"/>
        </w:rPr>
        <w:tab/>
      </w:r>
      <w:r w:rsidR="009656EF" w:rsidRPr="00FC3078">
        <w:rPr>
          <w:b/>
          <w:sz w:val="24"/>
        </w:rPr>
        <w:t>d</w:t>
      </w:r>
      <w:r w:rsidRPr="00FC3078">
        <w:rPr>
          <w:b/>
          <w:sz w:val="24"/>
        </w:rPr>
        <w:t>oc. Ing. Františkem Urbanem, CSc., jednatelem</w:t>
      </w:r>
    </w:p>
    <w:p w14:paraId="51BB60A7" w14:textId="46543A0B" w:rsidR="00CD7C92" w:rsidRPr="00FC3078" w:rsidRDefault="00CD7C92">
      <w:pPr>
        <w:spacing w:line="240" w:lineRule="atLeast"/>
        <w:rPr>
          <w:sz w:val="24"/>
        </w:rPr>
      </w:pPr>
      <w:r w:rsidRPr="00FC3078">
        <w:rPr>
          <w:sz w:val="24"/>
        </w:rPr>
        <w:t xml:space="preserve">bankovní spojení: </w:t>
      </w:r>
      <w:r w:rsidR="00D5433B" w:rsidRPr="00FC3078">
        <w:rPr>
          <w:sz w:val="24"/>
        </w:rPr>
        <w:tab/>
      </w:r>
    </w:p>
    <w:p w14:paraId="1C77B904" w14:textId="0C482230" w:rsidR="00CD7C92" w:rsidRPr="00FC3078" w:rsidRDefault="00CD7C92">
      <w:pPr>
        <w:spacing w:line="240" w:lineRule="atLeast"/>
        <w:rPr>
          <w:sz w:val="24"/>
        </w:rPr>
      </w:pPr>
      <w:r w:rsidRPr="00FC3078">
        <w:rPr>
          <w:sz w:val="24"/>
        </w:rPr>
        <w:t xml:space="preserve">číslo účtu: </w:t>
      </w:r>
      <w:r w:rsidR="00D5433B" w:rsidRPr="00FC3078">
        <w:rPr>
          <w:sz w:val="24"/>
        </w:rPr>
        <w:tab/>
      </w:r>
      <w:r w:rsidR="00D5433B" w:rsidRPr="00FC3078">
        <w:rPr>
          <w:sz w:val="24"/>
        </w:rPr>
        <w:tab/>
      </w:r>
    </w:p>
    <w:p w14:paraId="380199D5" w14:textId="77777777" w:rsidR="00CD7C92" w:rsidRPr="00FC3078" w:rsidRDefault="00CD7C92">
      <w:pPr>
        <w:spacing w:line="240" w:lineRule="atLeast"/>
        <w:rPr>
          <w:sz w:val="24"/>
        </w:rPr>
      </w:pPr>
      <w:r w:rsidRPr="00FC3078">
        <w:rPr>
          <w:sz w:val="24"/>
        </w:rPr>
        <w:t xml:space="preserve">IČO: </w:t>
      </w:r>
      <w:r w:rsidR="00D5433B" w:rsidRPr="00FC3078">
        <w:rPr>
          <w:sz w:val="24"/>
        </w:rPr>
        <w:tab/>
      </w:r>
      <w:r w:rsidR="00D5433B" w:rsidRPr="00FC3078">
        <w:rPr>
          <w:sz w:val="24"/>
        </w:rPr>
        <w:tab/>
      </w:r>
      <w:r w:rsidR="00D5433B" w:rsidRPr="00FC3078">
        <w:rPr>
          <w:sz w:val="24"/>
        </w:rPr>
        <w:tab/>
      </w:r>
      <w:r w:rsidRPr="00FC3078">
        <w:rPr>
          <w:sz w:val="24"/>
        </w:rPr>
        <w:t>47911263</w:t>
      </w:r>
    </w:p>
    <w:p w14:paraId="30774FE1" w14:textId="77777777" w:rsidR="00CD7C92" w:rsidRPr="00FC3078" w:rsidRDefault="00CD7C92">
      <w:pPr>
        <w:spacing w:line="240" w:lineRule="atLeast"/>
        <w:rPr>
          <w:sz w:val="24"/>
        </w:rPr>
      </w:pPr>
      <w:r w:rsidRPr="00FC3078">
        <w:rPr>
          <w:sz w:val="24"/>
        </w:rPr>
        <w:t xml:space="preserve">DIČ: </w:t>
      </w:r>
      <w:r w:rsidR="00D5433B" w:rsidRPr="00FC3078">
        <w:rPr>
          <w:sz w:val="24"/>
        </w:rPr>
        <w:tab/>
      </w:r>
      <w:r w:rsidR="00D5433B" w:rsidRPr="00FC3078">
        <w:rPr>
          <w:sz w:val="24"/>
        </w:rPr>
        <w:tab/>
      </w:r>
      <w:r w:rsidR="00D5433B" w:rsidRPr="00FC3078">
        <w:rPr>
          <w:sz w:val="24"/>
        </w:rPr>
        <w:tab/>
      </w:r>
      <w:r w:rsidR="00F978F8" w:rsidRPr="00FC3078">
        <w:rPr>
          <w:sz w:val="24"/>
        </w:rPr>
        <w:t>CZ</w:t>
      </w:r>
      <w:r w:rsidRPr="00FC3078">
        <w:rPr>
          <w:sz w:val="24"/>
        </w:rPr>
        <w:t>47911263</w:t>
      </w:r>
    </w:p>
    <w:p w14:paraId="6C4039DC" w14:textId="77777777" w:rsidR="00CD7C92" w:rsidRPr="00FC3078" w:rsidRDefault="00CD7C92">
      <w:pPr>
        <w:jc w:val="both"/>
        <w:rPr>
          <w:sz w:val="24"/>
        </w:rPr>
      </w:pPr>
      <w:r w:rsidRPr="00FC3078">
        <w:rPr>
          <w:sz w:val="24"/>
        </w:rPr>
        <w:t xml:space="preserve">(dále jen „prodávající“) </w:t>
      </w:r>
    </w:p>
    <w:p w14:paraId="76F8A5EE" w14:textId="77777777" w:rsidR="00CD7C92" w:rsidRPr="00FC3078" w:rsidRDefault="00CD7C92">
      <w:pPr>
        <w:jc w:val="both"/>
        <w:rPr>
          <w:sz w:val="24"/>
        </w:rPr>
      </w:pPr>
    </w:p>
    <w:p w14:paraId="3C0282CA" w14:textId="77777777" w:rsidR="00CD7C92" w:rsidRPr="00FC3078" w:rsidRDefault="00CD7C92">
      <w:pPr>
        <w:jc w:val="both"/>
        <w:rPr>
          <w:sz w:val="24"/>
        </w:rPr>
      </w:pPr>
    </w:p>
    <w:p w14:paraId="47604571" w14:textId="77777777" w:rsidR="00CD7C92" w:rsidRPr="00FC3078" w:rsidRDefault="00CD7C92">
      <w:pPr>
        <w:jc w:val="both"/>
        <w:rPr>
          <w:b/>
          <w:sz w:val="24"/>
        </w:rPr>
      </w:pPr>
      <w:r w:rsidRPr="00FC3078">
        <w:rPr>
          <w:sz w:val="24"/>
        </w:rPr>
        <w:t>uzavírají níže uvedeného dne, měsíce a roku na základě konsensu o všech níže uvedených ustanoveních tuto kupní smlouvu.</w:t>
      </w:r>
    </w:p>
    <w:p w14:paraId="5354D385" w14:textId="77777777" w:rsidR="00CD7C92" w:rsidRPr="00FC3078" w:rsidRDefault="00CD7C92">
      <w:pPr>
        <w:jc w:val="center"/>
        <w:rPr>
          <w:b/>
          <w:sz w:val="24"/>
        </w:rPr>
      </w:pPr>
    </w:p>
    <w:p w14:paraId="78437C7D" w14:textId="77777777" w:rsidR="00CD7C92" w:rsidRPr="00FC3078" w:rsidRDefault="00CD7C92">
      <w:pPr>
        <w:rPr>
          <w:b/>
          <w:sz w:val="24"/>
        </w:rPr>
      </w:pPr>
    </w:p>
    <w:p w14:paraId="500BCC2F" w14:textId="77777777" w:rsidR="00CD7C92" w:rsidRPr="00FC3078" w:rsidRDefault="00CD7C92">
      <w:pPr>
        <w:jc w:val="center"/>
        <w:rPr>
          <w:b/>
          <w:sz w:val="24"/>
        </w:rPr>
      </w:pPr>
      <w:r w:rsidRPr="00FC3078">
        <w:rPr>
          <w:b/>
          <w:sz w:val="24"/>
        </w:rPr>
        <w:t>I.</w:t>
      </w:r>
    </w:p>
    <w:p w14:paraId="6FA4FBD1" w14:textId="77777777" w:rsidR="00CD7C92" w:rsidRPr="00FC3078" w:rsidRDefault="00CD7C92">
      <w:pPr>
        <w:jc w:val="center"/>
        <w:rPr>
          <w:b/>
          <w:sz w:val="24"/>
        </w:rPr>
      </w:pPr>
      <w:r w:rsidRPr="00FC3078">
        <w:rPr>
          <w:b/>
          <w:sz w:val="24"/>
        </w:rPr>
        <w:t>Předmět smlouvy</w:t>
      </w:r>
    </w:p>
    <w:p w14:paraId="275D6B7A" w14:textId="77777777" w:rsidR="00CD7C92" w:rsidRPr="00FC3078" w:rsidRDefault="00CD7C92">
      <w:pPr>
        <w:jc w:val="both"/>
        <w:rPr>
          <w:b/>
          <w:sz w:val="24"/>
        </w:rPr>
      </w:pPr>
    </w:p>
    <w:p w14:paraId="45F0E62F" w14:textId="77777777" w:rsidR="00CD7C92" w:rsidRPr="00FC3078" w:rsidRDefault="00CD7C92">
      <w:pPr>
        <w:pStyle w:val="Zkladntextodsazen3"/>
        <w:numPr>
          <w:ilvl w:val="0"/>
          <w:numId w:val="20"/>
        </w:numPr>
        <w:spacing w:line="240" w:lineRule="auto"/>
        <w:jc w:val="both"/>
      </w:pPr>
      <w:r w:rsidRPr="00FC3078">
        <w:t xml:space="preserve">Předmětem koupě se rozumí </w:t>
      </w:r>
      <w:r w:rsidR="000A27BA">
        <w:t>zboží</w:t>
      </w:r>
      <w:r w:rsidRPr="00FC3078">
        <w:t>, jehož specifikace je uvedena v příloze č.1 této smlouvy, která tvoří její nedílnou součást.</w:t>
      </w:r>
    </w:p>
    <w:p w14:paraId="45BB8220" w14:textId="77777777" w:rsidR="00CD7C92" w:rsidRPr="00FC3078" w:rsidRDefault="00CD7C92">
      <w:pPr>
        <w:pStyle w:val="Zkladntextodsazen3"/>
        <w:numPr>
          <w:ilvl w:val="0"/>
          <w:numId w:val="20"/>
        </w:numPr>
        <w:spacing w:line="240" w:lineRule="auto"/>
        <w:jc w:val="both"/>
      </w:pPr>
      <w:r w:rsidRPr="00FC3078">
        <w:t xml:space="preserve">Prodávající touto smlouvou </w:t>
      </w:r>
      <w:r w:rsidR="005817E4" w:rsidRPr="00FC3078">
        <w:t>prodává</w:t>
      </w:r>
      <w:r w:rsidR="005817E4" w:rsidRPr="00FC3078">
        <w:rPr>
          <w:b/>
        </w:rPr>
        <w:t xml:space="preserve"> kupujícímu</w:t>
      </w:r>
      <w:r w:rsidRPr="00FC3078">
        <w:t xml:space="preserve"> předmět koupě a kupující předmět koupě od prodávajícího kupuje</w:t>
      </w:r>
      <w:r w:rsidRPr="00FC3078">
        <w:rPr>
          <w:b/>
        </w:rPr>
        <w:t xml:space="preserve"> </w:t>
      </w:r>
      <w:r w:rsidRPr="00FC3078">
        <w:t>a do svého vlastnictví přebírá,</w:t>
      </w:r>
      <w:r w:rsidRPr="00FC3078">
        <w:rPr>
          <w:b/>
        </w:rPr>
        <w:t xml:space="preserve"> </w:t>
      </w:r>
      <w:r w:rsidRPr="00FC3078">
        <w:t xml:space="preserve">za vzájemně dohodnutou kupní cenu, jejíž výše je uvedena v čl. II. odst. 1 této smlouvy.   </w:t>
      </w:r>
    </w:p>
    <w:p w14:paraId="457BD26D" w14:textId="77777777" w:rsidR="00CD7C92" w:rsidRPr="00FC3078" w:rsidRDefault="00CD7C92">
      <w:pPr>
        <w:pStyle w:val="Zkladntextodsazen2"/>
        <w:numPr>
          <w:ilvl w:val="0"/>
          <w:numId w:val="20"/>
        </w:numPr>
      </w:pPr>
      <w:r w:rsidRPr="00FC3078">
        <w:t xml:space="preserve">Prodávající prohlašuje, že předmět </w:t>
      </w:r>
      <w:proofErr w:type="gramStart"/>
      <w:r w:rsidRPr="00FC3078">
        <w:t>koupě  dle</w:t>
      </w:r>
      <w:proofErr w:type="gramEnd"/>
      <w:r w:rsidRPr="00FC3078">
        <w:t xml:space="preserve"> čl. I. odst.1 této smlouvy je prostý právních vad a má vlastnosti stanovené obecně závaznými právními předpisy a příslušnými technickými normami.</w:t>
      </w:r>
    </w:p>
    <w:p w14:paraId="3A448068" w14:textId="77777777" w:rsidR="00CD7C92" w:rsidRPr="00FC3078" w:rsidRDefault="00CD7C92">
      <w:pPr>
        <w:pStyle w:val="Zkladntext"/>
        <w:numPr>
          <w:ilvl w:val="0"/>
          <w:numId w:val="20"/>
        </w:numPr>
        <w:rPr>
          <w:rFonts w:ascii="Times New Roman" w:hAnsi="Times New Roman"/>
        </w:rPr>
      </w:pPr>
      <w:r w:rsidRPr="00FC3078">
        <w:rPr>
          <w:rFonts w:ascii="Times New Roman" w:hAnsi="Times New Roman"/>
        </w:rPr>
        <w:t>Kupující prohlašuje, že se seznámil s předmětem koupě.</w:t>
      </w:r>
    </w:p>
    <w:p w14:paraId="70FEE354" w14:textId="77777777" w:rsidR="00CD7C92" w:rsidRPr="00FC3078" w:rsidRDefault="00CD7C92">
      <w:pPr>
        <w:jc w:val="center"/>
        <w:rPr>
          <w:b/>
          <w:sz w:val="24"/>
        </w:rPr>
      </w:pPr>
      <w:r w:rsidRPr="00FC3078">
        <w:rPr>
          <w:b/>
          <w:sz w:val="24"/>
        </w:rPr>
        <w:br w:type="page"/>
      </w:r>
      <w:r w:rsidRPr="00FC3078">
        <w:rPr>
          <w:b/>
          <w:sz w:val="24"/>
        </w:rPr>
        <w:lastRenderedPageBreak/>
        <w:t>II.</w:t>
      </w:r>
    </w:p>
    <w:p w14:paraId="7D640DA4" w14:textId="77777777" w:rsidR="00CD7C92" w:rsidRPr="00FC3078" w:rsidRDefault="00CD7C92">
      <w:pPr>
        <w:jc w:val="center"/>
        <w:rPr>
          <w:b/>
          <w:sz w:val="24"/>
        </w:rPr>
      </w:pPr>
      <w:r w:rsidRPr="00FC3078">
        <w:rPr>
          <w:b/>
          <w:sz w:val="24"/>
        </w:rPr>
        <w:t>Kupní cena, platební a fakturační podmínky</w:t>
      </w:r>
    </w:p>
    <w:p w14:paraId="026C3DCD" w14:textId="77777777" w:rsidR="00CD7C92" w:rsidRPr="00FC3078" w:rsidRDefault="00CD7C92">
      <w:pPr>
        <w:jc w:val="center"/>
        <w:rPr>
          <w:b/>
          <w:sz w:val="24"/>
        </w:rPr>
      </w:pPr>
    </w:p>
    <w:p w14:paraId="0D8B8046" w14:textId="77777777" w:rsidR="00CD7C92" w:rsidRPr="00FC3078" w:rsidRDefault="00CD7C92">
      <w:pPr>
        <w:numPr>
          <w:ilvl w:val="0"/>
          <w:numId w:val="8"/>
        </w:numPr>
        <w:jc w:val="both"/>
        <w:rPr>
          <w:sz w:val="24"/>
        </w:rPr>
      </w:pPr>
      <w:r w:rsidRPr="00FC3078">
        <w:rPr>
          <w:sz w:val="24"/>
        </w:rPr>
        <w:t xml:space="preserve">Kupní cena předmětu koupě dle článku I. odst. 1 této smlouvy je dána </w:t>
      </w:r>
      <w:r w:rsidR="005817E4" w:rsidRPr="00FC3078">
        <w:rPr>
          <w:sz w:val="24"/>
        </w:rPr>
        <w:t>dohodou smluvních</w:t>
      </w:r>
      <w:r w:rsidRPr="00FC3078">
        <w:rPr>
          <w:sz w:val="24"/>
        </w:rPr>
        <w:t xml:space="preserve"> stran jako cena smluvní a </w:t>
      </w:r>
      <w:r w:rsidR="005817E4" w:rsidRPr="00FC3078">
        <w:rPr>
          <w:sz w:val="24"/>
        </w:rPr>
        <w:t>činí:</w:t>
      </w:r>
    </w:p>
    <w:p w14:paraId="3BC4A3A5" w14:textId="43DF6CBB" w:rsidR="00CD7C92" w:rsidRPr="00F91845" w:rsidRDefault="00F91845">
      <w:pPr>
        <w:ind w:left="360"/>
        <w:jc w:val="center"/>
        <w:rPr>
          <w:b/>
          <w:bCs/>
          <w:sz w:val="24"/>
        </w:rPr>
      </w:pPr>
      <w:r w:rsidRPr="00F91845">
        <w:rPr>
          <w:b/>
          <w:bCs/>
          <w:sz w:val="24"/>
        </w:rPr>
        <w:t>58 272,-</w:t>
      </w:r>
      <w:r w:rsidR="00D17D55" w:rsidRPr="00F91845">
        <w:rPr>
          <w:b/>
          <w:bCs/>
          <w:color w:val="000000" w:themeColor="text1"/>
          <w:sz w:val="24"/>
        </w:rPr>
        <w:t xml:space="preserve"> </w:t>
      </w:r>
      <w:r w:rsidR="0008249B" w:rsidRPr="00F91845">
        <w:rPr>
          <w:b/>
          <w:bCs/>
          <w:color w:val="000000" w:themeColor="text1"/>
          <w:sz w:val="24"/>
        </w:rPr>
        <w:t>Kč</w:t>
      </w:r>
      <w:r w:rsidR="001331E7">
        <w:rPr>
          <w:b/>
          <w:bCs/>
          <w:color w:val="000000" w:themeColor="text1"/>
          <w:sz w:val="24"/>
        </w:rPr>
        <w:t xml:space="preserve"> bez DPH</w:t>
      </w:r>
    </w:p>
    <w:p w14:paraId="01C6D3DA" w14:textId="77777777" w:rsidR="00CD7C92" w:rsidRPr="00FC3078" w:rsidRDefault="00CD7C92">
      <w:pPr>
        <w:ind w:left="360"/>
        <w:rPr>
          <w:sz w:val="24"/>
        </w:rPr>
      </w:pPr>
    </w:p>
    <w:p w14:paraId="43B9FCAE" w14:textId="6D0BD53D" w:rsidR="00CD7C92" w:rsidRPr="00FC3078" w:rsidRDefault="00CD7C92">
      <w:pPr>
        <w:ind w:left="360"/>
        <w:rPr>
          <w:sz w:val="24"/>
        </w:rPr>
      </w:pPr>
      <w:proofErr w:type="spellStart"/>
      <w:r w:rsidRPr="00FC3078">
        <w:rPr>
          <w:sz w:val="24"/>
        </w:rPr>
        <w:t>tj</w:t>
      </w:r>
      <w:proofErr w:type="spellEnd"/>
      <w:r w:rsidR="00D5433B" w:rsidRPr="00FC3078">
        <w:rPr>
          <w:sz w:val="24"/>
        </w:rPr>
        <w:t xml:space="preserve"> slovy</w:t>
      </w:r>
      <w:r w:rsidR="0009365E" w:rsidRPr="00FC3078">
        <w:rPr>
          <w:sz w:val="24"/>
        </w:rPr>
        <w:t xml:space="preserve">: </w:t>
      </w:r>
      <w:proofErr w:type="spellStart"/>
      <w:r w:rsidR="00F91845">
        <w:rPr>
          <w:sz w:val="24"/>
        </w:rPr>
        <w:t>Padesátosmtisícdvěstěsedmdesátdva</w:t>
      </w:r>
      <w:proofErr w:type="spellEnd"/>
      <w:r w:rsidR="00F91845">
        <w:rPr>
          <w:sz w:val="24"/>
        </w:rPr>
        <w:t xml:space="preserve"> korun českých</w:t>
      </w:r>
      <w:r w:rsidR="001C5844" w:rsidRPr="00FC3078">
        <w:rPr>
          <w:sz w:val="24"/>
        </w:rPr>
        <w:t xml:space="preserve"> </w:t>
      </w:r>
    </w:p>
    <w:p w14:paraId="511F78AD" w14:textId="77777777" w:rsidR="00CD7C92" w:rsidRPr="00FC3078" w:rsidRDefault="00CD7C92">
      <w:pPr>
        <w:rPr>
          <w:sz w:val="24"/>
        </w:rPr>
      </w:pPr>
    </w:p>
    <w:p w14:paraId="371877AB" w14:textId="77777777" w:rsidR="00766689" w:rsidRPr="00FC3078" w:rsidRDefault="00766689" w:rsidP="00766689">
      <w:pPr>
        <w:numPr>
          <w:ilvl w:val="0"/>
          <w:numId w:val="8"/>
        </w:numPr>
        <w:rPr>
          <w:sz w:val="24"/>
        </w:rPr>
      </w:pPr>
      <w:r w:rsidRPr="00FC3078">
        <w:rPr>
          <w:sz w:val="24"/>
        </w:rPr>
        <w:t>Ke kupní ceně bude prodávajícím připočtena DPH v zákonné výši platné v době jejího účtování, tj. 21</w:t>
      </w:r>
      <w:r>
        <w:rPr>
          <w:sz w:val="24"/>
        </w:rPr>
        <w:t> </w:t>
      </w:r>
      <w:r w:rsidRPr="00FC3078">
        <w:rPr>
          <w:sz w:val="24"/>
        </w:rPr>
        <w:t>%.</w:t>
      </w:r>
    </w:p>
    <w:p w14:paraId="40B3B230" w14:textId="77777777" w:rsidR="00766689" w:rsidRPr="00766689" w:rsidRDefault="00766689" w:rsidP="00766689">
      <w:pPr>
        <w:numPr>
          <w:ilvl w:val="0"/>
          <w:numId w:val="8"/>
        </w:numPr>
        <w:jc w:val="both"/>
        <w:rPr>
          <w:color w:val="000000"/>
          <w:sz w:val="24"/>
        </w:rPr>
      </w:pPr>
      <w:r w:rsidRPr="00766689">
        <w:rPr>
          <w:sz w:val="24"/>
        </w:rPr>
        <w:t xml:space="preserve">Prodávající se dohodl s kupujícím na úplné </w:t>
      </w:r>
      <w:proofErr w:type="spellStart"/>
      <w:r w:rsidRPr="00766689">
        <w:rPr>
          <w:sz w:val="24"/>
        </w:rPr>
        <w:t>předplatbě</w:t>
      </w:r>
      <w:proofErr w:type="spellEnd"/>
      <w:r w:rsidRPr="00766689">
        <w:rPr>
          <w:sz w:val="24"/>
        </w:rPr>
        <w:t xml:space="preserve"> za dodané zboží a DPH. Prodávající vystaví kupujícímu po podpisu této smlouvy oprávněnými zástupci obou smluvních stran proforma-fakturu na zálohovou platbu ve výši </w:t>
      </w:r>
      <w:proofErr w:type="gramStart"/>
      <w:r w:rsidRPr="00766689">
        <w:rPr>
          <w:sz w:val="24"/>
        </w:rPr>
        <w:t>100%</w:t>
      </w:r>
      <w:proofErr w:type="gramEnd"/>
      <w:r w:rsidRPr="00766689">
        <w:rPr>
          <w:sz w:val="24"/>
        </w:rPr>
        <w:t xml:space="preserve"> celkové částky vč. DPH. Kupující je povinen zálohovou platbu uhradit nejpozději do 10 dní od přijetí proforma faktury. </w:t>
      </w:r>
    </w:p>
    <w:p w14:paraId="48C7B7D3" w14:textId="77777777" w:rsidR="00766689" w:rsidRPr="00766689" w:rsidRDefault="00766689" w:rsidP="00766689">
      <w:pPr>
        <w:numPr>
          <w:ilvl w:val="0"/>
          <w:numId w:val="8"/>
        </w:numPr>
        <w:jc w:val="both"/>
        <w:rPr>
          <w:color w:val="000000"/>
          <w:sz w:val="24"/>
        </w:rPr>
      </w:pPr>
      <w:r w:rsidRPr="00766689">
        <w:rPr>
          <w:sz w:val="24"/>
        </w:rPr>
        <w:t xml:space="preserve">Současně s dodávkou zboží bude vystavena a předána kupujícímu řádná faktura na dodané zboží, kde bude již uhrazená záloha odečtena. </w:t>
      </w:r>
    </w:p>
    <w:p w14:paraId="30E3F212" w14:textId="77777777" w:rsidR="00766689" w:rsidRPr="00FC3078" w:rsidRDefault="00766689" w:rsidP="00766689">
      <w:pPr>
        <w:numPr>
          <w:ilvl w:val="0"/>
          <w:numId w:val="8"/>
        </w:numPr>
        <w:jc w:val="both"/>
        <w:rPr>
          <w:sz w:val="24"/>
        </w:rPr>
      </w:pPr>
      <w:r>
        <w:rPr>
          <w:sz w:val="24"/>
        </w:rPr>
        <w:t>Řádná f</w:t>
      </w:r>
      <w:r w:rsidRPr="00FC3078">
        <w:rPr>
          <w:sz w:val="24"/>
        </w:rPr>
        <w:t xml:space="preserve">aktura musí obsahovat náležitosti daňového dokladu dle zákona o DPH, v platném znění. </w:t>
      </w:r>
    </w:p>
    <w:p w14:paraId="553BE605" w14:textId="77777777" w:rsidR="00CD7C92" w:rsidRPr="00FC3078" w:rsidRDefault="00CD7C92">
      <w:pPr>
        <w:jc w:val="both"/>
        <w:rPr>
          <w:sz w:val="24"/>
        </w:rPr>
      </w:pPr>
    </w:p>
    <w:p w14:paraId="75F42D46" w14:textId="77777777" w:rsidR="00CD7C92" w:rsidRPr="00FC3078" w:rsidRDefault="00CD7C92">
      <w:pPr>
        <w:jc w:val="both"/>
        <w:rPr>
          <w:sz w:val="24"/>
        </w:rPr>
      </w:pPr>
    </w:p>
    <w:p w14:paraId="3379C001" w14:textId="77777777" w:rsidR="00CD7C92" w:rsidRPr="00FC3078" w:rsidRDefault="00CD7C92">
      <w:pPr>
        <w:jc w:val="center"/>
        <w:rPr>
          <w:b/>
          <w:sz w:val="24"/>
        </w:rPr>
      </w:pPr>
      <w:r w:rsidRPr="00FC3078">
        <w:rPr>
          <w:b/>
          <w:sz w:val="24"/>
        </w:rPr>
        <w:t>III.</w:t>
      </w:r>
    </w:p>
    <w:p w14:paraId="60C7BDA7" w14:textId="77777777" w:rsidR="00CD7C92" w:rsidRPr="00FC3078" w:rsidRDefault="00CD7C92">
      <w:pPr>
        <w:jc w:val="center"/>
        <w:rPr>
          <w:b/>
          <w:sz w:val="24"/>
        </w:rPr>
      </w:pPr>
      <w:r w:rsidRPr="00FC3078">
        <w:rPr>
          <w:b/>
          <w:sz w:val="24"/>
        </w:rPr>
        <w:t>Termín plnění, místo a způsob předání předmětu koupě</w:t>
      </w:r>
    </w:p>
    <w:p w14:paraId="69C3A0F5" w14:textId="77777777" w:rsidR="00CD7C92" w:rsidRPr="00FC3078" w:rsidRDefault="00CD7C92">
      <w:pPr>
        <w:jc w:val="center"/>
        <w:rPr>
          <w:b/>
          <w:sz w:val="24"/>
        </w:rPr>
      </w:pPr>
    </w:p>
    <w:p w14:paraId="25312363" w14:textId="3998B375" w:rsidR="00766689" w:rsidRPr="00766689" w:rsidRDefault="00766689" w:rsidP="00766689">
      <w:pPr>
        <w:pStyle w:val="Zkladntext"/>
        <w:numPr>
          <w:ilvl w:val="0"/>
          <w:numId w:val="14"/>
        </w:numPr>
        <w:rPr>
          <w:rFonts w:ascii="Times New Roman" w:hAnsi="Times New Roman"/>
        </w:rPr>
      </w:pPr>
      <w:r w:rsidRPr="00766689">
        <w:rPr>
          <w:rFonts w:ascii="Times New Roman" w:hAnsi="Times New Roman"/>
        </w:rPr>
        <w:t xml:space="preserve">Prodávající se zavazuje předat kupujícímu předmět koupě do </w:t>
      </w:r>
      <w:r>
        <w:rPr>
          <w:rFonts w:ascii="Times New Roman" w:hAnsi="Times New Roman"/>
        </w:rPr>
        <w:t>30</w:t>
      </w:r>
      <w:r w:rsidRPr="00766689">
        <w:rPr>
          <w:rFonts w:ascii="Times New Roman" w:hAnsi="Times New Roman"/>
        </w:rPr>
        <w:t xml:space="preserve"> dní po připsání zálohové platby na účet Prodávajícího. </w:t>
      </w:r>
    </w:p>
    <w:p w14:paraId="32F5F5B9" w14:textId="77777777" w:rsidR="00CD7C92" w:rsidRPr="00FC3078" w:rsidRDefault="00CD7C92">
      <w:pPr>
        <w:numPr>
          <w:ilvl w:val="0"/>
          <w:numId w:val="14"/>
        </w:numPr>
        <w:jc w:val="both"/>
        <w:rPr>
          <w:color w:val="000000"/>
          <w:sz w:val="24"/>
        </w:rPr>
      </w:pPr>
      <w:r w:rsidRPr="00FC3078">
        <w:rPr>
          <w:color w:val="000000"/>
          <w:sz w:val="24"/>
        </w:rPr>
        <w:t xml:space="preserve">Prodávající splní svůj závazek dodat předmět koupě jeho předáním kupujícímu. </w:t>
      </w:r>
      <w:r w:rsidR="00F7523E" w:rsidRPr="00FC3078">
        <w:rPr>
          <w:color w:val="000000"/>
          <w:sz w:val="24"/>
        </w:rPr>
        <w:t xml:space="preserve">Předáním kupujícímu se rozumí předání zboží prvnímu dopravci k přepravě pro kupujícího, pokud není dohodnuto osobní převzetí. </w:t>
      </w:r>
      <w:r w:rsidRPr="00FC3078">
        <w:rPr>
          <w:color w:val="000000"/>
          <w:sz w:val="24"/>
        </w:rPr>
        <w:t xml:space="preserve">Předání předmětu koupě se uskuteční na základě dodacího listu podepsaného zmocněnými zástupci obou smluvních stran. </w:t>
      </w:r>
    </w:p>
    <w:p w14:paraId="20E08A9B" w14:textId="77777777" w:rsidR="00CD7C92" w:rsidRPr="00FC3078" w:rsidRDefault="00CD7C92">
      <w:pPr>
        <w:numPr>
          <w:ilvl w:val="0"/>
          <w:numId w:val="14"/>
        </w:numPr>
        <w:jc w:val="both"/>
        <w:rPr>
          <w:color w:val="000000"/>
          <w:sz w:val="24"/>
        </w:rPr>
      </w:pPr>
      <w:r w:rsidRPr="00FC3078">
        <w:rPr>
          <w:color w:val="000000"/>
          <w:sz w:val="24"/>
        </w:rPr>
        <w:t xml:space="preserve">Místem plnění se rozumí sídlo </w:t>
      </w:r>
      <w:r w:rsidR="00F7523E" w:rsidRPr="00FC3078">
        <w:rPr>
          <w:color w:val="000000"/>
          <w:sz w:val="24"/>
        </w:rPr>
        <w:t>prodávajícího</w:t>
      </w:r>
      <w:r w:rsidR="000D5054" w:rsidRPr="00FC3078">
        <w:rPr>
          <w:color w:val="000000"/>
          <w:sz w:val="24"/>
        </w:rPr>
        <w:t>, přesný termín předání a převzetí bude dohodnut zástupci stran telefonicky nebo e-mailem.</w:t>
      </w:r>
    </w:p>
    <w:p w14:paraId="61323253" w14:textId="77777777" w:rsidR="00CD7C92" w:rsidRPr="00FC3078" w:rsidRDefault="00CD7C92">
      <w:pPr>
        <w:numPr>
          <w:ilvl w:val="0"/>
          <w:numId w:val="14"/>
        </w:numPr>
        <w:jc w:val="both"/>
        <w:rPr>
          <w:sz w:val="24"/>
        </w:rPr>
      </w:pPr>
      <w:r w:rsidRPr="00FC3078">
        <w:rPr>
          <w:sz w:val="24"/>
        </w:rPr>
        <w:t xml:space="preserve">Vlastnictví k předmětu koupě přechází na kupujícího úplným zaplacením sjednané kupní ceny dle </w:t>
      </w:r>
      <w:proofErr w:type="spellStart"/>
      <w:r w:rsidRPr="00FC3078">
        <w:rPr>
          <w:sz w:val="24"/>
        </w:rPr>
        <w:t>čl.II</w:t>
      </w:r>
      <w:proofErr w:type="spellEnd"/>
      <w:r w:rsidRPr="00FC3078">
        <w:rPr>
          <w:sz w:val="24"/>
        </w:rPr>
        <w:t xml:space="preserve"> odst. 1 této smlouvy, tzn. dnem, kdy bude uvedená částka připsána na číslo účtu prodávajícího uvedené v hlavičce této smlouvy.</w:t>
      </w:r>
    </w:p>
    <w:p w14:paraId="5DC18812" w14:textId="77777777" w:rsidR="00CD7C92" w:rsidRPr="00FC3078" w:rsidRDefault="00CD7C92">
      <w:pPr>
        <w:numPr>
          <w:ilvl w:val="0"/>
          <w:numId w:val="14"/>
        </w:numPr>
        <w:jc w:val="both"/>
        <w:rPr>
          <w:sz w:val="24"/>
        </w:rPr>
      </w:pPr>
      <w:r w:rsidRPr="00FC3078">
        <w:rPr>
          <w:sz w:val="24"/>
        </w:rPr>
        <w:t xml:space="preserve">Užívací právo i nebezpečí škody na předmětu koupě přechází na kupujícího okamžikem předání. </w:t>
      </w:r>
    </w:p>
    <w:p w14:paraId="648E0649" w14:textId="77777777" w:rsidR="00CD7C92" w:rsidRPr="00FC3078" w:rsidRDefault="00CD7C92">
      <w:pPr>
        <w:numPr>
          <w:ilvl w:val="0"/>
          <w:numId w:val="14"/>
        </w:numPr>
        <w:jc w:val="both"/>
        <w:rPr>
          <w:sz w:val="24"/>
        </w:rPr>
      </w:pPr>
      <w:r w:rsidRPr="00FC3078">
        <w:rPr>
          <w:sz w:val="24"/>
        </w:rPr>
        <w:t xml:space="preserve">Žádná ze smluvních stran neodpovídá za porušení svých povinností vyplývajících z této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na kterém lze trvat. O dobu, po kterou vyšší moc trvá, se též prodlužují lhůty k plnění podle této smlouvy. Povinná strana se nemůže dovolat vyšší moci, pokud by na její účinky bez zbytečného odkladu písemně neupozornila. </w:t>
      </w:r>
    </w:p>
    <w:p w14:paraId="37940001" w14:textId="77777777" w:rsidR="00CD7C92" w:rsidRPr="00FC3078" w:rsidRDefault="00CD7C92">
      <w:pPr>
        <w:jc w:val="center"/>
        <w:rPr>
          <w:b/>
          <w:sz w:val="24"/>
        </w:rPr>
      </w:pPr>
    </w:p>
    <w:p w14:paraId="43D0E5E7" w14:textId="77777777" w:rsidR="00CD7C92" w:rsidRPr="00FC3078" w:rsidRDefault="00CD7C92">
      <w:pPr>
        <w:ind w:left="284" w:hanging="284"/>
        <w:jc w:val="center"/>
        <w:rPr>
          <w:b/>
          <w:sz w:val="24"/>
        </w:rPr>
      </w:pPr>
      <w:r w:rsidRPr="00FC3078">
        <w:rPr>
          <w:b/>
          <w:sz w:val="24"/>
        </w:rPr>
        <w:br w:type="page"/>
      </w:r>
      <w:r w:rsidRPr="00FC3078">
        <w:rPr>
          <w:b/>
          <w:sz w:val="24"/>
        </w:rPr>
        <w:lastRenderedPageBreak/>
        <w:t>IV.</w:t>
      </w:r>
    </w:p>
    <w:p w14:paraId="4010A9F5" w14:textId="77777777" w:rsidR="00CD7C92" w:rsidRPr="00FC3078" w:rsidRDefault="00CD7C92">
      <w:pPr>
        <w:ind w:left="284" w:hanging="284"/>
        <w:jc w:val="center"/>
        <w:rPr>
          <w:b/>
          <w:sz w:val="24"/>
        </w:rPr>
      </w:pPr>
      <w:r w:rsidRPr="00FC3078">
        <w:rPr>
          <w:b/>
          <w:sz w:val="24"/>
        </w:rPr>
        <w:t>Odpovědnost za vady</w:t>
      </w:r>
    </w:p>
    <w:p w14:paraId="5A54EA14" w14:textId="77777777" w:rsidR="00CD7C92" w:rsidRPr="00FC3078" w:rsidRDefault="00CD7C92">
      <w:pPr>
        <w:ind w:left="284" w:hanging="284"/>
        <w:jc w:val="center"/>
        <w:rPr>
          <w:b/>
          <w:sz w:val="24"/>
        </w:rPr>
      </w:pPr>
    </w:p>
    <w:p w14:paraId="06A4E573" w14:textId="77777777" w:rsidR="00CD7C92" w:rsidRPr="00FC3078" w:rsidRDefault="00CD7C92">
      <w:pPr>
        <w:pStyle w:val="Zkladntextodsazen2"/>
        <w:numPr>
          <w:ilvl w:val="0"/>
          <w:numId w:val="11"/>
        </w:numPr>
      </w:pPr>
      <w:r w:rsidRPr="00FC3078">
        <w:t>Prodávající poskytne kupujícímu na dodaný předmět plnění záruku v</w:t>
      </w:r>
      <w:r w:rsidR="00A469BF" w:rsidRPr="00FC3078">
        <w:t xml:space="preserve"> trvání dle přílohy </w:t>
      </w:r>
      <w:proofErr w:type="gramStart"/>
      <w:r w:rsidR="00A469BF" w:rsidRPr="00FC3078">
        <w:t xml:space="preserve">č.1 </w:t>
      </w:r>
      <w:r w:rsidRPr="00FC3078">
        <w:t xml:space="preserve"> ode</w:t>
      </w:r>
      <w:proofErr w:type="gramEnd"/>
      <w:r w:rsidRPr="00FC3078">
        <w:t xml:space="preserve"> dne předání. </w:t>
      </w:r>
    </w:p>
    <w:p w14:paraId="7F031AA1" w14:textId="77777777" w:rsidR="00CD7C92" w:rsidRPr="00FC3078" w:rsidRDefault="00CD7C92">
      <w:pPr>
        <w:numPr>
          <w:ilvl w:val="0"/>
          <w:numId w:val="11"/>
        </w:numPr>
        <w:jc w:val="both"/>
        <w:rPr>
          <w:color w:val="000000"/>
          <w:sz w:val="24"/>
        </w:rPr>
      </w:pPr>
      <w:r w:rsidRPr="00FC3078">
        <w:rPr>
          <w:color w:val="000000"/>
          <w:sz w:val="24"/>
        </w:rPr>
        <w:t>Záruční lhůta se automaticky prodlužuje o dobu mezi obdržením reklamace prodávajícím a odstraněním vady.</w:t>
      </w:r>
    </w:p>
    <w:p w14:paraId="352198FC" w14:textId="77777777" w:rsidR="00CD7C92" w:rsidRPr="00FC3078" w:rsidRDefault="000D5054">
      <w:pPr>
        <w:numPr>
          <w:ilvl w:val="0"/>
          <w:numId w:val="11"/>
        </w:numPr>
        <w:jc w:val="both"/>
        <w:rPr>
          <w:color w:val="000000"/>
          <w:sz w:val="24"/>
        </w:rPr>
      </w:pPr>
      <w:r w:rsidRPr="00FC3078">
        <w:rPr>
          <w:color w:val="000000"/>
          <w:sz w:val="24"/>
        </w:rPr>
        <w:t>Oprávněné v</w:t>
      </w:r>
      <w:r w:rsidR="00CD7C92" w:rsidRPr="00FC3078">
        <w:rPr>
          <w:color w:val="000000"/>
          <w:sz w:val="24"/>
        </w:rPr>
        <w:t xml:space="preserve">ady reklamované kupujícím v záruční době prodávající odstraní neodkladně a bezplatně. </w:t>
      </w:r>
    </w:p>
    <w:p w14:paraId="64F6D72F" w14:textId="77777777" w:rsidR="006D1690" w:rsidRPr="00FC3078" w:rsidRDefault="006D1690" w:rsidP="006D1690">
      <w:pPr>
        <w:numPr>
          <w:ilvl w:val="0"/>
          <w:numId w:val="11"/>
        </w:numPr>
        <w:jc w:val="both"/>
        <w:rPr>
          <w:color w:val="000000"/>
          <w:sz w:val="24"/>
        </w:rPr>
      </w:pPr>
      <w:r w:rsidRPr="00FC3078">
        <w:rPr>
          <w:color w:val="000000"/>
          <w:sz w:val="24"/>
        </w:rPr>
        <w:t xml:space="preserve">Kupující je povinen při převzetí předmětu plnění zkontrolovat jeho stav a údaje na přepravním listu. V případě poškození zásilky nebo jiných zjevných vad je povinen sepsat s dopravcem zápis o doručení zásilky s výhradami, vady zdokumentovat, případně zásilku odmítnout převzít. Pokud údaje na přepravním listu nesouhlasí se skutečností, je porušen originální obal zboží nebo je porušena originální polepovací páska na obalu, je kupující povinen tuto skutečnost uvést do poznámky na přepravní list dopravce a informovat </w:t>
      </w:r>
      <w:r w:rsidR="00EA0E4A" w:rsidRPr="00FC3078">
        <w:rPr>
          <w:color w:val="000000"/>
          <w:sz w:val="24"/>
        </w:rPr>
        <w:t>p</w:t>
      </w:r>
      <w:r w:rsidRPr="00FC3078">
        <w:rPr>
          <w:color w:val="000000"/>
          <w:sz w:val="24"/>
        </w:rPr>
        <w:t>rodávajícího, nebo dodávku odmítnout jako celek.</w:t>
      </w:r>
    </w:p>
    <w:p w14:paraId="6CAA0588" w14:textId="77777777" w:rsidR="006D1690" w:rsidRPr="00FC3078" w:rsidRDefault="006D1690" w:rsidP="006D1690">
      <w:pPr>
        <w:numPr>
          <w:ilvl w:val="0"/>
          <w:numId w:val="11"/>
        </w:numPr>
        <w:jc w:val="both"/>
        <w:rPr>
          <w:color w:val="000000"/>
          <w:sz w:val="24"/>
        </w:rPr>
      </w:pPr>
      <w:r w:rsidRPr="00FC3078">
        <w:rPr>
          <w:color w:val="000000"/>
          <w:sz w:val="24"/>
        </w:rPr>
        <w:t xml:space="preserve">Kupující je povinen následně zkontrolovat i věcný obsah zásilky dle přiloženého dodacího/záručního listu. Pokud obsah zásilky neodpovídá dodacímu listu, je kupující povinen okamžitě informovat </w:t>
      </w:r>
      <w:r w:rsidR="00EA0E4A" w:rsidRPr="00FC3078">
        <w:rPr>
          <w:color w:val="000000"/>
          <w:sz w:val="24"/>
        </w:rPr>
        <w:t>p</w:t>
      </w:r>
      <w:r w:rsidRPr="00FC3078">
        <w:rPr>
          <w:color w:val="000000"/>
          <w:sz w:val="24"/>
        </w:rPr>
        <w:t>rodávajícího a postupovat dle jeho instrukcí. Pokud se s prodávajícím nedohodne na řešení, je povinen celou zásilku v originálním balení do 2 dnů od převzetí od dopravce vrátit zpět na adresu prodávajícího.</w:t>
      </w:r>
    </w:p>
    <w:p w14:paraId="51A31BFB" w14:textId="77777777" w:rsidR="006D1690" w:rsidRPr="00FC3078" w:rsidRDefault="006D1690" w:rsidP="006D1690">
      <w:pPr>
        <w:numPr>
          <w:ilvl w:val="0"/>
          <w:numId w:val="11"/>
        </w:numPr>
        <w:jc w:val="both"/>
        <w:rPr>
          <w:color w:val="000000"/>
          <w:sz w:val="24"/>
        </w:rPr>
      </w:pPr>
      <w:r w:rsidRPr="00FC3078">
        <w:rPr>
          <w:color w:val="000000"/>
          <w:sz w:val="24"/>
        </w:rPr>
        <w:t xml:space="preserve">Jakékoliv vady zjištěné při předání v místě dle článku III, zdokumentované </w:t>
      </w:r>
      <w:r w:rsidR="00EA0E4A" w:rsidRPr="00FC3078">
        <w:rPr>
          <w:color w:val="000000"/>
          <w:sz w:val="24"/>
        </w:rPr>
        <w:t>k</w:t>
      </w:r>
      <w:r w:rsidRPr="00FC3078">
        <w:rPr>
          <w:color w:val="000000"/>
          <w:sz w:val="24"/>
        </w:rPr>
        <w:t xml:space="preserve">upujícím a předané </w:t>
      </w:r>
      <w:proofErr w:type="gramStart"/>
      <w:r w:rsidR="00EA0E4A" w:rsidRPr="00FC3078">
        <w:rPr>
          <w:color w:val="000000"/>
          <w:sz w:val="24"/>
        </w:rPr>
        <w:t>p</w:t>
      </w:r>
      <w:r w:rsidRPr="00FC3078">
        <w:rPr>
          <w:color w:val="000000"/>
          <w:sz w:val="24"/>
        </w:rPr>
        <w:t>rodávajícímu,  je</w:t>
      </w:r>
      <w:proofErr w:type="gramEnd"/>
      <w:r w:rsidRPr="00FC3078">
        <w:rPr>
          <w:color w:val="000000"/>
          <w:sz w:val="24"/>
        </w:rPr>
        <w:t xml:space="preserve"> </w:t>
      </w:r>
      <w:r w:rsidR="00EA0E4A" w:rsidRPr="00FC3078">
        <w:rPr>
          <w:color w:val="000000"/>
          <w:sz w:val="24"/>
        </w:rPr>
        <w:t>p</w:t>
      </w:r>
      <w:r w:rsidRPr="00FC3078">
        <w:rPr>
          <w:color w:val="000000"/>
          <w:sz w:val="24"/>
        </w:rPr>
        <w:t>rodávající povinen odstranit neodkladně a bezplatně.</w:t>
      </w:r>
    </w:p>
    <w:p w14:paraId="79754379" w14:textId="77777777" w:rsidR="00CD7C92" w:rsidRPr="00FC3078" w:rsidRDefault="00CD7C92">
      <w:pPr>
        <w:numPr>
          <w:ilvl w:val="0"/>
          <w:numId w:val="11"/>
        </w:numPr>
        <w:jc w:val="both"/>
        <w:rPr>
          <w:color w:val="000000"/>
          <w:sz w:val="24"/>
        </w:rPr>
      </w:pPr>
      <w:r w:rsidRPr="00FC3078">
        <w:rPr>
          <w:color w:val="000000"/>
          <w:sz w:val="24"/>
        </w:rPr>
        <w:t>Drobné a nepodstatné odstranitelné vady nemají za následek odklad povinnosti uhradit kupní cenu.</w:t>
      </w:r>
    </w:p>
    <w:p w14:paraId="22AA6A40" w14:textId="77777777" w:rsidR="00CD7C92" w:rsidRPr="00FC3078" w:rsidRDefault="00CD7C92">
      <w:pPr>
        <w:pStyle w:val="Zkladntextodsazen"/>
        <w:numPr>
          <w:ilvl w:val="0"/>
          <w:numId w:val="11"/>
        </w:numPr>
        <w:rPr>
          <w:rFonts w:ascii="Times New Roman" w:hAnsi="Times New Roman"/>
          <w:color w:val="000000"/>
        </w:rPr>
      </w:pPr>
      <w:r w:rsidRPr="00FC3078">
        <w:rPr>
          <w:rFonts w:ascii="Times New Roman" w:hAnsi="Times New Roman"/>
          <w:color w:val="000000"/>
        </w:rPr>
        <w:t>Záruka se nevztahuje na vady vzniklé nahodilými událostmi, neodborným a nedbalým zacházením a porušením provozních podmínek.</w:t>
      </w:r>
    </w:p>
    <w:p w14:paraId="7EBAE54C" w14:textId="77777777" w:rsidR="00CD7C92" w:rsidRPr="00FC3078" w:rsidRDefault="00CD7C92">
      <w:pPr>
        <w:jc w:val="center"/>
        <w:rPr>
          <w:b/>
          <w:color w:val="0000FF"/>
          <w:sz w:val="24"/>
        </w:rPr>
      </w:pPr>
    </w:p>
    <w:p w14:paraId="62FBA2D2" w14:textId="77777777" w:rsidR="00CD7C92" w:rsidRPr="00FC3078" w:rsidRDefault="00CD7C92">
      <w:pPr>
        <w:jc w:val="center"/>
        <w:rPr>
          <w:b/>
          <w:sz w:val="24"/>
        </w:rPr>
      </w:pPr>
    </w:p>
    <w:p w14:paraId="6AA24933" w14:textId="77777777" w:rsidR="00CD7C92" w:rsidRPr="00FC3078" w:rsidRDefault="00CD7C92">
      <w:pPr>
        <w:jc w:val="center"/>
        <w:rPr>
          <w:b/>
          <w:sz w:val="24"/>
        </w:rPr>
      </w:pPr>
      <w:r w:rsidRPr="00FC3078">
        <w:rPr>
          <w:b/>
          <w:sz w:val="24"/>
        </w:rPr>
        <w:t>V.</w:t>
      </w:r>
    </w:p>
    <w:p w14:paraId="6EDF0D7B" w14:textId="77777777" w:rsidR="00CD7C92" w:rsidRPr="00FC3078" w:rsidRDefault="00CD7C92">
      <w:pPr>
        <w:jc w:val="center"/>
        <w:rPr>
          <w:b/>
          <w:sz w:val="24"/>
        </w:rPr>
      </w:pPr>
      <w:r w:rsidRPr="00FC3078">
        <w:rPr>
          <w:b/>
          <w:sz w:val="24"/>
        </w:rPr>
        <w:t>Závěrečná ujednání</w:t>
      </w:r>
    </w:p>
    <w:p w14:paraId="7E150D5C" w14:textId="77777777" w:rsidR="00CD7C92" w:rsidRPr="00FC3078" w:rsidRDefault="00CD7C92">
      <w:pPr>
        <w:jc w:val="center"/>
        <w:rPr>
          <w:b/>
          <w:sz w:val="24"/>
        </w:rPr>
      </w:pPr>
    </w:p>
    <w:p w14:paraId="08AE6EFF" w14:textId="77777777" w:rsidR="00CD7C92" w:rsidRPr="00FC3078" w:rsidRDefault="00CD7C92">
      <w:pPr>
        <w:numPr>
          <w:ilvl w:val="0"/>
          <w:numId w:val="18"/>
        </w:numPr>
        <w:jc w:val="both"/>
        <w:rPr>
          <w:sz w:val="24"/>
        </w:rPr>
      </w:pPr>
      <w:r w:rsidRPr="00FC3078">
        <w:rPr>
          <w:sz w:val="24"/>
        </w:rPr>
        <w:t>Obě smluvní strany berou na vědomí, že tato smlouva a veškerá práva, povinnosti a závazky z ní vyplývající, zejména ustanovení o ceně, tvoří předmět obchodního tajemství ve smyslu příslušných ustanovení ob</w:t>
      </w:r>
      <w:r w:rsidR="000D5054" w:rsidRPr="00FC3078">
        <w:rPr>
          <w:sz w:val="24"/>
        </w:rPr>
        <w:t>čanského</w:t>
      </w:r>
      <w:r w:rsidRPr="00FC3078">
        <w:rPr>
          <w:sz w:val="24"/>
        </w:rPr>
        <w:t xml:space="preserve"> zákoníku.</w:t>
      </w:r>
    </w:p>
    <w:p w14:paraId="26E4E7C2" w14:textId="77777777" w:rsidR="00EE4763" w:rsidRPr="00FC3078" w:rsidRDefault="00EE4763" w:rsidP="00EE4763">
      <w:pPr>
        <w:numPr>
          <w:ilvl w:val="0"/>
          <w:numId w:val="18"/>
        </w:numPr>
        <w:jc w:val="both"/>
        <w:rPr>
          <w:sz w:val="24"/>
        </w:rPr>
      </w:pPr>
      <w:r w:rsidRPr="00FC3078">
        <w:rPr>
          <w:sz w:val="24"/>
        </w:rPr>
        <w:t>Tato smlouva se řídí právním řádem České republiky.</w:t>
      </w:r>
      <w:r w:rsidR="0046714F" w:rsidRPr="00FC3078">
        <w:rPr>
          <w:sz w:val="24"/>
        </w:rPr>
        <w:t xml:space="preserve"> </w:t>
      </w:r>
      <w:r w:rsidRPr="00FC3078">
        <w:rPr>
          <w:sz w:val="24"/>
        </w:rPr>
        <w:t xml:space="preserve">Strany se zavazují splnit povinnost uloženou jim rozhodčím nálezem. </w:t>
      </w:r>
    </w:p>
    <w:p w14:paraId="369BBD04" w14:textId="77777777" w:rsidR="00CD7C92" w:rsidRPr="00FC3078" w:rsidRDefault="00CD7C92">
      <w:pPr>
        <w:numPr>
          <w:ilvl w:val="0"/>
          <w:numId w:val="18"/>
        </w:numPr>
        <w:jc w:val="both"/>
        <w:rPr>
          <w:sz w:val="24"/>
        </w:rPr>
      </w:pPr>
      <w:r w:rsidRPr="00FC3078">
        <w:rPr>
          <w:sz w:val="24"/>
        </w:rPr>
        <w:t>Smluvní strany se dohodly, že vztahy ze smlouvy vyplývající i vztahy smlouvou neupravené se řídí ustanoveními</w:t>
      </w:r>
      <w:r w:rsidR="00886933" w:rsidRPr="00FC3078">
        <w:rPr>
          <w:sz w:val="24"/>
        </w:rPr>
        <w:t xml:space="preserve"> platného </w:t>
      </w:r>
      <w:r w:rsidRPr="00FC3078">
        <w:rPr>
          <w:sz w:val="24"/>
        </w:rPr>
        <w:t>občanského zákoníku anebo jiného příslušného obecně závazného právního předpisu.</w:t>
      </w:r>
    </w:p>
    <w:p w14:paraId="0FAF1D7F" w14:textId="77777777" w:rsidR="00CD7C92" w:rsidRPr="00FC3078" w:rsidRDefault="00CD7C92">
      <w:pPr>
        <w:numPr>
          <w:ilvl w:val="0"/>
          <w:numId w:val="18"/>
        </w:numPr>
        <w:tabs>
          <w:tab w:val="left" w:pos="284"/>
        </w:tabs>
        <w:jc w:val="both"/>
        <w:rPr>
          <w:sz w:val="24"/>
        </w:rPr>
      </w:pPr>
      <w:r w:rsidRPr="00FC3078">
        <w:rPr>
          <w:sz w:val="24"/>
        </w:rPr>
        <w:t xml:space="preserve"> Veškeré změny a doplňky jsou vázány na souhlas smluvních stran a mohou být provedeny pouze písemně, formou dodatku k této smlouvě.</w:t>
      </w:r>
      <w:r w:rsidRPr="00FC3078">
        <w:rPr>
          <w:b/>
          <w:sz w:val="24"/>
        </w:rPr>
        <w:t xml:space="preserve"> </w:t>
      </w:r>
      <w:r w:rsidRPr="00FC3078">
        <w:rPr>
          <w:sz w:val="24"/>
        </w:rPr>
        <w:t>Smluvní dodatky musí být takto označeny, pořadově číslovány, datovány a podepsány oprávněnými zástupci obou smluvních stran.</w:t>
      </w:r>
    </w:p>
    <w:p w14:paraId="4C0B38D9" w14:textId="77777777" w:rsidR="00CD7C92" w:rsidRPr="00FC3078" w:rsidRDefault="00CD7C92">
      <w:pPr>
        <w:numPr>
          <w:ilvl w:val="0"/>
          <w:numId w:val="18"/>
        </w:numPr>
        <w:jc w:val="both"/>
        <w:rPr>
          <w:sz w:val="24"/>
        </w:rPr>
      </w:pPr>
      <w:r w:rsidRPr="00FC3078">
        <w:rPr>
          <w:sz w:val="24"/>
        </w:rPr>
        <w:t xml:space="preserve">Smlouva vstupuje v platnost dnem podpisu oprávněnými zástupci obou smluvních stran. Nebude-li smlouva podepsána oběma smluvními stranami téhož dne, stává se platnou i účinnou dnem podpisu pozdějšího. </w:t>
      </w:r>
    </w:p>
    <w:p w14:paraId="7981A939" w14:textId="77777777" w:rsidR="00766689" w:rsidRPr="00FC3078" w:rsidRDefault="00766689" w:rsidP="00766689">
      <w:pPr>
        <w:numPr>
          <w:ilvl w:val="0"/>
          <w:numId w:val="18"/>
        </w:numPr>
        <w:jc w:val="both"/>
        <w:rPr>
          <w:sz w:val="24"/>
        </w:rPr>
      </w:pPr>
      <w:r w:rsidRPr="00766689">
        <w:rPr>
          <w:sz w:val="24"/>
        </w:rPr>
        <w:t>V případě, že kupující odmítne převzetí zboží nebo odstoupí od této kupní smlouvy, byť částečně, nebo neuhradí včas zálohovou platbu, což může vést k vypovězení smlouvy prodávajícím,</w:t>
      </w:r>
      <w:r>
        <w:rPr>
          <w:sz w:val="24"/>
        </w:rPr>
        <w:t xml:space="preserve"> </w:t>
      </w:r>
      <w:r w:rsidRPr="00FC3078">
        <w:rPr>
          <w:sz w:val="24"/>
        </w:rPr>
        <w:t xml:space="preserve">nebo jiným způsobem znemožní prodávajícímu splnit tuto kupní smlouvu, je povinen uhradit prodávajícímu smluvní pokutu v základní výši </w:t>
      </w:r>
      <w:proofErr w:type="gramStart"/>
      <w:r w:rsidRPr="00FC3078">
        <w:rPr>
          <w:sz w:val="24"/>
        </w:rPr>
        <w:t>10</w:t>
      </w:r>
      <w:r>
        <w:rPr>
          <w:sz w:val="24"/>
        </w:rPr>
        <w:t>0</w:t>
      </w:r>
      <w:r w:rsidRPr="00FC3078">
        <w:rPr>
          <w:sz w:val="24"/>
        </w:rPr>
        <w:t>%</w:t>
      </w:r>
      <w:proofErr w:type="gramEnd"/>
      <w:r w:rsidRPr="00FC3078">
        <w:rPr>
          <w:sz w:val="24"/>
        </w:rPr>
        <w:t xml:space="preserve"> z hodnoty kupní ceny a to do 10 dnů od písemné výzvy prodávajícího. Tato smluvní pokuta se nezapočítává jako náhrada škody</w:t>
      </w:r>
    </w:p>
    <w:p w14:paraId="7D49644E" w14:textId="77777777" w:rsidR="00CD7C92" w:rsidRPr="00FC3078" w:rsidRDefault="00CD7C92">
      <w:pPr>
        <w:numPr>
          <w:ilvl w:val="0"/>
          <w:numId w:val="18"/>
        </w:numPr>
        <w:jc w:val="both"/>
        <w:rPr>
          <w:sz w:val="24"/>
        </w:rPr>
      </w:pPr>
      <w:r w:rsidRPr="00FC3078">
        <w:rPr>
          <w:sz w:val="24"/>
        </w:rPr>
        <w:lastRenderedPageBreak/>
        <w:t>Smlouva byla vyhotovena ve dvou výtiscích, z nichž každý má platnost originálu. Každá ze smluvních stran obdrží jedno vyhotovení.</w:t>
      </w:r>
    </w:p>
    <w:p w14:paraId="039A0AD6" w14:textId="77777777" w:rsidR="00CD7C92" w:rsidRPr="00FC3078" w:rsidRDefault="00CD7C92">
      <w:pPr>
        <w:numPr>
          <w:ilvl w:val="0"/>
          <w:numId w:val="18"/>
        </w:numPr>
        <w:jc w:val="both"/>
        <w:rPr>
          <w:sz w:val="24"/>
        </w:rPr>
      </w:pPr>
      <w:r w:rsidRPr="00FC3078">
        <w:rPr>
          <w:sz w:val="24"/>
        </w:rPr>
        <w:t xml:space="preserve">Smluvní strany prohlašují, že tato </w:t>
      </w:r>
      <w:r w:rsidR="008F2C32" w:rsidRPr="00FC3078">
        <w:rPr>
          <w:sz w:val="24"/>
        </w:rPr>
        <w:t>smlouva je</w:t>
      </w:r>
      <w:r w:rsidRPr="00FC3078">
        <w:rPr>
          <w:sz w:val="24"/>
        </w:rPr>
        <w:t xml:space="preserve"> projevem jejich pravé a svobodné vůle a nebyla sjednána v tísni ani za jinak jednostranně nevýhodných podmínek. Na důkaz toho připojují oprávnění zástupci smluvních stran své podpisy. </w:t>
      </w:r>
    </w:p>
    <w:p w14:paraId="479E6904" w14:textId="77777777" w:rsidR="00CD7C92" w:rsidRPr="00FC3078" w:rsidRDefault="00CD7C92">
      <w:pPr>
        <w:jc w:val="both"/>
        <w:rPr>
          <w:sz w:val="24"/>
        </w:rPr>
      </w:pPr>
    </w:p>
    <w:p w14:paraId="232F9DEA" w14:textId="77777777" w:rsidR="00CD7C92" w:rsidRPr="00FC3078" w:rsidRDefault="00CD7C92">
      <w:pPr>
        <w:jc w:val="both"/>
        <w:rPr>
          <w:sz w:val="24"/>
        </w:rPr>
      </w:pPr>
    </w:p>
    <w:p w14:paraId="74C9DD37" w14:textId="77777777" w:rsidR="00CD7C92" w:rsidRPr="00FC3078" w:rsidRDefault="00CD7C92">
      <w:pPr>
        <w:jc w:val="both"/>
        <w:rPr>
          <w:sz w:val="24"/>
        </w:rPr>
      </w:pPr>
    </w:p>
    <w:p w14:paraId="7F38848F" w14:textId="39AACA8F" w:rsidR="00CD7C92" w:rsidRPr="00FC3078" w:rsidRDefault="00CD7C92">
      <w:pPr>
        <w:jc w:val="both"/>
        <w:rPr>
          <w:sz w:val="24"/>
        </w:rPr>
      </w:pPr>
      <w:r w:rsidRPr="00FC3078">
        <w:rPr>
          <w:sz w:val="24"/>
        </w:rPr>
        <w:t>V</w:t>
      </w:r>
      <w:r w:rsidR="00D741C0">
        <w:rPr>
          <w:sz w:val="24"/>
        </w:rPr>
        <w:t> Rajhradě</w:t>
      </w:r>
      <w:r w:rsidR="00227FC9" w:rsidRPr="00FC3078">
        <w:rPr>
          <w:sz w:val="24"/>
        </w:rPr>
        <w:t xml:space="preserve"> </w:t>
      </w:r>
      <w:r w:rsidR="008F2C32" w:rsidRPr="00FC3078">
        <w:rPr>
          <w:color w:val="000000" w:themeColor="text1"/>
          <w:sz w:val="24"/>
        </w:rPr>
        <w:t>dne</w:t>
      </w:r>
      <w:r w:rsidR="001C5844" w:rsidRPr="00FC3078">
        <w:rPr>
          <w:sz w:val="24"/>
        </w:rPr>
        <w:t xml:space="preserve"> </w:t>
      </w:r>
      <w:r w:rsidR="008B6975">
        <w:rPr>
          <w:sz w:val="24"/>
        </w:rPr>
        <w:t xml:space="preserve">17.12.2025      </w:t>
      </w:r>
      <w:r w:rsidRPr="00FC3078">
        <w:rPr>
          <w:sz w:val="24"/>
        </w:rPr>
        <w:tab/>
      </w:r>
      <w:r w:rsidRPr="00FC3078">
        <w:rPr>
          <w:sz w:val="24"/>
        </w:rPr>
        <w:tab/>
      </w:r>
      <w:r w:rsidR="00AF7DC4" w:rsidRPr="00FC3078">
        <w:rPr>
          <w:sz w:val="24"/>
        </w:rPr>
        <w:tab/>
      </w:r>
      <w:r w:rsidR="000A27BA">
        <w:rPr>
          <w:sz w:val="24"/>
        </w:rPr>
        <w:tab/>
      </w:r>
      <w:r w:rsidRPr="00FC3078">
        <w:rPr>
          <w:sz w:val="24"/>
        </w:rPr>
        <w:t>V Brně dne</w:t>
      </w:r>
      <w:r w:rsidR="001C5844" w:rsidRPr="00FC3078">
        <w:rPr>
          <w:sz w:val="24"/>
        </w:rPr>
        <w:t xml:space="preserve"> </w:t>
      </w:r>
      <w:r w:rsidR="008B6975">
        <w:rPr>
          <w:sz w:val="24"/>
        </w:rPr>
        <w:t>17.12.2025</w:t>
      </w:r>
    </w:p>
    <w:p w14:paraId="36424C46" w14:textId="77777777" w:rsidR="008F2C32" w:rsidRPr="00FC3078" w:rsidRDefault="008F2C32">
      <w:pPr>
        <w:jc w:val="both"/>
        <w:rPr>
          <w:sz w:val="24"/>
        </w:rPr>
      </w:pPr>
    </w:p>
    <w:p w14:paraId="2874E9AE" w14:textId="205A482B" w:rsidR="008F2C32" w:rsidRPr="00FC3078" w:rsidRDefault="008F2C32" w:rsidP="008F2C32">
      <w:pPr>
        <w:jc w:val="both"/>
        <w:rPr>
          <w:sz w:val="24"/>
        </w:rPr>
      </w:pPr>
      <w:r w:rsidRPr="00FC3078">
        <w:rPr>
          <w:sz w:val="24"/>
        </w:rPr>
        <w:br/>
      </w:r>
      <w:r w:rsidRPr="00FC3078">
        <w:rPr>
          <w:sz w:val="24"/>
        </w:rPr>
        <w:br/>
        <w:t>-------------------------------------------------------</w:t>
      </w:r>
      <w:r w:rsidRPr="00FC3078">
        <w:rPr>
          <w:sz w:val="24"/>
        </w:rPr>
        <w:tab/>
      </w:r>
      <w:r w:rsidRPr="00FC3078">
        <w:rPr>
          <w:sz w:val="24"/>
        </w:rPr>
        <w:tab/>
        <w:t>-------------------------------------------------</w:t>
      </w:r>
      <w:r w:rsidRPr="00FC3078">
        <w:rPr>
          <w:sz w:val="24"/>
        </w:rPr>
        <w:br/>
      </w:r>
      <w:r w:rsidRPr="00FC3078">
        <w:rPr>
          <w:b/>
          <w:sz w:val="24"/>
        </w:rPr>
        <w:t xml:space="preserve">          </w:t>
      </w:r>
      <w:r w:rsidR="00D17D55" w:rsidRPr="00FC3078">
        <w:rPr>
          <w:b/>
          <w:sz w:val="24"/>
        </w:rPr>
        <w:tab/>
      </w:r>
      <w:r w:rsidR="00D741C0">
        <w:rPr>
          <w:b/>
          <w:sz w:val="24"/>
          <w:szCs w:val="24"/>
        </w:rPr>
        <w:t>PaedDr. Marek Kňažík</w:t>
      </w:r>
      <w:r w:rsidR="00D17D55" w:rsidRPr="00FC3078">
        <w:rPr>
          <w:b/>
          <w:sz w:val="24"/>
          <w:szCs w:val="24"/>
        </w:rPr>
        <w:tab/>
      </w:r>
      <w:r w:rsidRPr="00FC3078">
        <w:rPr>
          <w:b/>
          <w:sz w:val="24"/>
          <w:szCs w:val="24"/>
        </w:rPr>
        <w:tab/>
      </w:r>
      <w:r w:rsidRPr="00FC3078">
        <w:rPr>
          <w:b/>
          <w:sz w:val="24"/>
        </w:rPr>
        <w:tab/>
      </w:r>
      <w:r w:rsidRPr="00FC3078">
        <w:rPr>
          <w:b/>
          <w:sz w:val="24"/>
        </w:rPr>
        <w:tab/>
        <w:t xml:space="preserve"> </w:t>
      </w:r>
      <w:r w:rsidR="003561F2" w:rsidRPr="00FC3078">
        <w:rPr>
          <w:b/>
          <w:sz w:val="24"/>
        </w:rPr>
        <w:t>d</w:t>
      </w:r>
      <w:r w:rsidRPr="00FC3078">
        <w:rPr>
          <w:b/>
          <w:sz w:val="24"/>
        </w:rPr>
        <w:t>oc. Ing. František Urban, CSc.</w:t>
      </w:r>
    </w:p>
    <w:p w14:paraId="2835804B" w14:textId="3EED97E9" w:rsidR="008F2C32" w:rsidRPr="00FC3078" w:rsidRDefault="00E578D9" w:rsidP="00E578D9">
      <w:pPr>
        <w:jc w:val="both"/>
        <w:rPr>
          <w:sz w:val="24"/>
        </w:rPr>
      </w:pPr>
      <w:r>
        <w:rPr>
          <w:sz w:val="24"/>
          <w:szCs w:val="24"/>
        </w:rPr>
        <w:t xml:space="preserve">       </w:t>
      </w:r>
      <w:r w:rsidR="008F2C32" w:rsidRPr="00FC3078">
        <w:rPr>
          <w:sz w:val="24"/>
        </w:rPr>
        <w:tab/>
      </w:r>
      <w:r w:rsidR="008F2C32" w:rsidRPr="00FC3078">
        <w:rPr>
          <w:sz w:val="24"/>
        </w:rPr>
        <w:tab/>
      </w:r>
      <w:r w:rsidR="003561F2" w:rsidRPr="00FC3078">
        <w:rPr>
          <w:sz w:val="24"/>
        </w:rPr>
        <w:t xml:space="preserve"> </w:t>
      </w:r>
      <w:r w:rsidR="00D741C0">
        <w:rPr>
          <w:sz w:val="24"/>
        </w:rPr>
        <w:t>ředitel</w:t>
      </w:r>
      <w:r w:rsidR="00D17D55" w:rsidRPr="00FC3078">
        <w:rPr>
          <w:sz w:val="24"/>
        </w:rPr>
        <w:tab/>
      </w:r>
      <w:r>
        <w:rPr>
          <w:sz w:val="24"/>
        </w:rPr>
        <w:tab/>
      </w:r>
      <w:r>
        <w:rPr>
          <w:sz w:val="24"/>
        </w:rPr>
        <w:tab/>
      </w:r>
      <w:r w:rsidR="000A27BA">
        <w:rPr>
          <w:sz w:val="24"/>
        </w:rPr>
        <w:tab/>
      </w:r>
      <w:r w:rsidR="000A27BA">
        <w:rPr>
          <w:sz w:val="24"/>
        </w:rPr>
        <w:tab/>
      </w:r>
      <w:r w:rsidR="000A27BA">
        <w:rPr>
          <w:sz w:val="24"/>
        </w:rPr>
        <w:tab/>
      </w:r>
      <w:r w:rsidR="000A27BA">
        <w:rPr>
          <w:sz w:val="24"/>
        </w:rPr>
        <w:tab/>
        <w:t xml:space="preserve">    </w:t>
      </w:r>
      <w:r w:rsidR="008F2C32" w:rsidRPr="00FC3078">
        <w:rPr>
          <w:sz w:val="24"/>
        </w:rPr>
        <w:t>jednatel</w:t>
      </w:r>
    </w:p>
    <w:p w14:paraId="27878D0C" w14:textId="6D5B122E" w:rsidR="008F2C32" w:rsidRPr="00FC3078" w:rsidRDefault="00227FC9" w:rsidP="008F2C32">
      <w:pPr>
        <w:jc w:val="both"/>
        <w:rPr>
          <w:sz w:val="24"/>
        </w:rPr>
      </w:pPr>
      <w:r w:rsidRPr="00FC3078">
        <w:rPr>
          <w:sz w:val="24"/>
        </w:rPr>
        <w:tab/>
      </w:r>
      <w:r w:rsidRPr="00FC3078">
        <w:rPr>
          <w:sz w:val="24"/>
        </w:rPr>
        <w:tab/>
      </w:r>
      <w:r w:rsidRPr="00FC3078">
        <w:rPr>
          <w:sz w:val="24"/>
        </w:rPr>
        <w:tab/>
      </w:r>
      <w:r w:rsidRPr="00FC3078">
        <w:rPr>
          <w:sz w:val="24"/>
        </w:rPr>
        <w:tab/>
      </w:r>
      <w:r w:rsidR="008F2C32" w:rsidRPr="00FC3078">
        <w:rPr>
          <w:sz w:val="24"/>
        </w:rPr>
        <w:tab/>
        <w:t xml:space="preserve">   </w:t>
      </w:r>
      <w:r w:rsidR="008F2C32" w:rsidRPr="00FC3078">
        <w:rPr>
          <w:sz w:val="24"/>
        </w:rPr>
        <w:tab/>
      </w:r>
      <w:r w:rsidR="008F2C32" w:rsidRPr="00FC3078">
        <w:rPr>
          <w:sz w:val="24"/>
        </w:rPr>
        <w:tab/>
      </w:r>
      <w:r w:rsidR="008F2C32" w:rsidRPr="00FC3078">
        <w:rPr>
          <w:sz w:val="24"/>
        </w:rPr>
        <w:tab/>
        <w:t xml:space="preserve">  </w:t>
      </w:r>
      <w:r w:rsidR="00D741C0">
        <w:rPr>
          <w:sz w:val="24"/>
        </w:rPr>
        <w:t xml:space="preserve">    </w:t>
      </w:r>
      <w:r w:rsidR="008F2C32" w:rsidRPr="00FC3078">
        <w:rPr>
          <w:sz w:val="24"/>
        </w:rPr>
        <w:t xml:space="preserve">  </w:t>
      </w:r>
    </w:p>
    <w:p w14:paraId="163AC9FF" w14:textId="77777777" w:rsidR="006D1690" w:rsidRPr="00FC3078" w:rsidRDefault="00227FC9">
      <w:pPr>
        <w:rPr>
          <w:b/>
          <w:sz w:val="24"/>
        </w:rPr>
      </w:pPr>
      <w:r w:rsidRPr="00FC3078">
        <w:rPr>
          <w:sz w:val="24"/>
          <w:szCs w:val="24"/>
        </w:rPr>
        <w:t xml:space="preserve">                                   </w:t>
      </w:r>
      <w:r w:rsidR="006D1690" w:rsidRPr="00FC3078">
        <w:rPr>
          <w:b/>
          <w:sz w:val="24"/>
        </w:rPr>
        <w:br w:type="page"/>
      </w:r>
    </w:p>
    <w:p w14:paraId="6863FDCC" w14:textId="77777777" w:rsidR="00CD7C92" w:rsidRPr="00FC3078" w:rsidRDefault="00CD7C92" w:rsidP="008F2C32">
      <w:pPr>
        <w:jc w:val="both"/>
        <w:rPr>
          <w:b/>
          <w:sz w:val="32"/>
        </w:rPr>
      </w:pPr>
      <w:r w:rsidRPr="00FC3078">
        <w:rPr>
          <w:b/>
          <w:sz w:val="24"/>
        </w:rPr>
        <w:lastRenderedPageBreak/>
        <w:t xml:space="preserve">Příloha č.1 </w:t>
      </w:r>
    </w:p>
    <w:p w14:paraId="5F0C63DC" w14:textId="77777777" w:rsidR="00CD7C92" w:rsidRPr="00FC3078" w:rsidRDefault="00CD7C92">
      <w:pPr>
        <w:pStyle w:val="Zpat"/>
        <w:rPr>
          <w:rFonts w:ascii="Times New Roman" w:hAnsi="Times New Roman"/>
          <w:caps/>
          <w:sz w:val="16"/>
        </w:rPr>
      </w:pPr>
    </w:p>
    <w:p w14:paraId="795FC636" w14:textId="77777777" w:rsidR="004A1432" w:rsidRPr="00FC3078" w:rsidRDefault="004A1432" w:rsidP="004A1432"/>
    <w:tbl>
      <w:tblPr>
        <w:tblW w:w="93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86"/>
        <w:gridCol w:w="4253"/>
        <w:gridCol w:w="1276"/>
        <w:gridCol w:w="708"/>
        <w:gridCol w:w="1406"/>
      </w:tblGrid>
      <w:tr w:rsidR="001D1419" w:rsidRPr="00FC3078" w14:paraId="022ADB18" w14:textId="77777777" w:rsidTr="009319FC">
        <w:trPr>
          <w:trHeight w:val="835"/>
        </w:trPr>
        <w:tc>
          <w:tcPr>
            <w:tcW w:w="1686" w:type="dxa"/>
            <w:vAlign w:val="center"/>
          </w:tcPr>
          <w:p w14:paraId="6A43F6E8" w14:textId="77777777" w:rsidR="001D1419" w:rsidRPr="00FC3078" w:rsidRDefault="001D1419" w:rsidP="00042C3A">
            <w:pPr>
              <w:jc w:val="center"/>
              <w:rPr>
                <w:b/>
              </w:rPr>
            </w:pPr>
            <w:r w:rsidRPr="00FC3078">
              <w:rPr>
                <w:b/>
              </w:rPr>
              <w:t>Typ</w:t>
            </w:r>
          </w:p>
        </w:tc>
        <w:tc>
          <w:tcPr>
            <w:tcW w:w="4253" w:type="dxa"/>
            <w:vAlign w:val="center"/>
          </w:tcPr>
          <w:p w14:paraId="4C6414B2" w14:textId="77777777" w:rsidR="001D1419" w:rsidRPr="00FC3078" w:rsidRDefault="001D1419" w:rsidP="00042C3A">
            <w:pPr>
              <w:jc w:val="center"/>
              <w:rPr>
                <w:b/>
              </w:rPr>
            </w:pPr>
            <w:r w:rsidRPr="00FC3078">
              <w:rPr>
                <w:b/>
              </w:rPr>
              <w:t>Popis</w:t>
            </w:r>
          </w:p>
        </w:tc>
        <w:tc>
          <w:tcPr>
            <w:tcW w:w="1276" w:type="dxa"/>
            <w:vAlign w:val="center"/>
          </w:tcPr>
          <w:p w14:paraId="367AD884" w14:textId="77777777" w:rsidR="001D1419" w:rsidRPr="00FC3078" w:rsidRDefault="001D1419" w:rsidP="00042C3A">
            <w:pPr>
              <w:jc w:val="center"/>
              <w:rPr>
                <w:b/>
              </w:rPr>
            </w:pPr>
            <w:r w:rsidRPr="00FC3078">
              <w:rPr>
                <w:b/>
              </w:rPr>
              <w:t xml:space="preserve">Cena bez DPH za </w:t>
            </w:r>
            <w:r w:rsidRPr="00FC3078">
              <w:rPr>
                <w:b/>
              </w:rPr>
              <w:br/>
              <w:t>1 ks [Kč]</w:t>
            </w:r>
          </w:p>
        </w:tc>
        <w:tc>
          <w:tcPr>
            <w:tcW w:w="708" w:type="dxa"/>
            <w:vAlign w:val="center"/>
          </w:tcPr>
          <w:p w14:paraId="21D1105A" w14:textId="77777777" w:rsidR="001D1419" w:rsidRPr="00FC3078" w:rsidRDefault="001D1419" w:rsidP="00042C3A">
            <w:pPr>
              <w:jc w:val="center"/>
              <w:rPr>
                <w:b/>
              </w:rPr>
            </w:pPr>
            <w:r w:rsidRPr="00FC3078">
              <w:rPr>
                <w:b/>
              </w:rPr>
              <w:t>Počet</w:t>
            </w:r>
          </w:p>
          <w:p w14:paraId="6C6D22B6" w14:textId="77777777" w:rsidR="001D1419" w:rsidRPr="00FC3078" w:rsidRDefault="001D1419" w:rsidP="00042C3A">
            <w:pPr>
              <w:jc w:val="center"/>
              <w:rPr>
                <w:b/>
              </w:rPr>
            </w:pPr>
            <w:r w:rsidRPr="00FC3078">
              <w:rPr>
                <w:b/>
              </w:rPr>
              <w:t>[ks]</w:t>
            </w:r>
          </w:p>
        </w:tc>
        <w:tc>
          <w:tcPr>
            <w:tcW w:w="1406" w:type="dxa"/>
            <w:vAlign w:val="center"/>
          </w:tcPr>
          <w:p w14:paraId="31D98E0A" w14:textId="77777777" w:rsidR="001D1419" w:rsidRPr="00FC3078" w:rsidRDefault="001D1419" w:rsidP="00042C3A">
            <w:pPr>
              <w:jc w:val="center"/>
              <w:rPr>
                <w:b/>
              </w:rPr>
            </w:pPr>
            <w:proofErr w:type="gramStart"/>
            <w:r w:rsidRPr="00FC3078">
              <w:rPr>
                <w:b/>
              </w:rPr>
              <w:t>Celkem  [</w:t>
            </w:r>
            <w:proofErr w:type="gramEnd"/>
            <w:r w:rsidRPr="00FC3078">
              <w:rPr>
                <w:b/>
              </w:rPr>
              <w:t>Kč]</w:t>
            </w:r>
          </w:p>
        </w:tc>
      </w:tr>
      <w:tr w:rsidR="001D1419" w:rsidRPr="00FC3078" w14:paraId="48F17F0A" w14:textId="77777777" w:rsidTr="009319FC">
        <w:trPr>
          <w:trHeight w:val="463"/>
        </w:trPr>
        <w:tc>
          <w:tcPr>
            <w:tcW w:w="1686" w:type="dxa"/>
            <w:vAlign w:val="center"/>
          </w:tcPr>
          <w:p w14:paraId="4123E9CE" w14:textId="32DDAB3D" w:rsidR="001D1419" w:rsidRPr="001D1419" w:rsidRDefault="009319FC" w:rsidP="00F8353E">
            <w:r w:rsidRPr="009319FC">
              <w:t>ECS4150-</w:t>
            </w:r>
            <w:proofErr w:type="gramStart"/>
            <w:r w:rsidRPr="009319FC">
              <w:t>54T</w:t>
            </w:r>
            <w:proofErr w:type="gramEnd"/>
            <w:r w:rsidRPr="009319FC">
              <w:t> </w:t>
            </w:r>
          </w:p>
        </w:tc>
        <w:tc>
          <w:tcPr>
            <w:tcW w:w="4253" w:type="dxa"/>
          </w:tcPr>
          <w:p w14:paraId="061045D3" w14:textId="77777777" w:rsidR="009319FC" w:rsidRPr="009319FC" w:rsidRDefault="009319FC" w:rsidP="009319FC">
            <w:pPr>
              <w:autoSpaceDE w:val="0"/>
              <w:autoSpaceDN w:val="0"/>
              <w:adjustRightInd w:val="0"/>
              <w:rPr>
                <w:b/>
              </w:rPr>
            </w:pPr>
            <w:r w:rsidRPr="009319FC">
              <w:rPr>
                <w:b/>
              </w:rPr>
              <w:t xml:space="preserve">Switch </w:t>
            </w:r>
          </w:p>
          <w:p w14:paraId="19CD659F" w14:textId="39535664" w:rsidR="001D1419" w:rsidRPr="001D1419" w:rsidRDefault="009319FC" w:rsidP="009319FC">
            <w:pPr>
              <w:autoSpaceDE w:val="0"/>
              <w:autoSpaceDN w:val="0"/>
              <w:adjustRightInd w:val="0"/>
            </w:pPr>
            <w:proofErr w:type="spellStart"/>
            <w:r w:rsidRPr="009319FC">
              <w:t>Edge-Core</w:t>
            </w:r>
            <w:proofErr w:type="spellEnd"/>
            <w:r w:rsidRPr="009319FC">
              <w:t xml:space="preserve"> ECS4150-</w:t>
            </w:r>
            <w:proofErr w:type="gramStart"/>
            <w:r w:rsidRPr="009319FC">
              <w:t>54T</w:t>
            </w:r>
            <w:proofErr w:type="gramEnd"/>
            <w:r w:rsidRPr="009319FC">
              <w:t> </w:t>
            </w:r>
          </w:p>
        </w:tc>
        <w:tc>
          <w:tcPr>
            <w:tcW w:w="1276" w:type="dxa"/>
            <w:vAlign w:val="center"/>
          </w:tcPr>
          <w:p w14:paraId="77C050D0" w14:textId="467576CD" w:rsidR="001D1419" w:rsidRPr="00FC3078" w:rsidRDefault="009319FC" w:rsidP="00042C3A">
            <w:pPr>
              <w:autoSpaceDE w:val="0"/>
              <w:autoSpaceDN w:val="0"/>
              <w:adjustRightInd w:val="0"/>
              <w:jc w:val="center"/>
            </w:pPr>
            <w:r>
              <w:t>24 </w:t>
            </w:r>
            <w:r w:rsidR="00A06B95">
              <w:t>1</w:t>
            </w:r>
            <w:r>
              <w:t>51,- Kč</w:t>
            </w:r>
          </w:p>
        </w:tc>
        <w:tc>
          <w:tcPr>
            <w:tcW w:w="708" w:type="dxa"/>
            <w:vAlign w:val="center"/>
          </w:tcPr>
          <w:p w14:paraId="27E9236A" w14:textId="06FD5E06" w:rsidR="001D1419" w:rsidRPr="00FC3078" w:rsidRDefault="009319FC" w:rsidP="00042C3A">
            <w:pPr>
              <w:autoSpaceDE w:val="0"/>
              <w:autoSpaceDN w:val="0"/>
              <w:adjustRightInd w:val="0"/>
              <w:jc w:val="center"/>
            </w:pPr>
            <w:r>
              <w:t>2</w:t>
            </w:r>
          </w:p>
        </w:tc>
        <w:tc>
          <w:tcPr>
            <w:tcW w:w="1406" w:type="dxa"/>
            <w:vAlign w:val="center"/>
          </w:tcPr>
          <w:p w14:paraId="36006A0F" w14:textId="443EA2D0" w:rsidR="001D1419" w:rsidRPr="00FC3078" w:rsidRDefault="009319FC" w:rsidP="00042C3A">
            <w:pPr>
              <w:autoSpaceDE w:val="0"/>
              <w:autoSpaceDN w:val="0"/>
              <w:adjustRightInd w:val="0"/>
              <w:jc w:val="center"/>
            </w:pPr>
            <w:r>
              <w:t>48 302,- Kč</w:t>
            </w:r>
          </w:p>
        </w:tc>
      </w:tr>
      <w:tr w:rsidR="001D1419" w:rsidRPr="00FC3078" w14:paraId="7D7A583D" w14:textId="77777777" w:rsidTr="0096332C">
        <w:trPr>
          <w:trHeight w:val="509"/>
        </w:trPr>
        <w:tc>
          <w:tcPr>
            <w:tcW w:w="1686" w:type="dxa"/>
            <w:vAlign w:val="center"/>
          </w:tcPr>
          <w:p w14:paraId="73A3884F" w14:textId="40D17744" w:rsidR="001D1419" w:rsidRPr="00FC3078" w:rsidRDefault="00D0687E" w:rsidP="00F8353E">
            <w:r w:rsidRPr="00D0687E">
              <w:t>ECS2100-10P</w:t>
            </w:r>
          </w:p>
        </w:tc>
        <w:tc>
          <w:tcPr>
            <w:tcW w:w="4253" w:type="dxa"/>
          </w:tcPr>
          <w:p w14:paraId="6B0728ED" w14:textId="77777777" w:rsidR="009319FC" w:rsidRPr="009319FC" w:rsidRDefault="009319FC" w:rsidP="009319FC">
            <w:pPr>
              <w:autoSpaceDE w:val="0"/>
              <w:autoSpaceDN w:val="0"/>
              <w:adjustRightInd w:val="0"/>
              <w:rPr>
                <w:b/>
              </w:rPr>
            </w:pPr>
            <w:r w:rsidRPr="009319FC">
              <w:rPr>
                <w:b/>
              </w:rPr>
              <w:t xml:space="preserve">Switch </w:t>
            </w:r>
          </w:p>
          <w:p w14:paraId="63B12B32" w14:textId="6AB0931C" w:rsidR="001D1419" w:rsidRPr="00FC3078" w:rsidRDefault="009319FC" w:rsidP="009319FC">
            <w:pPr>
              <w:autoSpaceDE w:val="0"/>
              <w:autoSpaceDN w:val="0"/>
              <w:adjustRightInd w:val="0"/>
            </w:pPr>
            <w:proofErr w:type="spellStart"/>
            <w:r w:rsidRPr="009319FC">
              <w:t>Edge-Core</w:t>
            </w:r>
            <w:proofErr w:type="spellEnd"/>
            <w:r w:rsidRPr="009319FC">
              <w:t xml:space="preserve"> </w:t>
            </w:r>
            <w:r w:rsidR="00D0687E" w:rsidRPr="00D0687E">
              <w:t>ECS2100-10P</w:t>
            </w:r>
          </w:p>
        </w:tc>
        <w:tc>
          <w:tcPr>
            <w:tcW w:w="1276" w:type="dxa"/>
            <w:vAlign w:val="center"/>
          </w:tcPr>
          <w:p w14:paraId="1ED2F79B" w14:textId="2154BB2B" w:rsidR="001D1419" w:rsidRPr="00FC3078" w:rsidRDefault="009319FC" w:rsidP="00042C3A">
            <w:pPr>
              <w:autoSpaceDE w:val="0"/>
              <w:autoSpaceDN w:val="0"/>
              <w:adjustRightInd w:val="0"/>
              <w:jc w:val="center"/>
            </w:pPr>
            <w:r>
              <w:t>6 736,- Kč</w:t>
            </w:r>
          </w:p>
        </w:tc>
        <w:tc>
          <w:tcPr>
            <w:tcW w:w="708" w:type="dxa"/>
            <w:vAlign w:val="center"/>
          </w:tcPr>
          <w:p w14:paraId="1E71B201" w14:textId="410CBA7C" w:rsidR="001D1419" w:rsidRPr="00FC3078" w:rsidRDefault="009319FC" w:rsidP="00042C3A">
            <w:pPr>
              <w:autoSpaceDE w:val="0"/>
              <w:autoSpaceDN w:val="0"/>
              <w:adjustRightInd w:val="0"/>
              <w:jc w:val="center"/>
            </w:pPr>
            <w:r>
              <w:t>1</w:t>
            </w:r>
          </w:p>
        </w:tc>
        <w:tc>
          <w:tcPr>
            <w:tcW w:w="1406" w:type="dxa"/>
            <w:vAlign w:val="center"/>
          </w:tcPr>
          <w:p w14:paraId="0AC688CA" w14:textId="3001618C" w:rsidR="001D1419" w:rsidRPr="00FC3078" w:rsidRDefault="009319FC" w:rsidP="00042C3A">
            <w:pPr>
              <w:autoSpaceDE w:val="0"/>
              <w:autoSpaceDN w:val="0"/>
              <w:adjustRightInd w:val="0"/>
              <w:jc w:val="center"/>
            </w:pPr>
            <w:r>
              <w:t>6 736,- Kč</w:t>
            </w:r>
          </w:p>
        </w:tc>
      </w:tr>
      <w:tr w:rsidR="001D1419" w:rsidRPr="00FC3078" w14:paraId="3A13C356" w14:textId="77777777" w:rsidTr="009319FC">
        <w:trPr>
          <w:trHeight w:val="441"/>
        </w:trPr>
        <w:tc>
          <w:tcPr>
            <w:tcW w:w="1686" w:type="dxa"/>
            <w:vAlign w:val="center"/>
          </w:tcPr>
          <w:p w14:paraId="59981877" w14:textId="68800F80" w:rsidR="001D1419" w:rsidRPr="009319FC" w:rsidRDefault="009319FC" w:rsidP="00F8353E">
            <w:pPr>
              <w:rPr>
                <w:bCs/>
              </w:rPr>
            </w:pPr>
            <w:r w:rsidRPr="009319FC">
              <w:rPr>
                <w:bCs/>
              </w:rPr>
              <w:t>LX4001CDR-C</w:t>
            </w:r>
          </w:p>
        </w:tc>
        <w:tc>
          <w:tcPr>
            <w:tcW w:w="4253" w:type="dxa"/>
          </w:tcPr>
          <w:p w14:paraId="3AEF7442" w14:textId="4835CD3D" w:rsidR="001D1419" w:rsidRPr="00FC3078" w:rsidRDefault="009319FC" w:rsidP="00D5433B">
            <w:pPr>
              <w:autoSpaceDE w:val="0"/>
              <w:autoSpaceDN w:val="0"/>
              <w:adjustRightInd w:val="0"/>
            </w:pPr>
            <w:proofErr w:type="spellStart"/>
            <w:r w:rsidRPr="009319FC">
              <w:rPr>
                <w:b/>
              </w:rPr>
              <w:t>Linktel</w:t>
            </w:r>
            <w:proofErr w:type="spellEnd"/>
            <w:r w:rsidRPr="009319FC">
              <w:rPr>
                <w:b/>
              </w:rPr>
              <w:t xml:space="preserve"> LX4001CDR-C:</w:t>
            </w:r>
            <w:r w:rsidRPr="009319FC">
              <w:t xml:space="preserve"> </w:t>
            </w:r>
            <w:r w:rsidRPr="009319FC">
              <w:br/>
              <w:t xml:space="preserve">Cisco kompatibilní SFP+ transceiver, </w:t>
            </w:r>
            <w:proofErr w:type="gramStart"/>
            <w:r w:rsidRPr="009319FC">
              <w:t>300m</w:t>
            </w:r>
            <w:proofErr w:type="gramEnd"/>
            <w:r w:rsidRPr="009319FC">
              <w:t>,</w:t>
            </w:r>
            <w:r w:rsidRPr="009319FC">
              <w:br/>
              <w:t>10.3Gbps, MM, 850nm, Duplex LC konektor</w:t>
            </w:r>
          </w:p>
        </w:tc>
        <w:tc>
          <w:tcPr>
            <w:tcW w:w="1276" w:type="dxa"/>
            <w:vAlign w:val="center"/>
          </w:tcPr>
          <w:p w14:paraId="0F4BD874" w14:textId="37C32DBD" w:rsidR="001D1419" w:rsidRPr="00FC3078" w:rsidRDefault="009319FC" w:rsidP="00042C3A">
            <w:pPr>
              <w:autoSpaceDE w:val="0"/>
              <w:autoSpaceDN w:val="0"/>
              <w:adjustRightInd w:val="0"/>
              <w:jc w:val="center"/>
            </w:pPr>
            <w:r>
              <w:t>539,- kč</w:t>
            </w:r>
          </w:p>
        </w:tc>
        <w:tc>
          <w:tcPr>
            <w:tcW w:w="708" w:type="dxa"/>
            <w:vAlign w:val="center"/>
          </w:tcPr>
          <w:p w14:paraId="6BBB90C3" w14:textId="205B0AA1" w:rsidR="001D1419" w:rsidRPr="00FC3078" w:rsidRDefault="009319FC" w:rsidP="00042C3A">
            <w:pPr>
              <w:autoSpaceDE w:val="0"/>
              <w:autoSpaceDN w:val="0"/>
              <w:adjustRightInd w:val="0"/>
              <w:jc w:val="center"/>
            </w:pPr>
            <w:r>
              <w:t>6</w:t>
            </w:r>
          </w:p>
        </w:tc>
        <w:tc>
          <w:tcPr>
            <w:tcW w:w="1406" w:type="dxa"/>
            <w:vAlign w:val="center"/>
          </w:tcPr>
          <w:p w14:paraId="15AD72A4" w14:textId="33130778" w:rsidR="001D1419" w:rsidRPr="00FC3078" w:rsidRDefault="009319FC" w:rsidP="00042C3A">
            <w:pPr>
              <w:autoSpaceDE w:val="0"/>
              <w:autoSpaceDN w:val="0"/>
              <w:adjustRightInd w:val="0"/>
              <w:jc w:val="center"/>
            </w:pPr>
            <w:r>
              <w:t>3 234,- Kč</w:t>
            </w:r>
          </w:p>
        </w:tc>
      </w:tr>
      <w:tr w:rsidR="001D1419" w:rsidRPr="00FC3078" w14:paraId="4BA7D84D" w14:textId="77777777" w:rsidTr="00D741C0">
        <w:trPr>
          <w:trHeight w:val="441"/>
        </w:trPr>
        <w:tc>
          <w:tcPr>
            <w:tcW w:w="1686" w:type="dxa"/>
            <w:vAlign w:val="center"/>
          </w:tcPr>
          <w:p w14:paraId="23399834" w14:textId="77777777" w:rsidR="001D1419" w:rsidRPr="00FC3078" w:rsidRDefault="001D1419" w:rsidP="00F8353E"/>
        </w:tc>
        <w:tc>
          <w:tcPr>
            <w:tcW w:w="4253" w:type="dxa"/>
            <w:vAlign w:val="center"/>
          </w:tcPr>
          <w:p w14:paraId="7390D42F" w14:textId="34D82FBB" w:rsidR="001D1419" w:rsidRPr="00D741C0" w:rsidRDefault="00D741C0" w:rsidP="00D5433B">
            <w:pPr>
              <w:autoSpaceDE w:val="0"/>
              <w:autoSpaceDN w:val="0"/>
              <w:adjustRightInd w:val="0"/>
              <w:rPr>
                <w:b/>
                <w:bCs/>
              </w:rPr>
            </w:pPr>
            <w:r w:rsidRPr="00D741C0">
              <w:rPr>
                <w:b/>
                <w:bCs/>
              </w:rPr>
              <w:t>CELKEM</w:t>
            </w:r>
          </w:p>
        </w:tc>
        <w:tc>
          <w:tcPr>
            <w:tcW w:w="1276" w:type="dxa"/>
            <w:vAlign w:val="center"/>
          </w:tcPr>
          <w:p w14:paraId="1629125A" w14:textId="77777777" w:rsidR="001D1419" w:rsidRPr="00FC3078" w:rsidRDefault="001D1419" w:rsidP="00042C3A">
            <w:pPr>
              <w:autoSpaceDE w:val="0"/>
              <w:autoSpaceDN w:val="0"/>
              <w:adjustRightInd w:val="0"/>
              <w:jc w:val="center"/>
            </w:pPr>
          </w:p>
        </w:tc>
        <w:tc>
          <w:tcPr>
            <w:tcW w:w="708" w:type="dxa"/>
            <w:vAlign w:val="center"/>
          </w:tcPr>
          <w:p w14:paraId="40B1C32A" w14:textId="77777777" w:rsidR="001D1419" w:rsidRPr="00FC3078" w:rsidRDefault="001D1419" w:rsidP="00042C3A">
            <w:pPr>
              <w:autoSpaceDE w:val="0"/>
              <w:autoSpaceDN w:val="0"/>
              <w:adjustRightInd w:val="0"/>
              <w:jc w:val="center"/>
            </w:pPr>
          </w:p>
        </w:tc>
        <w:tc>
          <w:tcPr>
            <w:tcW w:w="1406" w:type="dxa"/>
            <w:vAlign w:val="center"/>
          </w:tcPr>
          <w:p w14:paraId="7E98EC22" w14:textId="52E225F6" w:rsidR="001D1419" w:rsidRPr="00D741C0" w:rsidRDefault="00D741C0" w:rsidP="00042C3A">
            <w:pPr>
              <w:autoSpaceDE w:val="0"/>
              <w:autoSpaceDN w:val="0"/>
              <w:adjustRightInd w:val="0"/>
              <w:jc w:val="center"/>
              <w:rPr>
                <w:b/>
                <w:bCs/>
              </w:rPr>
            </w:pPr>
            <w:r w:rsidRPr="00D741C0">
              <w:rPr>
                <w:b/>
                <w:bCs/>
              </w:rPr>
              <w:t>58 272,- Kč</w:t>
            </w:r>
          </w:p>
        </w:tc>
      </w:tr>
      <w:tr w:rsidR="001D1419" w:rsidRPr="00FC3078" w14:paraId="181FCCCA" w14:textId="77777777" w:rsidTr="009319FC">
        <w:trPr>
          <w:trHeight w:val="441"/>
        </w:trPr>
        <w:tc>
          <w:tcPr>
            <w:tcW w:w="1686" w:type="dxa"/>
            <w:vAlign w:val="center"/>
          </w:tcPr>
          <w:p w14:paraId="475A6D01" w14:textId="77777777" w:rsidR="001D1419" w:rsidRPr="00FC3078" w:rsidRDefault="001D1419" w:rsidP="00F8353E">
            <w:bookmarkStart w:id="0" w:name="_GoBack"/>
            <w:bookmarkEnd w:id="0"/>
          </w:p>
        </w:tc>
        <w:tc>
          <w:tcPr>
            <w:tcW w:w="4253" w:type="dxa"/>
          </w:tcPr>
          <w:p w14:paraId="7314941B" w14:textId="77777777" w:rsidR="001D1419" w:rsidRPr="00FC3078" w:rsidRDefault="001D1419" w:rsidP="00A7638A">
            <w:pPr>
              <w:autoSpaceDE w:val="0"/>
              <w:autoSpaceDN w:val="0"/>
              <w:adjustRightInd w:val="0"/>
            </w:pPr>
          </w:p>
        </w:tc>
        <w:tc>
          <w:tcPr>
            <w:tcW w:w="1276" w:type="dxa"/>
            <w:vAlign w:val="center"/>
          </w:tcPr>
          <w:p w14:paraId="7782BA5B" w14:textId="77777777" w:rsidR="001D1419" w:rsidRPr="00FC3078" w:rsidRDefault="001D1419" w:rsidP="00042C3A">
            <w:pPr>
              <w:autoSpaceDE w:val="0"/>
              <w:autoSpaceDN w:val="0"/>
              <w:adjustRightInd w:val="0"/>
              <w:jc w:val="center"/>
            </w:pPr>
          </w:p>
        </w:tc>
        <w:tc>
          <w:tcPr>
            <w:tcW w:w="708" w:type="dxa"/>
            <w:vAlign w:val="center"/>
          </w:tcPr>
          <w:p w14:paraId="6D341A49" w14:textId="77777777" w:rsidR="001D1419" w:rsidRPr="00FC3078" w:rsidRDefault="001D1419" w:rsidP="00042C3A">
            <w:pPr>
              <w:autoSpaceDE w:val="0"/>
              <w:autoSpaceDN w:val="0"/>
              <w:adjustRightInd w:val="0"/>
              <w:jc w:val="center"/>
            </w:pPr>
          </w:p>
        </w:tc>
        <w:tc>
          <w:tcPr>
            <w:tcW w:w="1406" w:type="dxa"/>
            <w:vAlign w:val="center"/>
          </w:tcPr>
          <w:p w14:paraId="02E14BA6" w14:textId="77777777" w:rsidR="001D1419" w:rsidRPr="00FC3078" w:rsidRDefault="001D1419" w:rsidP="00042C3A">
            <w:pPr>
              <w:autoSpaceDE w:val="0"/>
              <w:autoSpaceDN w:val="0"/>
              <w:adjustRightInd w:val="0"/>
              <w:jc w:val="center"/>
            </w:pPr>
          </w:p>
        </w:tc>
      </w:tr>
    </w:tbl>
    <w:p w14:paraId="17001EAE" w14:textId="77777777" w:rsidR="004A1432" w:rsidRPr="00FC3078" w:rsidRDefault="004A1432" w:rsidP="004A1432">
      <w:pPr>
        <w:pStyle w:val="Zpat"/>
        <w:rPr>
          <w:rFonts w:ascii="Times New Roman" w:hAnsi="Times New Roman"/>
          <w:caps/>
          <w:sz w:val="16"/>
        </w:rPr>
      </w:pPr>
    </w:p>
    <w:p w14:paraId="7AA5B3A7" w14:textId="77777777" w:rsidR="003E0178" w:rsidRPr="00FC3078" w:rsidRDefault="003E0178" w:rsidP="004A1432">
      <w:pPr>
        <w:pStyle w:val="Zpat"/>
        <w:jc w:val="both"/>
        <w:rPr>
          <w:rFonts w:ascii="Times New Roman" w:hAnsi="Times New Roman"/>
          <w:caps/>
          <w:sz w:val="16"/>
        </w:rPr>
      </w:pPr>
    </w:p>
    <w:sectPr w:rsidR="003E0178" w:rsidRPr="00FC3078" w:rsidSect="001B4ABD">
      <w:headerReference w:type="default" r:id="rId8"/>
      <w:footerReference w:type="default" r:id="rId9"/>
      <w:footerReference w:type="first" r:id="rId10"/>
      <w:pgSz w:w="11907" w:h="16840" w:code="9"/>
      <w:pgMar w:top="964" w:right="1134" w:bottom="1134" w:left="1134" w:header="851" w:footer="8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C2484" w14:textId="77777777" w:rsidR="00BD287F" w:rsidRDefault="00BD287F">
      <w:r>
        <w:separator/>
      </w:r>
    </w:p>
  </w:endnote>
  <w:endnote w:type="continuationSeparator" w:id="0">
    <w:p w14:paraId="43953981" w14:textId="77777777" w:rsidR="00BD287F" w:rsidRDefault="00BD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charset w:val="00"/>
    <w:family w:val="swiss"/>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D2FD" w14:textId="1DE5ACD5" w:rsidR="0085301D" w:rsidRDefault="342FAA93" w:rsidP="342FAA93">
    <w:pPr>
      <w:pStyle w:val="Zpat"/>
      <w:jc w:val="both"/>
      <w:rPr>
        <w:rFonts w:ascii="Times New Roman" w:hAnsi="Times New Roman"/>
        <w:sz w:val="20"/>
        <w:lang w:val="cs-CZ"/>
      </w:rPr>
    </w:pPr>
    <w:r w:rsidRPr="00F91845">
      <w:rPr>
        <w:rFonts w:ascii="Times New Roman" w:hAnsi="Times New Roman"/>
        <w:sz w:val="20"/>
        <w:lang w:val="cs-CZ"/>
      </w:rPr>
      <w:t>KS-2025-</w:t>
    </w:r>
    <w:r w:rsidR="00F91845" w:rsidRPr="00F91845">
      <w:rPr>
        <w:rFonts w:ascii="Times New Roman" w:hAnsi="Times New Roman"/>
        <w:sz w:val="20"/>
        <w:lang w:val="cs-CZ"/>
      </w:rPr>
      <w:t>015</w:t>
    </w:r>
    <w:r w:rsidRPr="342FAA93">
      <w:rPr>
        <w:rFonts w:ascii="Times New Roman" w:hAnsi="Times New Roman"/>
        <w:sz w:val="20"/>
        <w:lang w:val="cs-CZ"/>
      </w:rPr>
      <w:t xml:space="preserve">                                                                                                                                          strana </w:t>
    </w:r>
    <w:r w:rsidR="0085301D" w:rsidRPr="342FAA93">
      <w:rPr>
        <w:rStyle w:val="slostrnky"/>
        <w:rFonts w:ascii="Times New Roman" w:hAnsi="Times New Roman"/>
        <w:noProof/>
        <w:sz w:val="20"/>
      </w:rPr>
      <w:fldChar w:fldCharType="begin"/>
    </w:r>
    <w:r w:rsidR="0085301D" w:rsidRPr="342FAA93">
      <w:rPr>
        <w:rStyle w:val="slostrnky"/>
        <w:rFonts w:ascii="Times New Roman" w:hAnsi="Times New Roman"/>
        <w:sz w:val="20"/>
      </w:rPr>
      <w:instrText xml:space="preserve"> PAGE </w:instrText>
    </w:r>
    <w:r w:rsidR="0085301D" w:rsidRPr="342FAA93">
      <w:rPr>
        <w:rStyle w:val="slostrnky"/>
        <w:rFonts w:ascii="Times New Roman" w:hAnsi="Times New Roman"/>
        <w:sz w:val="20"/>
      </w:rPr>
      <w:fldChar w:fldCharType="separate"/>
    </w:r>
    <w:r w:rsidR="001D2CB3">
      <w:rPr>
        <w:rStyle w:val="slostrnky"/>
        <w:rFonts w:ascii="Times New Roman" w:hAnsi="Times New Roman"/>
        <w:noProof/>
        <w:sz w:val="20"/>
      </w:rPr>
      <w:t>1</w:t>
    </w:r>
    <w:r w:rsidR="0085301D" w:rsidRPr="342FAA93">
      <w:rPr>
        <w:rStyle w:val="slostrnky"/>
        <w:rFonts w:ascii="Times New Roman" w:hAnsi="Times New Roman"/>
        <w:noProof/>
        <w:sz w:val="20"/>
      </w:rPr>
      <w:fldChar w:fldCharType="end"/>
    </w:r>
    <w:r w:rsidRPr="342FAA93">
      <w:rPr>
        <w:rStyle w:val="slostrnky"/>
        <w:rFonts w:ascii="Times New Roman" w:hAnsi="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D8021" w14:textId="77777777" w:rsidR="0085301D" w:rsidRDefault="0085301D">
    <w:pPr>
      <w:pStyle w:val="Zpat"/>
      <w:jc w:val="right"/>
      <w:rPr>
        <w:rFonts w:ascii="Times New Roman" w:hAnsi="Times New Roman"/>
        <w:sz w:val="20"/>
        <w:lang w:val="cs-CZ"/>
      </w:rPr>
    </w:pPr>
    <w:r>
      <w:rPr>
        <w:rFonts w:ascii="Times New Roman" w:hAnsi="Times New Roman"/>
        <w:sz w:val="20"/>
        <w:lang w:val="cs-CZ"/>
      </w:rPr>
      <w:t xml:space="preserve">strana </w:t>
    </w:r>
    <w:r w:rsidR="00C500B4">
      <w:rPr>
        <w:rStyle w:val="slostrnky"/>
        <w:rFonts w:ascii="Times New Roman" w:hAnsi="Times New Roman"/>
        <w:sz w:val="20"/>
      </w:rPr>
      <w:fldChar w:fldCharType="begin"/>
    </w:r>
    <w:r>
      <w:rPr>
        <w:rStyle w:val="slostrnky"/>
        <w:rFonts w:ascii="Times New Roman" w:hAnsi="Times New Roman"/>
        <w:sz w:val="20"/>
      </w:rPr>
      <w:instrText xml:space="preserve"> PAGE </w:instrText>
    </w:r>
    <w:r w:rsidR="00C500B4">
      <w:rPr>
        <w:rStyle w:val="slostrnky"/>
        <w:rFonts w:ascii="Times New Roman" w:hAnsi="Times New Roman"/>
        <w:sz w:val="20"/>
      </w:rPr>
      <w:fldChar w:fldCharType="separate"/>
    </w:r>
    <w:r>
      <w:rPr>
        <w:rStyle w:val="slostrnky"/>
        <w:rFonts w:ascii="Times New Roman" w:hAnsi="Times New Roman"/>
        <w:noProof/>
        <w:sz w:val="20"/>
      </w:rPr>
      <w:t>1</w:t>
    </w:r>
    <w:r w:rsidR="00C500B4">
      <w:rPr>
        <w:rStyle w:val="slostrnky"/>
        <w:rFonts w:ascii="Times New Roman" w:hAnsi="Times New Roman"/>
        <w:sz w:val="20"/>
      </w:rPr>
      <w:fldChar w:fldCharType="end"/>
    </w:r>
    <w:r>
      <w:rPr>
        <w:rStyle w:val="slostrnky"/>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AFFDD" w14:textId="77777777" w:rsidR="00BD287F" w:rsidRDefault="00BD287F">
      <w:r>
        <w:separator/>
      </w:r>
    </w:p>
  </w:footnote>
  <w:footnote w:type="continuationSeparator" w:id="0">
    <w:p w14:paraId="68E782A7" w14:textId="77777777" w:rsidR="00BD287F" w:rsidRDefault="00BD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342FAA93" w14:paraId="26F34F6B" w14:textId="77777777" w:rsidTr="342FAA93">
      <w:trPr>
        <w:trHeight w:val="300"/>
      </w:trPr>
      <w:tc>
        <w:tcPr>
          <w:tcW w:w="3210" w:type="dxa"/>
        </w:tcPr>
        <w:p w14:paraId="7238CAB1" w14:textId="6D0D1073" w:rsidR="342FAA93" w:rsidRDefault="342FAA93" w:rsidP="342FAA93">
          <w:pPr>
            <w:pStyle w:val="Zhlav"/>
            <w:ind w:left="-115"/>
          </w:pPr>
        </w:p>
      </w:tc>
      <w:tc>
        <w:tcPr>
          <w:tcW w:w="3210" w:type="dxa"/>
        </w:tcPr>
        <w:p w14:paraId="27569E34" w14:textId="088D4DF9" w:rsidR="342FAA93" w:rsidRDefault="342FAA93" w:rsidP="342FAA93">
          <w:pPr>
            <w:pStyle w:val="Zhlav"/>
            <w:jc w:val="center"/>
          </w:pPr>
        </w:p>
      </w:tc>
      <w:tc>
        <w:tcPr>
          <w:tcW w:w="3210" w:type="dxa"/>
        </w:tcPr>
        <w:p w14:paraId="5FB9D8E2" w14:textId="61D03233" w:rsidR="342FAA93" w:rsidRDefault="342FAA93" w:rsidP="342FAA93">
          <w:pPr>
            <w:pStyle w:val="Zhlav"/>
            <w:ind w:right="-115"/>
            <w:jc w:val="right"/>
          </w:pPr>
        </w:p>
      </w:tc>
    </w:tr>
  </w:tbl>
  <w:p w14:paraId="2B493194" w14:textId="7C4BABA8" w:rsidR="342FAA93" w:rsidRDefault="342FAA93" w:rsidP="342FAA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2F49"/>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7073A26"/>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8EE4ED6"/>
    <w:multiLevelType w:val="singleLevel"/>
    <w:tmpl w:val="395E42FC"/>
    <w:lvl w:ilvl="0">
      <w:start w:val="1"/>
      <w:numFmt w:val="decimal"/>
      <w:lvlText w:val="%1."/>
      <w:lvlJc w:val="left"/>
      <w:pPr>
        <w:tabs>
          <w:tab w:val="num" w:pos="570"/>
        </w:tabs>
        <w:ind w:left="570" w:hanging="570"/>
      </w:pPr>
      <w:rPr>
        <w:rFonts w:hint="default"/>
      </w:rPr>
    </w:lvl>
  </w:abstractNum>
  <w:abstractNum w:abstractNumId="3" w15:restartNumberingAfterBreak="0">
    <w:nsid w:val="0C4C7972"/>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1C06521C"/>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DDC2CBD"/>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29473A06"/>
    <w:multiLevelType w:val="singleLevel"/>
    <w:tmpl w:val="395E42FC"/>
    <w:lvl w:ilvl="0">
      <w:start w:val="1"/>
      <w:numFmt w:val="decimal"/>
      <w:lvlText w:val="%1."/>
      <w:lvlJc w:val="left"/>
      <w:pPr>
        <w:tabs>
          <w:tab w:val="num" w:pos="570"/>
        </w:tabs>
        <w:ind w:left="570" w:hanging="570"/>
      </w:pPr>
      <w:rPr>
        <w:rFonts w:hint="default"/>
      </w:rPr>
    </w:lvl>
  </w:abstractNum>
  <w:abstractNum w:abstractNumId="7" w15:restartNumberingAfterBreak="0">
    <w:nsid w:val="2F4513B9"/>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8957199"/>
    <w:multiLevelType w:val="singleLevel"/>
    <w:tmpl w:val="395E42FC"/>
    <w:lvl w:ilvl="0">
      <w:start w:val="1"/>
      <w:numFmt w:val="decimal"/>
      <w:lvlText w:val="%1."/>
      <w:lvlJc w:val="left"/>
      <w:pPr>
        <w:tabs>
          <w:tab w:val="num" w:pos="570"/>
        </w:tabs>
        <w:ind w:left="570" w:hanging="570"/>
      </w:pPr>
      <w:rPr>
        <w:rFonts w:hint="default"/>
      </w:rPr>
    </w:lvl>
  </w:abstractNum>
  <w:abstractNum w:abstractNumId="9" w15:restartNumberingAfterBreak="0">
    <w:nsid w:val="42057CE7"/>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42394D19"/>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5161F28"/>
    <w:multiLevelType w:val="singleLevel"/>
    <w:tmpl w:val="395E42FC"/>
    <w:lvl w:ilvl="0">
      <w:start w:val="1"/>
      <w:numFmt w:val="decimal"/>
      <w:lvlText w:val="%1."/>
      <w:lvlJc w:val="left"/>
      <w:pPr>
        <w:tabs>
          <w:tab w:val="num" w:pos="570"/>
        </w:tabs>
        <w:ind w:left="570" w:hanging="570"/>
      </w:pPr>
      <w:rPr>
        <w:rFonts w:hint="default"/>
      </w:rPr>
    </w:lvl>
  </w:abstractNum>
  <w:abstractNum w:abstractNumId="12" w15:restartNumberingAfterBreak="0">
    <w:nsid w:val="56583E66"/>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5DDF0130"/>
    <w:multiLevelType w:val="singleLevel"/>
    <w:tmpl w:val="CB7CD6D8"/>
    <w:lvl w:ilvl="0">
      <w:start w:val="1"/>
      <w:numFmt w:val="decimal"/>
      <w:lvlText w:val="%1."/>
      <w:lvlJc w:val="left"/>
      <w:pPr>
        <w:tabs>
          <w:tab w:val="num" w:pos="360"/>
        </w:tabs>
        <w:ind w:left="360" w:hanging="360"/>
      </w:pPr>
      <w:rPr>
        <w:rFonts w:hint="default"/>
      </w:rPr>
    </w:lvl>
  </w:abstractNum>
  <w:abstractNum w:abstractNumId="14" w15:restartNumberingAfterBreak="0">
    <w:nsid w:val="647F1A6A"/>
    <w:multiLevelType w:val="hybridMultilevel"/>
    <w:tmpl w:val="121C00DA"/>
    <w:lvl w:ilvl="0" w:tplc="FB4E7496">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6A51C58"/>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6892735A"/>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6C2D5B4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77E61073"/>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78DD776A"/>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7AF861AB"/>
    <w:multiLevelType w:val="singleLevel"/>
    <w:tmpl w:val="0405000F"/>
    <w:lvl w:ilvl="0">
      <w:start w:val="1"/>
      <w:numFmt w:val="decimal"/>
      <w:lvlText w:val="%1."/>
      <w:lvlJc w:val="left"/>
      <w:pPr>
        <w:tabs>
          <w:tab w:val="num" w:pos="360"/>
        </w:tabs>
        <w:ind w:left="360" w:hanging="360"/>
      </w:pPr>
    </w:lvl>
  </w:abstractNum>
  <w:num w:numId="1">
    <w:abstractNumId w:val="15"/>
  </w:num>
  <w:num w:numId="2">
    <w:abstractNumId w:val="2"/>
  </w:num>
  <w:num w:numId="3">
    <w:abstractNumId w:val="6"/>
  </w:num>
  <w:num w:numId="4">
    <w:abstractNumId w:val="8"/>
  </w:num>
  <w:num w:numId="5">
    <w:abstractNumId w:val="11"/>
  </w:num>
  <w:num w:numId="6">
    <w:abstractNumId w:val="18"/>
  </w:num>
  <w:num w:numId="7">
    <w:abstractNumId w:val="17"/>
  </w:num>
  <w:num w:numId="8">
    <w:abstractNumId w:val="12"/>
  </w:num>
  <w:num w:numId="9">
    <w:abstractNumId w:val="5"/>
  </w:num>
  <w:num w:numId="10">
    <w:abstractNumId w:val="1"/>
  </w:num>
  <w:num w:numId="11">
    <w:abstractNumId w:val="19"/>
  </w:num>
  <w:num w:numId="12">
    <w:abstractNumId w:val="13"/>
  </w:num>
  <w:num w:numId="13">
    <w:abstractNumId w:val="7"/>
  </w:num>
  <w:num w:numId="14">
    <w:abstractNumId w:val="16"/>
  </w:num>
  <w:num w:numId="15">
    <w:abstractNumId w:val="0"/>
  </w:num>
  <w:num w:numId="16">
    <w:abstractNumId w:val="10"/>
  </w:num>
  <w:num w:numId="17">
    <w:abstractNumId w:val="20"/>
  </w:num>
  <w:num w:numId="18">
    <w:abstractNumId w:val="4"/>
  </w:num>
  <w:num w:numId="19">
    <w:abstractNumId w:val="9"/>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DA"/>
    <w:rsid w:val="00042C3A"/>
    <w:rsid w:val="00057A56"/>
    <w:rsid w:val="00080758"/>
    <w:rsid w:val="0008249B"/>
    <w:rsid w:val="000835DF"/>
    <w:rsid w:val="0009365E"/>
    <w:rsid w:val="000A27BA"/>
    <w:rsid w:val="000C1810"/>
    <w:rsid w:val="000D5054"/>
    <w:rsid w:val="001051CD"/>
    <w:rsid w:val="001331E7"/>
    <w:rsid w:val="001814B4"/>
    <w:rsid w:val="0019105A"/>
    <w:rsid w:val="0019204E"/>
    <w:rsid w:val="001B1301"/>
    <w:rsid w:val="001B4ABD"/>
    <w:rsid w:val="001C5844"/>
    <w:rsid w:val="001D1419"/>
    <w:rsid w:val="001D2CB3"/>
    <w:rsid w:val="001E371A"/>
    <w:rsid w:val="00227FC9"/>
    <w:rsid w:val="002844CF"/>
    <w:rsid w:val="00291D54"/>
    <w:rsid w:val="002C41DA"/>
    <w:rsid w:val="003065DE"/>
    <w:rsid w:val="00306C99"/>
    <w:rsid w:val="003561F2"/>
    <w:rsid w:val="00362642"/>
    <w:rsid w:val="00395070"/>
    <w:rsid w:val="003A5FCA"/>
    <w:rsid w:val="003B7DB8"/>
    <w:rsid w:val="003C0730"/>
    <w:rsid w:val="003E0178"/>
    <w:rsid w:val="003E1AC0"/>
    <w:rsid w:val="003E5C73"/>
    <w:rsid w:val="0040740E"/>
    <w:rsid w:val="00461F94"/>
    <w:rsid w:val="0046714F"/>
    <w:rsid w:val="00480A30"/>
    <w:rsid w:val="004A1432"/>
    <w:rsid w:val="004B7740"/>
    <w:rsid w:val="0051590D"/>
    <w:rsid w:val="00533CA3"/>
    <w:rsid w:val="0054567F"/>
    <w:rsid w:val="00561098"/>
    <w:rsid w:val="005817E4"/>
    <w:rsid w:val="00585C33"/>
    <w:rsid w:val="005E1EA6"/>
    <w:rsid w:val="006120A4"/>
    <w:rsid w:val="00645E33"/>
    <w:rsid w:val="0065742E"/>
    <w:rsid w:val="00686A6A"/>
    <w:rsid w:val="006A1CE4"/>
    <w:rsid w:val="006C06B9"/>
    <w:rsid w:val="006C5284"/>
    <w:rsid w:val="006D1690"/>
    <w:rsid w:val="006D3ED3"/>
    <w:rsid w:val="00707B6C"/>
    <w:rsid w:val="00760C77"/>
    <w:rsid w:val="00766689"/>
    <w:rsid w:val="0079123D"/>
    <w:rsid w:val="007B52B2"/>
    <w:rsid w:val="007D4C00"/>
    <w:rsid w:val="0085301D"/>
    <w:rsid w:val="00873117"/>
    <w:rsid w:val="00886933"/>
    <w:rsid w:val="008903AD"/>
    <w:rsid w:val="00895338"/>
    <w:rsid w:val="008B6975"/>
    <w:rsid w:val="008F2C32"/>
    <w:rsid w:val="0091206D"/>
    <w:rsid w:val="009319FC"/>
    <w:rsid w:val="009355E5"/>
    <w:rsid w:val="0096332C"/>
    <w:rsid w:val="009656EF"/>
    <w:rsid w:val="00A06B95"/>
    <w:rsid w:val="00A469BF"/>
    <w:rsid w:val="00A7638A"/>
    <w:rsid w:val="00AA4B3A"/>
    <w:rsid w:val="00AF7DC4"/>
    <w:rsid w:val="00B11EBB"/>
    <w:rsid w:val="00B222BD"/>
    <w:rsid w:val="00B26ADA"/>
    <w:rsid w:val="00B6751B"/>
    <w:rsid w:val="00B839B6"/>
    <w:rsid w:val="00BA6461"/>
    <w:rsid w:val="00BD287F"/>
    <w:rsid w:val="00BF6067"/>
    <w:rsid w:val="00C01E8E"/>
    <w:rsid w:val="00C136E8"/>
    <w:rsid w:val="00C24116"/>
    <w:rsid w:val="00C36FA7"/>
    <w:rsid w:val="00C407C3"/>
    <w:rsid w:val="00C500B4"/>
    <w:rsid w:val="00C54606"/>
    <w:rsid w:val="00C55718"/>
    <w:rsid w:val="00C93914"/>
    <w:rsid w:val="00CD7C92"/>
    <w:rsid w:val="00CE3113"/>
    <w:rsid w:val="00CF278C"/>
    <w:rsid w:val="00D0687E"/>
    <w:rsid w:val="00D17D55"/>
    <w:rsid w:val="00D25438"/>
    <w:rsid w:val="00D35232"/>
    <w:rsid w:val="00D5433B"/>
    <w:rsid w:val="00D741C0"/>
    <w:rsid w:val="00E042BC"/>
    <w:rsid w:val="00E16C3F"/>
    <w:rsid w:val="00E5210B"/>
    <w:rsid w:val="00E578D9"/>
    <w:rsid w:val="00E65D21"/>
    <w:rsid w:val="00EA0E4A"/>
    <w:rsid w:val="00EE4763"/>
    <w:rsid w:val="00EF6733"/>
    <w:rsid w:val="00F00001"/>
    <w:rsid w:val="00F15925"/>
    <w:rsid w:val="00F30775"/>
    <w:rsid w:val="00F3725A"/>
    <w:rsid w:val="00F4520A"/>
    <w:rsid w:val="00F7523E"/>
    <w:rsid w:val="00F824B2"/>
    <w:rsid w:val="00F8353E"/>
    <w:rsid w:val="00F857B7"/>
    <w:rsid w:val="00F91845"/>
    <w:rsid w:val="00F978F8"/>
    <w:rsid w:val="00FC3078"/>
    <w:rsid w:val="00FD4FC8"/>
    <w:rsid w:val="342FA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D9DF8"/>
  <w15:docId w15:val="{961A1CFA-8A46-43B4-8873-F5DFA3A8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042BC"/>
  </w:style>
  <w:style w:type="paragraph" w:styleId="Nadpis1">
    <w:name w:val="heading 1"/>
    <w:basedOn w:val="Normln"/>
    <w:next w:val="Normln"/>
    <w:qFormat/>
    <w:rsid w:val="00E042BC"/>
    <w:pPr>
      <w:keepNext/>
      <w:jc w:val="center"/>
      <w:outlineLvl w:val="0"/>
    </w:pPr>
    <w:rPr>
      <w:b/>
      <w:sz w:val="24"/>
    </w:rPr>
  </w:style>
  <w:style w:type="paragraph" w:styleId="Nadpis2">
    <w:name w:val="heading 2"/>
    <w:basedOn w:val="Normln"/>
    <w:next w:val="Normln"/>
    <w:qFormat/>
    <w:rsid w:val="00E042BC"/>
    <w:pPr>
      <w:keepNext/>
      <w:jc w:val="center"/>
      <w:outlineLvl w:val="1"/>
    </w:pPr>
    <w:rPr>
      <w:b/>
      <w:sz w:val="22"/>
    </w:rPr>
  </w:style>
  <w:style w:type="paragraph" w:styleId="Nadpis4">
    <w:name w:val="heading 4"/>
    <w:basedOn w:val="Normln"/>
    <w:next w:val="Normln"/>
    <w:qFormat/>
    <w:rsid w:val="00E042BC"/>
    <w:pPr>
      <w:keepNext/>
      <w:outlineLvl w:val="3"/>
    </w:pPr>
    <w:rPr>
      <w:rFonts w:ascii="Arial" w:hAnsi="Arial"/>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042BC"/>
    <w:pPr>
      <w:tabs>
        <w:tab w:val="center" w:pos="4153"/>
        <w:tab w:val="right" w:pos="8306"/>
      </w:tabs>
      <w:ind w:firstLine="720"/>
    </w:pPr>
    <w:rPr>
      <w:rFonts w:ascii="Arial" w:hAnsi="Arial"/>
      <w:sz w:val="24"/>
      <w:lang w:val="en-GB"/>
    </w:rPr>
  </w:style>
  <w:style w:type="character" w:styleId="slostrnky">
    <w:name w:val="page number"/>
    <w:basedOn w:val="Standardnpsmoodstavce"/>
    <w:rsid w:val="00E042BC"/>
  </w:style>
  <w:style w:type="paragraph" w:styleId="Zkladntext">
    <w:name w:val="Body Text"/>
    <w:basedOn w:val="Normln"/>
    <w:rsid w:val="00E042BC"/>
    <w:pPr>
      <w:suppressAutoHyphens/>
      <w:ind w:firstLine="720"/>
      <w:jc w:val="both"/>
    </w:pPr>
    <w:rPr>
      <w:rFonts w:ascii="CG Omega" w:hAnsi="CG Omega"/>
      <w:snapToGrid w:val="0"/>
      <w:spacing w:val="-2"/>
      <w:sz w:val="24"/>
    </w:rPr>
  </w:style>
  <w:style w:type="paragraph" w:styleId="Zkladntextodsazen">
    <w:name w:val="Body Text Indent"/>
    <w:basedOn w:val="Normln"/>
    <w:rsid w:val="00E042BC"/>
    <w:pPr>
      <w:ind w:left="705" w:hanging="705"/>
      <w:jc w:val="both"/>
    </w:pPr>
    <w:rPr>
      <w:rFonts w:ascii="Arial" w:hAnsi="Arial"/>
      <w:sz w:val="24"/>
    </w:rPr>
  </w:style>
  <w:style w:type="paragraph" w:styleId="Zhlav">
    <w:name w:val="header"/>
    <w:basedOn w:val="Normln"/>
    <w:rsid w:val="00E042BC"/>
    <w:pPr>
      <w:tabs>
        <w:tab w:val="center" w:pos="4536"/>
        <w:tab w:val="right" w:pos="9072"/>
      </w:tabs>
    </w:pPr>
  </w:style>
  <w:style w:type="paragraph" w:styleId="Nzev">
    <w:name w:val="Title"/>
    <w:basedOn w:val="Normln"/>
    <w:qFormat/>
    <w:rsid w:val="00E042BC"/>
    <w:pPr>
      <w:spacing w:line="240" w:lineRule="atLeast"/>
      <w:jc w:val="center"/>
    </w:pPr>
    <w:rPr>
      <w:b/>
      <w:sz w:val="32"/>
    </w:rPr>
  </w:style>
  <w:style w:type="paragraph" w:styleId="Zkladntextodsazen2">
    <w:name w:val="Body Text Indent 2"/>
    <w:basedOn w:val="Normln"/>
    <w:rsid w:val="00E042BC"/>
    <w:pPr>
      <w:ind w:left="284" w:hanging="284"/>
      <w:jc w:val="both"/>
    </w:pPr>
    <w:rPr>
      <w:sz w:val="24"/>
    </w:rPr>
  </w:style>
  <w:style w:type="paragraph" w:styleId="Zkladntextodsazen3">
    <w:name w:val="Body Text Indent 3"/>
    <w:basedOn w:val="Normln"/>
    <w:rsid w:val="00E042BC"/>
    <w:pPr>
      <w:spacing w:line="360" w:lineRule="auto"/>
      <w:ind w:left="567" w:hanging="567"/>
    </w:pPr>
    <w:rPr>
      <w:sz w:val="24"/>
    </w:rPr>
  </w:style>
  <w:style w:type="paragraph" w:styleId="Textbubliny">
    <w:name w:val="Balloon Text"/>
    <w:basedOn w:val="Normln"/>
    <w:semiHidden/>
    <w:rsid w:val="002C41DA"/>
    <w:rPr>
      <w:rFonts w:ascii="Tahoma" w:hAnsi="Tahoma" w:cs="Tahoma"/>
      <w:sz w:val="16"/>
      <w:szCs w:val="16"/>
    </w:rPr>
  </w:style>
  <w:style w:type="character" w:styleId="Odkaznakoment">
    <w:name w:val="annotation reference"/>
    <w:basedOn w:val="Standardnpsmoodstavce"/>
    <w:uiPriority w:val="99"/>
    <w:semiHidden/>
    <w:unhideWhenUsed/>
    <w:rsid w:val="006D1690"/>
    <w:rPr>
      <w:sz w:val="16"/>
      <w:szCs w:val="16"/>
    </w:rPr>
  </w:style>
  <w:style w:type="paragraph" w:styleId="Textkomente">
    <w:name w:val="annotation text"/>
    <w:basedOn w:val="Normln"/>
    <w:link w:val="TextkomenteChar"/>
    <w:uiPriority w:val="99"/>
    <w:semiHidden/>
    <w:unhideWhenUsed/>
    <w:rsid w:val="006D1690"/>
  </w:style>
  <w:style w:type="character" w:customStyle="1" w:styleId="TextkomenteChar">
    <w:name w:val="Text komentáře Char"/>
    <w:basedOn w:val="Standardnpsmoodstavce"/>
    <w:link w:val="Textkomente"/>
    <w:uiPriority w:val="99"/>
    <w:semiHidden/>
    <w:rsid w:val="006D1690"/>
  </w:style>
  <w:style w:type="paragraph" w:styleId="Pedmtkomente">
    <w:name w:val="annotation subject"/>
    <w:basedOn w:val="Textkomente"/>
    <w:next w:val="Textkomente"/>
    <w:link w:val="PedmtkomenteChar"/>
    <w:uiPriority w:val="99"/>
    <w:semiHidden/>
    <w:unhideWhenUsed/>
    <w:rsid w:val="006D1690"/>
    <w:rPr>
      <w:b/>
      <w:bCs/>
    </w:rPr>
  </w:style>
  <w:style w:type="character" w:customStyle="1" w:styleId="PedmtkomenteChar">
    <w:name w:val="Předmět komentáře Char"/>
    <w:basedOn w:val="TextkomenteChar"/>
    <w:link w:val="Pedmtkomente"/>
    <w:uiPriority w:val="99"/>
    <w:semiHidden/>
    <w:rsid w:val="006D1690"/>
    <w:rPr>
      <w:b/>
      <w:bCs/>
    </w:rPr>
  </w:style>
  <w:style w:type="character" w:styleId="Siln">
    <w:name w:val="Strong"/>
    <w:basedOn w:val="Standardnpsmoodstavce"/>
    <w:uiPriority w:val="22"/>
    <w:qFormat/>
    <w:rsid w:val="00E578D9"/>
    <w:rPr>
      <w:b/>
      <w:bC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77509">
      <w:bodyDiv w:val="1"/>
      <w:marLeft w:val="0"/>
      <w:marRight w:val="0"/>
      <w:marTop w:val="0"/>
      <w:marBottom w:val="0"/>
      <w:divBdr>
        <w:top w:val="none" w:sz="0" w:space="0" w:color="auto"/>
        <w:left w:val="none" w:sz="0" w:space="0" w:color="auto"/>
        <w:bottom w:val="none" w:sz="0" w:space="0" w:color="auto"/>
        <w:right w:val="none" w:sz="0" w:space="0" w:color="auto"/>
      </w:divBdr>
    </w:div>
    <w:div w:id="1131510386">
      <w:bodyDiv w:val="1"/>
      <w:marLeft w:val="0"/>
      <w:marRight w:val="0"/>
      <w:marTop w:val="0"/>
      <w:marBottom w:val="0"/>
      <w:divBdr>
        <w:top w:val="none" w:sz="0" w:space="0" w:color="auto"/>
        <w:left w:val="none" w:sz="0" w:space="0" w:color="auto"/>
        <w:bottom w:val="none" w:sz="0" w:space="0" w:color="auto"/>
        <w:right w:val="none" w:sz="0" w:space="0" w:color="auto"/>
      </w:divBdr>
    </w:div>
    <w:div w:id="1144279568">
      <w:bodyDiv w:val="1"/>
      <w:marLeft w:val="0"/>
      <w:marRight w:val="0"/>
      <w:marTop w:val="0"/>
      <w:marBottom w:val="0"/>
      <w:divBdr>
        <w:top w:val="none" w:sz="0" w:space="0" w:color="auto"/>
        <w:left w:val="none" w:sz="0" w:space="0" w:color="auto"/>
        <w:bottom w:val="none" w:sz="0" w:space="0" w:color="auto"/>
        <w:right w:val="none" w:sz="0" w:space="0" w:color="auto"/>
      </w:divBdr>
    </w:div>
    <w:div w:id="1158617184">
      <w:bodyDiv w:val="1"/>
      <w:marLeft w:val="0"/>
      <w:marRight w:val="0"/>
      <w:marTop w:val="0"/>
      <w:marBottom w:val="0"/>
      <w:divBdr>
        <w:top w:val="none" w:sz="0" w:space="0" w:color="auto"/>
        <w:left w:val="none" w:sz="0" w:space="0" w:color="auto"/>
        <w:bottom w:val="none" w:sz="0" w:space="0" w:color="auto"/>
        <w:right w:val="none" w:sz="0" w:space="0" w:color="auto"/>
      </w:divBdr>
    </w:div>
    <w:div w:id="1435325309">
      <w:bodyDiv w:val="1"/>
      <w:marLeft w:val="0"/>
      <w:marRight w:val="0"/>
      <w:marTop w:val="0"/>
      <w:marBottom w:val="0"/>
      <w:divBdr>
        <w:top w:val="none" w:sz="0" w:space="0" w:color="auto"/>
        <w:left w:val="none" w:sz="0" w:space="0" w:color="auto"/>
        <w:bottom w:val="none" w:sz="0" w:space="0" w:color="auto"/>
        <w:right w:val="none" w:sz="0" w:space="0" w:color="auto"/>
      </w:divBdr>
    </w:div>
    <w:div w:id="1546718002">
      <w:bodyDiv w:val="1"/>
      <w:marLeft w:val="0"/>
      <w:marRight w:val="0"/>
      <w:marTop w:val="0"/>
      <w:marBottom w:val="0"/>
      <w:divBdr>
        <w:top w:val="none" w:sz="0" w:space="0" w:color="auto"/>
        <w:left w:val="none" w:sz="0" w:space="0" w:color="auto"/>
        <w:bottom w:val="none" w:sz="0" w:space="0" w:color="auto"/>
        <w:right w:val="none" w:sz="0" w:space="0" w:color="auto"/>
      </w:divBdr>
    </w:div>
    <w:div w:id="1646540970">
      <w:bodyDiv w:val="1"/>
      <w:marLeft w:val="0"/>
      <w:marRight w:val="0"/>
      <w:marTop w:val="0"/>
      <w:marBottom w:val="0"/>
      <w:divBdr>
        <w:top w:val="none" w:sz="0" w:space="0" w:color="auto"/>
        <w:left w:val="none" w:sz="0" w:space="0" w:color="auto"/>
        <w:bottom w:val="none" w:sz="0" w:space="0" w:color="auto"/>
        <w:right w:val="none" w:sz="0" w:space="0" w:color="auto"/>
      </w:divBdr>
    </w:div>
    <w:div w:id="1647512198">
      <w:bodyDiv w:val="1"/>
      <w:marLeft w:val="0"/>
      <w:marRight w:val="0"/>
      <w:marTop w:val="0"/>
      <w:marBottom w:val="0"/>
      <w:divBdr>
        <w:top w:val="none" w:sz="0" w:space="0" w:color="auto"/>
        <w:left w:val="none" w:sz="0" w:space="0" w:color="auto"/>
        <w:bottom w:val="none" w:sz="0" w:space="0" w:color="auto"/>
        <w:right w:val="none" w:sz="0" w:space="0" w:color="auto"/>
      </w:divBdr>
    </w:div>
    <w:div w:id="19562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175B6-C145-4A02-8971-4D1ADC8D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1178</Words>
  <Characters>6951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PROFIcomms s.r.o.</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Petr Nesvadba</dc:creator>
  <cp:lastModifiedBy>Marek Kňažík</cp:lastModifiedBy>
  <cp:revision>17</cp:revision>
  <cp:lastPrinted>2017-06-28T08:02:00Z</cp:lastPrinted>
  <dcterms:created xsi:type="dcterms:W3CDTF">2025-12-17T13:59:00Z</dcterms:created>
  <dcterms:modified xsi:type="dcterms:W3CDTF">2025-12-18T06:52:00Z</dcterms:modified>
</cp:coreProperties>
</file>