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85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721360</wp:posOffset>
            </wp:positionH>
            <wp:positionV relativeFrom="margin">
              <wp:posOffset>0</wp:posOffset>
            </wp:positionV>
            <wp:extent cx="2165985" cy="1816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5985" cy="181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2"/>
          <w:pgMar w:top="1131" w:left="1112" w:right="937" w:bottom="936" w:header="703" w:footer="50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366" w:left="0" w:right="0" w:bottom="16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POH/54332/2025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76200</wp:posOffset>
                </wp:positionV>
                <wp:extent cx="1122680" cy="7092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2680" cy="709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Živa Projekt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Brandýská 763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250 90 Jirny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7.10000000000002pt;margin-top:6.pt;width:88.400000000000006pt;height:55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Živa Projekt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Brandýská 763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250 90 Jirny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16.12.2025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92" w:val="left"/>
        </w:tabs>
        <w:bidi w:val="0"/>
        <w:spacing w:before="0" w:after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302743/2/2025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9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30.10.2026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9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81 000,00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92" w:val="left"/>
        </w:tabs>
        <w:bidi w:val="0"/>
        <w:spacing w:before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Kamenice v Kytlicích u č.p. 59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výkon autorského dozoru na akci Kamenice v Kytlicích u č.p. 59. Autorský dozor bude prováděn průběžně na výzvu a dle požadavků objednatele a bude ukončen v termínu dokončení této stavby. Požadovaný termín dodání je termín předpokládaný v době vyhotovení této objednávky.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autorského dozoru se sjednává dohodou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8000,- Kč bez DPH za aktivní účast na 1 kontrolním dnu stavby včetně dopravy 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850,- Kč bez DPH za 1 člověkohodinu výkonu dalších činností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81 000,-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autorský dozor zahrnuje veškeré náklady zhotovitele související s prováděním prací včetně cestovného. Výkon autorského dozoru začíná a končí v sídle zhotovitele s uvažováním přiměřené doby k dopravě na stavbu.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Daňový doklad s odsouhlaseným výkazem AD a potvrzenou platnou objednávkou zašlete na email: </w:t>
      </w:r>
      <w:r>
        <w:fldChar w:fldCharType="begin"/>
      </w:r>
      <w:r>
        <w:rPr/>
        <w:instrText> HYPERLINK "mailto:faktury-zte@poh.cz"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faktury-zte@poh.cz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stanovená jako pevná smluvní cena v souladu splatným zněním zákona č. 526/1990 Sb. ve znění pozdějších předpisů, platná po dobu provádění prací.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Takto stanovená cena bude používaná zhotovitelem také pro kalkulaci prací spojených s výkonem AD v případě požadovaných změn a doplnění projektové dokumentace po odsouhlasení jejich rozsahu a objednávce investorem.</w:t>
      </w:r>
    </w:p>
    <w:p>
      <w:pPr>
        <w:widowControl w:val="0"/>
        <w:spacing w:after="606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756285</wp:posOffset>
            </wp:positionH>
            <wp:positionV relativeFrom="paragraph">
              <wp:posOffset>203200</wp:posOffset>
            </wp:positionV>
            <wp:extent cx="6210300" cy="1816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0300" cy="18161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margin">
                  <wp:posOffset>161290</wp:posOffset>
                </wp:positionV>
                <wp:extent cx="152400" cy="2254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700000000000003pt;margin-top:12.700000000000001pt;width:12.pt;height:17.75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margin">
                  <wp:posOffset>644525</wp:posOffset>
                </wp:positionV>
                <wp:extent cx="152400" cy="118681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" cy="1186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bookmarkEnd w:id="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bookmarkEnd w:id="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bookmarkEnd w:id="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bookmarkEnd w:id="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bookmarkEnd w:id="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700000000000003pt;margin-top:50.75pt;width:12.pt;height:93.450000000000003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bookmarkEnd w:id="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bookmarkEnd w:id="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bookmarkEnd w:id="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  <w:bookmarkEnd w:id="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bookmarkEnd w:id="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autorského dozoru bude fakturována dle skutečného rozsahu prací – výkaz AD, odsouhlaseného objednatelem a potvrzené platné objednávky. Oba tyto dokumenty musí být přílohou vystaveného daňového dokladu.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10 dnů ode dne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posledním dnem ve čtvrtletí a dnem dokončení stavby.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elektronické zaslání Vámi potvrzené platné objednávky (podpis a razítko na objednávku, nebo elektronický podpis).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cenová nabídka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366" w:left="1111" w:right="1104" w:bottom="1651" w:header="938" w:footer="122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16510</wp:posOffset>
            </wp:positionH>
            <wp:positionV relativeFrom="margin">
              <wp:posOffset>-149225</wp:posOffset>
            </wp:positionV>
            <wp:extent cx="2165985" cy="1816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5985" cy="1816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inženýringu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2"/>
          <w:pgMar w:top="1131" w:left="0" w:right="0" w:bottom="93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756920</wp:posOffset>
            </wp:positionH>
            <wp:positionV relativeFrom="paragraph">
              <wp:posOffset>12700</wp:posOffset>
            </wp:positionV>
            <wp:extent cx="6210300" cy="1816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10300" cy="181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2"/>
      <w:pgMar w:top="1131" w:left="1112" w:right="937" w:bottom="9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