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14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4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1151/2021 o úplatném odběru povrchové vody uzavřené podle §1746, odst. 2 zákona č. 89/2012 Sb.</w:t>
        <w:br/>
        <w:t>občanský zákoník s odběratelem č. 1120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hanging="16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52" w:val="left"/>
        </w:tabs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KOVODEMONT CZECH, a.s., Beranových 696, 199 00 Praha - Letňany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zapsána v obchodním rejstříku u Městského soudu v Praze v oddílu B, vložce č.12261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Zastoupená: Ve věcech smluvních: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52" w:val="left"/>
        </w:tabs>
        <w:bidi w:val="0"/>
        <w:spacing w:before="0" w:after="0" w:line="233" w:lineRule="auto"/>
        <w:ind w:left="162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27945804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162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 Identifikátor datové schránky: 82qet4x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XI. Závěrečná ustanovení bod 3) smlouvy č. 1151/2021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doplňuje v čl. III. Rozsah plnění bod 1) takto: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Rozsah plnění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2026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7"/>
        <w:gridCol w:w="1248"/>
        <w:gridCol w:w="1819"/>
        <w:gridCol w:w="1162"/>
        <w:gridCol w:w="193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stanovuje v souladu s čl. V. Cena a platební podmínky bod 2) cena povrchové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bod 3) cena služby čerpání a dopravy vody PVN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  <w:tab w:pos="4032" w:val="left"/>
          <w:tab w:pos="5652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  <w:tab w:pos="4032" w:val="left"/>
          <w:tab w:pos="5652" w:val="left"/>
        </w:tabs>
        <w:bidi w:val="0"/>
        <w:spacing w:before="0" w:line="240" w:lineRule="auto"/>
        <w:ind w:left="0" w:right="0" w:firstLine="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15,24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1151/2021 včetně platných dodatků zůstávají beze změny. Tento dodatek č. 4 je vyhotoven ve dvou stejnopisech a každá smluvní strana obdrží po jednom vyhotovení. Dodatek č. 4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  <w:tab/>
        <w:t>V…………………….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52" w:val="left"/>
        </w:tabs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  <w:tab/>
        <w:t>ODBĚRATEL:</w:t>
      </w:r>
    </w:p>
    <w:sectPr>
      <w:footnotePr>
        <w:pos w:val="pageBottom"/>
        <w:numFmt w:val="decimal"/>
        <w:numRestart w:val="continuous"/>
      </w:footnotePr>
      <w:pgSz w:w="12240" w:h="16834"/>
      <w:pgMar w:top="996" w:left="1334" w:right="1396" w:bottom="996" w:header="568" w:footer="56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810" w:hanging="81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