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="276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Kupní smlouva na prodej notebooků č. 31/25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Ing. Miroslav Pálka – servis počítačů 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Tišnov, Mánesova 706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Ing. Miroslavem Pálkou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Zápis v OR:</w:t>
        <w:tab/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12192163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  <w:highlight w:val="black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black"/>
          <w:rtl w:val="0"/>
        </w:rPr>
        <w:t xml:space="preserve">CZ6102211269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prodávající zavazuje dodat za podmínek v ní sjednaných kupujícímu notebooky NTB ASUS ExpertBook BM - Ryzen 5 7535HS/8GB/512GB - 5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(dále také jako „zboží“) dle specifikace, která vychází z nabídky prodávajícího ze dne 12. 12.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se zavazuje touto smlouvou převést veškerá vlastnická práva ke zboží na kupujícího. Prodávající prohlašuje, že předmět plnění splňuje veškeré podmínky stanovené právními předpisy k používání předmětu plnění, a že kupujícímu předá veškeré doklady potřebné k provozování předmětu plnění, za což kupujícímu ručí.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zboží převzít a zaplatit za něj sjednanou kupní cenu,  způsobem a v termínu stanoveném touto smlouvou.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Cena za 1 kus je 14 990,- Kč, včetně DPH (12 388,43 bez DPH).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61 942,15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13 007,85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cena včetně DPH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74 950,-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Kč.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Kupní cena dle bodu 2 tohoto článku je stanovena jako konečná a zahrnuje kompletní dodávku zboží včetně souvisejících služeb tak, jak je vymezena touto smlouvou a jejími přílohami.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prohlašuje, že se předem seznámil se všemi okolnostmi a podmínkami, které by mohly mít jakýkoliv vliv na stanovení kupní ceny. Cena dle bodu 2 tohoto článku je cena nejvýše přípustná, obsahující veškeré náklady a zisk prodávajícího nezbytné k řádnému a včasnému dodání předmětu smlouvy. 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Kupní cena bude uhrazena po oboustranné signaci předávacího protokolu dle čl. III odst. 5 této smlouvy a na základě prodávajícím následně vystavené faktury. Splatnost daňového dokladu činí 14 dní ode dne doručení dokladu kupujícímu.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Platby budou probíhat výhradně v Kč a rovněž i veškeré cenové údaje budou v Kč.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Faktura se pro účely této smlouvy považuje za uhrazenou okamžikem odepsání fakturované částky z účtu kupujícího.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Kupní cenu dle bodu 2 tohoto článku lze překročit pouze za podmínek změny právních předpisů upravujících sazbu DPH pro zboží, které je předmětem této smlouvy.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není oprávněn postoupit pohledávky týkající se předmětu smlouvy bez předchozího písemného souhlasu kupujícího.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7">
      <w:pPr>
        <w:pStyle w:val="Heading3"/>
        <w:spacing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se zavazuje splnit dodávku a zboží dodat, 21 kalendářních dnů od podpisu této smlouvy.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zboží do místa plnění.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Dodávka se považuje podle této smlouvy za splněnou, pokud zboží bylo: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řádně předáno kupujícímu včetně příslušné dokumentace, bez těchto dokumentů nelze předmět dané dodávky řádně předat kupujícímu a závazek prodávajícího nebude splněn,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protokolárně převzato kupujícím v místě jeho sídla formou zápisu o předání a převzetí předmětu plnění (viz bod 5 tohoto článku), který podepíší oprávnění zástupci obou smluvních stran. </w:t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 tyto účely jsou oprávněnými zástupci smluvních stran určeny tyto osoby:</w:t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kupujícího: </w:t>
        <w:tab/>
        <w:t xml:space="preserve">Mgr. Barbora Kulhánková</w:t>
        <w:br w:type="textWrapping"/>
        <w:t xml:space="preserve">Za prodávajícího: </w:t>
        <w:tab/>
        <w:t xml:space="preserve">Ing. Miroslav Pálka</w:t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Ujednání o závazku poskytovat kupujícímu bezplatný servis po dobu celé záruční lhůty (čl. IV. této smlouvy tím není dotčeno.</w:t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označení kupní smlouvy,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dodání,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seznam předaných dokladů,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51">
      <w:pPr>
        <w:pStyle w:val="Heading3"/>
        <w:spacing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přejímá níže uvedenou záruku za jakost předmětu plnění dodaného podle této smlouvy. Záruční doba na celý předmět plnění činí 36 měsíců ode dne předání a převzetí předmětu plnění dle čl. I této smlouvy. 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Servis poskytnutý prodávajícím kupujícímu v záruční době na celý předmět plnění pokrývá veškeré náklady na náhradní díly, cestovné a práci servisních techniků. 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záruční opravy nastoupí prodávající v místě plnění a to do 2 pracovních dnů od nahlášení závady kupujícím, které musí být provedeno písemnou formou (dopisem, faxem, mailem) na tuto adresu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  <w:rtl w:val="0"/>
          </w:rPr>
          <w:t xml:space="preserve">posta@servis-pc.cz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se zavazuje odstranit vady v záruční době maximálně do 10 pracovních dnů od nastoupení k jejich odstranění. Po zjištění závady tato lhůta může být prodloužena po vzájemné dohodě.</w:t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Záruka se nevztahuje na opotřebení věci způsobené jejím obvyklým užíváním a na vady způsobené zaviněným jednáním kupujícího anebo způsobené vyšší mocí.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pokuta a úrok z prodlení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Smluvními stranami bylo ujednáno, že pokud bude kupující v prodlení s úhradou kupní ceny sjednané v čl. II. bod 2) této smlouvy, je kupující povinen zaplatit smluvní pokutu ve výši 0,5 % z dlužné částky, za každý byť započatý den prodlení.</w:t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Pokud bude prodávající v prodlení s plněním podle této smlouvy, je povinen zaplatit kupujícímu smluvní pokutu:</w:t>
      </w:r>
    </w:p>
    <w:p w:rsidR="00000000" w:rsidDel="00000000" w:rsidP="00000000" w:rsidRDefault="00000000" w:rsidRPr="00000000" w14:paraId="00000060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 výši 0,5 % z celkové kupní ceny zboží v Kč včetně DPH, a to za každý byť započatý den prodlení s dodáním předmětu plnění dle článku III. bod 2) této smlouvy ,</w:t>
      </w:r>
    </w:p>
    <w:p w:rsidR="00000000" w:rsidDel="00000000" w:rsidP="00000000" w:rsidRDefault="00000000" w:rsidRPr="00000000" w14:paraId="00000061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 výši 500,- Kč, a to za každý byť započatý den prodlení s termínem nastoupení k odstraňování vad v záruční době dle článku IV., bod 4) této smlouvy,</w:t>
      </w:r>
    </w:p>
    <w:p w:rsidR="00000000" w:rsidDel="00000000" w:rsidP="00000000" w:rsidRDefault="00000000" w:rsidRPr="00000000" w14:paraId="00000062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 výši 500,- Kč, a to za každý byť započatý den, o který bude překročena lhůta k odstranění vady od nastoupení k jejich odstranění dle článku IV., bod 5) této smlouvy.</w:t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Uplatněním smluvní pokuty není dotčen nárok ani jedné ze stran na náhradu škody vzniklé v důsledku porušení smluvních povinností druhé strany, a to v celé její výši.</w:t>
      </w:r>
    </w:p>
    <w:p w:rsidR="00000000" w:rsidDel="00000000" w:rsidP="00000000" w:rsidRDefault="00000000" w:rsidRPr="00000000" w14:paraId="0000006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66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Odstoupení od smlouvy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69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6A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6E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Ostatní ujednání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zavazuje umožnit přístup určeným pracovníkům prodávajícího do prostoru svého objektu za účelem splnění této smlouvy a provedení instalace předmětu plnění a dále pak za účelem následných oprav a servisních prací.</w:t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VIII.</w:t>
      </w:r>
    </w:p>
    <w:p w:rsidR="00000000" w:rsidDel="00000000" w:rsidP="00000000" w:rsidRDefault="00000000" w:rsidRPr="00000000" w14:paraId="00000079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Závěrečná ustanovení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7C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strany prohlašují, že si tuto smlouvu přečetly, a že byla ujednána po vzájemném projednání podle jejich svobodné vůle, určitě, vážně a srozumitelně.</w:t>
      </w:r>
    </w:p>
    <w:p w:rsidR="00000000" w:rsidDel="00000000" w:rsidP="00000000" w:rsidRDefault="00000000" w:rsidRPr="00000000" w14:paraId="0000007D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7E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Tato smlouva nabývá platnosti a účinnosti dnem jejího podpisu oběma smluvními stranami.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strany prohlašují, že je jim znám obsah této smlouvy,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8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V Tišnově, dne: 17. 12.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ind w:left="5100" w:hanging="51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PaedDr. Radmila Zhořová</w:t>
        <w:tab/>
        <w:t xml:space="preserve">             Ing. Miroslav Pálka</w:t>
      </w:r>
    </w:p>
    <w:sectPr>
      <w:headerReference r:id="rId8" w:type="default"/>
      <w:footerReference r:id="rId9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rPr>
      <w:color w:val="000080"/>
      <w:u w:val="single"/>
    </w:rPr>
  </w:style>
  <w:style w:type="paragraph" w:styleId="Nadpis" w:customStyle="1">
    <w:name w:val="Nadpis"/>
    <w:basedOn w:val="Normln"/>
    <w:next w:val="Zkladntext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Rejstk" w:customStyle="1">
    <w:name w:val="Rejstřík"/>
    <w:basedOn w:val="Normln"/>
    <w:qFormat w:val="1"/>
    <w:pPr>
      <w:suppressLineNumbers w:val="1"/>
    </w:pPr>
  </w:style>
  <w:style w:type="paragraph" w:styleId="LO-normal" w:customStyle="1">
    <w:name w:val="LO-normal"/>
    <w:qFormat w:val="1"/>
  </w:style>
  <w:style w:type="paragraph" w:styleId="Zhlavazpat" w:customStyle="1">
    <w:name w:val="Záhlaví a zápatí"/>
    <w:basedOn w:val="Normln"/>
    <w:qFormat w:val="1"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osta@servis-pc.cz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1yA9S3hg4C2vj6bpS9fn8AS4g==">CgMxLjAyCGguZ2pkZ3hzOAByITEwcjZQYjJkMFlTTVplbXNHLVY2OWphaU5JVUx5RGk5Ng==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2025-12-17T09:48:00Z</dcterms:created>
  <dc:creator>Ucitel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6bb0fe23-eab5-4bfc-a0b1-73771bb21992</vt:lpwstr>
  </property>
</Properties>
</file>