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09" w:rsidRDefault="00CB4757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87170" cy="3962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871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609" w:rsidRDefault="00CB4757">
      <w:pPr>
        <w:pStyle w:val="Titulekobrzku0"/>
        <w:ind w:left="259"/>
      </w:pPr>
      <w:r>
        <w:rPr>
          <w:rStyle w:val="Titulekobrzku"/>
        </w:rPr>
        <w:t>2025009787</w:t>
      </w:r>
    </w:p>
    <w:p w:rsidR="00EC3609" w:rsidRDefault="00EC3609">
      <w:pPr>
        <w:spacing w:after="159" w:line="1" w:lineRule="exact"/>
      </w:pPr>
    </w:p>
    <w:p w:rsidR="00EC3609" w:rsidRDefault="00CB4757">
      <w:pPr>
        <w:pStyle w:val="Nadpis10"/>
        <w:keepNext/>
        <w:keepLines/>
        <w:spacing w:after="420" w:line="240" w:lineRule="auto"/>
      </w:pPr>
      <w:bookmarkStart w:id="0" w:name="bookmark0"/>
      <w:r>
        <w:rPr>
          <w:rStyle w:val="Nadpis1"/>
          <w:b/>
          <w:bCs/>
          <w:u w:val="single"/>
        </w:rPr>
        <w:t>KUPNÍ SMLOUVA</w:t>
      </w:r>
      <w:bookmarkEnd w:id="0"/>
      <w:r>
        <w:rPr>
          <w:rStyle w:val="Nadpis1"/>
          <w:b/>
          <w:bCs/>
        </w:rPr>
        <w:br/>
      </w:r>
      <w:r>
        <w:rPr>
          <w:rStyle w:val="Zkladntext"/>
          <w:b w:val="0"/>
          <w:bCs w:val="0"/>
        </w:rPr>
        <w:t xml:space="preserve">uzavřená v souladu s ustanovením § 2079 a násl. zákona č. 89/2012 </w:t>
      </w:r>
      <w:proofErr w:type="spellStart"/>
      <w:r>
        <w:rPr>
          <w:rStyle w:val="Zkladntext"/>
          <w:b w:val="0"/>
          <w:bCs w:val="0"/>
        </w:rPr>
        <w:t>Sb</w:t>
      </w:r>
      <w:proofErr w:type="spellEnd"/>
      <w:r>
        <w:rPr>
          <w:rStyle w:val="Zkladntext"/>
          <w:b w:val="0"/>
          <w:bCs w:val="0"/>
        </w:rPr>
        <w:t>„ občanský zákoník,</w:t>
      </w:r>
      <w:r>
        <w:rPr>
          <w:rStyle w:val="Zkladntext"/>
          <w:b w:val="0"/>
          <w:bCs w:val="0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197"/>
      </w:tblGrid>
      <w:tr w:rsidR="00EC360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97" w:type="dxa"/>
            <w:shd w:val="clear" w:color="auto" w:fill="auto"/>
          </w:tcPr>
          <w:p w:rsidR="00EC3609" w:rsidRDefault="00CB4757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97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Kamenice </w:t>
            </w:r>
            <w:r>
              <w:rPr>
                <w:rStyle w:val="Jin"/>
              </w:rPr>
              <w:t>798/1 d, 625 00 Brno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97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40" w:line="240" w:lineRule="auto"/>
            </w:pPr>
            <w:r>
              <w:rPr>
                <w:rStyle w:val="Jin"/>
              </w:rPr>
              <w:t>Kontaktní osoba:</w:t>
            </w:r>
          </w:p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197" w:type="dxa"/>
            <w:shd w:val="clear" w:color="auto" w:fill="auto"/>
          </w:tcPr>
          <w:p w:rsidR="00EC3609" w:rsidRDefault="00CB4757">
            <w:pPr>
              <w:pStyle w:val="Jin0"/>
              <w:spacing w:after="0"/>
            </w:pPr>
            <w:proofErr w:type="gramStart"/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5"/>
                <w:shd w:val="clear" w:color="auto" w:fill="000000"/>
              </w:rPr>
              <w:t>.........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  <w:r>
              <w:rPr>
                <w:rStyle w:val="Jin"/>
              </w:rPr>
              <w:t xml:space="preserve"> 00346292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97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97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</w:t>
            </w:r>
            <w:r>
              <w:rPr>
                <w:rStyle w:val="Jin"/>
              </w:rPr>
              <w:t xml:space="preserve">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97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EC3609" w:rsidRDefault="00CB4757">
      <w:pPr>
        <w:pStyle w:val="Titulektabulky0"/>
        <w:ind w:left="19"/>
      </w:pPr>
      <w:r>
        <w:rPr>
          <w:rStyle w:val="Titulektabulky"/>
        </w:rPr>
        <w:t xml:space="preserve">(dále jen </w:t>
      </w:r>
      <w:r>
        <w:rPr>
          <w:rStyle w:val="Titulektabulky"/>
          <w:i/>
          <w:iCs/>
        </w:rPr>
        <w:t>„</w:t>
      </w:r>
      <w:proofErr w:type="gramStart"/>
      <w:r>
        <w:rPr>
          <w:rStyle w:val="Titulektabulky"/>
          <w:i/>
          <w:iCs/>
        </w:rPr>
        <w:t>kupující )</w:t>
      </w:r>
      <w:proofErr w:type="gramEnd"/>
    </w:p>
    <w:p w:rsidR="00EC3609" w:rsidRDefault="00EC3609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192"/>
      </w:tblGrid>
      <w:tr w:rsidR="00EC360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260" w:line="240" w:lineRule="auto"/>
            </w:pPr>
            <w:r>
              <w:rPr>
                <w:rStyle w:val="Jin"/>
              </w:rPr>
              <w:t>a</w:t>
            </w:r>
          </w:p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UNIS COMPUTERS, a.s.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92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Jundrovská 618/31,624 00 Brno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6192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Ing. Petr Šula, předseda představenstva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64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92" w:type="dxa"/>
            <w:shd w:val="clear" w:color="auto" w:fill="auto"/>
          </w:tcPr>
          <w:p w:rsidR="00EC3609" w:rsidRDefault="00CB4757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pacing w:val="6"/>
                <w:shd w:val="clear" w:color="auto" w:fill="000000"/>
              </w:rPr>
              <w:t>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............</w:t>
            </w:r>
            <w:r>
              <w:rPr>
                <w:rStyle w:val="Jin"/>
                <w:spacing w:val="1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pacing w:val="3"/>
                <w:shd w:val="clear" w:color="auto" w:fill="000000"/>
              </w:rPr>
              <w:t>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r>
              <w:rPr>
                <w:rStyle w:val="Jin"/>
              </w:rPr>
              <w:t>,</w:t>
            </w:r>
            <w:proofErr w:type="gramEnd"/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EC3609" w:rsidRDefault="00CB4757">
            <w:pPr>
              <w:pStyle w:val="Jin0"/>
              <w:spacing w:after="40" w:line="240" w:lineRule="auto"/>
            </w:pPr>
            <w:r>
              <w:rPr>
                <w:rStyle w:val="Jin"/>
              </w:rPr>
              <w:t>IČO:</w:t>
            </w:r>
          </w:p>
          <w:p w:rsidR="00EC3609" w:rsidRDefault="00CB4757">
            <w:pPr>
              <w:pStyle w:val="Jin0"/>
              <w:spacing w:after="40" w:line="240" w:lineRule="auto"/>
            </w:pPr>
            <w:r>
              <w:rPr>
                <w:rStyle w:val="Jin"/>
              </w:rPr>
              <w:t>DIČ:</w:t>
            </w:r>
          </w:p>
          <w:p w:rsidR="00EC3609" w:rsidRDefault="00CB4757">
            <w:pPr>
              <w:pStyle w:val="Jin0"/>
              <w:spacing w:after="40" w:line="240" w:lineRule="auto"/>
            </w:pPr>
            <w:r>
              <w:rPr>
                <w:rStyle w:val="Jin"/>
              </w:rPr>
              <w:t>Zápis v OR:</w:t>
            </w:r>
          </w:p>
          <w:p w:rsidR="00EC3609" w:rsidRDefault="00CB4757">
            <w:pPr>
              <w:pStyle w:val="Jin0"/>
              <w:spacing w:after="4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92" w:type="dxa"/>
            <w:shd w:val="clear" w:color="auto" w:fill="auto"/>
          </w:tcPr>
          <w:p w:rsidR="00EC3609" w:rsidRDefault="00CB4757">
            <w:pPr>
              <w:pStyle w:val="Jin0"/>
              <w:spacing w:after="0" w:line="286" w:lineRule="auto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</w:t>
            </w:r>
            <w:proofErr w:type="gramEnd"/>
          </w:p>
          <w:p w:rsidR="00EC3609" w:rsidRDefault="00CB4757">
            <w:pPr>
              <w:pStyle w:val="Jin0"/>
              <w:spacing w:after="0" w:line="286" w:lineRule="auto"/>
            </w:pPr>
            <w:r>
              <w:rPr>
                <w:rStyle w:val="Jin"/>
              </w:rPr>
              <w:t>63476223</w:t>
            </w:r>
          </w:p>
          <w:p w:rsidR="00EC3609" w:rsidRDefault="00CB4757">
            <w:pPr>
              <w:pStyle w:val="Jin0"/>
              <w:spacing w:after="0" w:line="286" w:lineRule="auto"/>
            </w:pPr>
            <w:r>
              <w:rPr>
                <w:rStyle w:val="Jin"/>
              </w:rPr>
              <w:t>CZ63476223</w:t>
            </w:r>
          </w:p>
          <w:p w:rsidR="00EC3609" w:rsidRDefault="00CB4757">
            <w:pPr>
              <w:pStyle w:val="Jin0"/>
              <w:spacing w:after="0" w:line="286" w:lineRule="auto"/>
            </w:pPr>
            <w:r>
              <w:rPr>
                <w:rStyle w:val="Jin"/>
              </w:rPr>
              <w:t xml:space="preserve">Krajský soud v Brně, </w:t>
            </w:r>
            <w:r>
              <w:rPr>
                <w:rStyle w:val="Jin"/>
              </w:rPr>
              <w:t xml:space="preserve">spis. </w:t>
            </w:r>
            <w:proofErr w:type="gramStart"/>
            <w:r>
              <w:rPr>
                <w:rStyle w:val="Jin"/>
              </w:rPr>
              <w:t>zn.</w:t>
            </w:r>
            <w:proofErr w:type="gramEnd"/>
            <w:r>
              <w:rPr>
                <w:rStyle w:val="Jin"/>
              </w:rPr>
              <w:t xml:space="preserve"> B6087 39921026/2700</w:t>
            </w:r>
          </w:p>
        </w:tc>
      </w:tr>
    </w:tbl>
    <w:p w:rsidR="00EC3609" w:rsidRDefault="00EC3609">
      <w:pPr>
        <w:spacing w:after="79" w:line="1" w:lineRule="exact"/>
      </w:pPr>
    </w:p>
    <w:p w:rsidR="00EC3609" w:rsidRDefault="00CB4757">
      <w:pPr>
        <w:pStyle w:val="Zkladntext1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</w:t>
      </w:r>
      <w:proofErr w:type="gramStart"/>
      <w:r>
        <w:rPr>
          <w:rStyle w:val="Zkladntext"/>
          <w:i/>
          <w:iCs/>
        </w:rPr>
        <w:t>prodávající )</w:t>
      </w:r>
      <w:proofErr w:type="gramEnd"/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" w:name="bookmark2"/>
      <w:bookmarkEnd w:id="1"/>
    </w:p>
    <w:p w:rsidR="00EC3609" w:rsidRDefault="00CB4757">
      <w:pPr>
        <w:pStyle w:val="Zkladntext1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r>
        <w:rPr>
          <w:rStyle w:val="Zkladntext"/>
          <w:b/>
          <w:bCs/>
        </w:rPr>
        <w:t xml:space="preserve">8 kusů </w:t>
      </w:r>
      <w:proofErr w:type="spellStart"/>
      <w:r>
        <w:rPr>
          <w:rStyle w:val="Zkladntext"/>
          <w:b/>
          <w:bCs/>
        </w:rPr>
        <w:t>access</w:t>
      </w:r>
      <w:proofErr w:type="spellEnd"/>
      <w:r>
        <w:rPr>
          <w:rStyle w:val="Zkladntext"/>
          <w:b/>
          <w:bCs/>
        </w:rPr>
        <w:t xml:space="preserve"> pointů. </w:t>
      </w:r>
      <w:r>
        <w:rPr>
          <w:rStyle w:val="Zkladntext"/>
        </w:rPr>
        <w:t xml:space="preserve">Podrobná specifikace tohoto zboží je uvedena v příloze č. 1, která je nedílnou součástí </w:t>
      </w:r>
      <w:r>
        <w:rPr>
          <w:rStyle w:val="Zkladntext"/>
        </w:rPr>
        <w:t>této kupní smlouvy.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2" w:name="bookmark4"/>
      <w:bookmarkEnd w:id="2"/>
    </w:p>
    <w:p w:rsidR="00EC3609" w:rsidRDefault="00CB4757">
      <w:pPr>
        <w:pStyle w:val="Zkladntext1"/>
        <w:jc w:val="both"/>
      </w:pPr>
      <w:r>
        <w:rPr>
          <w:rStyle w:val="Zkladntext"/>
        </w:rPr>
        <w:t>Prodávající prodává zboží podle čl. 1 této smlouvy se všemi jeho součástmi a příslušenstvím kupujícímu, a kupující kupuje toto zboží do vlastnictví Jihomoravského kraje jako svého zřizovatele za kupní cenu podle čl. 6 této smlouvy. Sou</w:t>
      </w:r>
      <w:r>
        <w:rPr>
          <w:rStyle w:val="Zkladntext"/>
        </w:rPr>
        <w:t xml:space="preserve">částí tohoto závazku prodávajícího je také dodání technické dokumentace příslušného zboží a návodu </w:t>
      </w:r>
      <w:proofErr w:type="spellStart"/>
      <w:r>
        <w:rPr>
          <w:rStyle w:val="Zkladntext"/>
        </w:rPr>
        <w:t>kjeho</w:t>
      </w:r>
      <w:proofErr w:type="spellEnd"/>
      <w:r>
        <w:rPr>
          <w:rStyle w:val="Zkladntext"/>
        </w:rPr>
        <w:t xml:space="preserve"> obsluze, a dokladů prokazujících shodu, to vše v českém jazyce, a v tištěné i elektronické podobě.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69" w:lineRule="auto"/>
      </w:pPr>
      <w:bookmarkStart w:id="3" w:name="bookmark6"/>
      <w:bookmarkEnd w:id="3"/>
    </w:p>
    <w:p w:rsidR="00EC3609" w:rsidRDefault="00CB4757">
      <w:pPr>
        <w:pStyle w:val="Zkladntext1"/>
        <w:spacing w:line="269" w:lineRule="auto"/>
        <w:jc w:val="both"/>
      </w:pPr>
      <w:r>
        <w:rPr>
          <w:rStyle w:val="Zkladntext"/>
        </w:rPr>
        <w:t>Prodávající se zavazuje splnit svůj závazek k dodán</w:t>
      </w:r>
      <w:r>
        <w:rPr>
          <w:rStyle w:val="Zkladntext"/>
        </w:rPr>
        <w:t xml:space="preserve">í zboží podle čl. 1 této smlouvy nejpozději </w:t>
      </w:r>
      <w:r>
        <w:rPr>
          <w:rStyle w:val="Zkladntext"/>
          <w:b/>
          <w:bCs/>
        </w:rPr>
        <w:t xml:space="preserve">do pěti pracovních dnů </w:t>
      </w:r>
      <w:r>
        <w:rPr>
          <w:rStyle w:val="Zkladntext"/>
        </w:rPr>
        <w:t>od účinnosti této smlouvy, a to v místě splnění tohoto závazku, kterým je sídlo kupujícího Kamenice 798/1 d, 625 00 Brno.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86" w:lineRule="auto"/>
      </w:pPr>
      <w:bookmarkStart w:id="4" w:name="bookmark8"/>
      <w:bookmarkEnd w:id="4"/>
    </w:p>
    <w:p w:rsidR="00EC3609" w:rsidRDefault="00CB4757">
      <w:pPr>
        <w:pStyle w:val="Zkladntext1"/>
        <w:spacing w:line="286" w:lineRule="auto"/>
        <w:jc w:val="both"/>
      </w:pPr>
      <w:r>
        <w:rPr>
          <w:rStyle w:val="Zkladntext"/>
        </w:rPr>
        <w:t>Závazek prodávajícího ke splnění jeho závazku k dodání zboží podle</w:t>
      </w:r>
      <w:r>
        <w:rPr>
          <w:rStyle w:val="Zkladntext"/>
        </w:rPr>
        <w:t xml:space="preserve"> čl. 1 této smlouvy se pak považuje za splněný po faktickém předání a převzetí zboží prostého všech vad na základě písemného předávacího protokolu, nebo jiného obvyklého dokladu (dále jen „předávací protokol“), podepsaného oběma stranami.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5" w:name="bookmark10"/>
      <w:bookmarkEnd w:id="5"/>
    </w:p>
    <w:p w:rsidR="00EC3609" w:rsidRDefault="00CB4757">
      <w:pPr>
        <w:pStyle w:val="Zkladntext1"/>
        <w:jc w:val="both"/>
      </w:pPr>
      <w:r>
        <w:rPr>
          <w:rStyle w:val="Zkladntext"/>
        </w:rPr>
        <w:t xml:space="preserve">Nebezpečí škody </w:t>
      </w:r>
      <w:r>
        <w:rPr>
          <w:rStyle w:val="Zkladntext"/>
        </w:rPr>
        <w:t xml:space="preserve">na převáděném zboží a vlastnické právo k tomuto zboží přechází z prodávajícího dnem </w:t>
      </w:r>
      <w:r>
        <w:rPr>
          <w:rStyle w:val="Zkladntext"/>
        </w:rPr>
        <w:lastRenderedPageBreak/>
        <w:t>splnění závazku prodávajícího k dodání zboží podle čl. 1 této smlouvy způsobem podle čl. 4 této smlouvy.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6" w:name="bookmark12"/>
      <w:bookmarkEnd w:id="6"/>
    </w:p>
    <w:p w:rsidR="00EC3609" w:rsidRDefault="00CB4757">
      <w:pPr>
        <w:pStyle w:val="Zkladntext1"/>
        <w:spacing w:after="0"/>
        <w:jc w:val="both"/>
      </w:pPr>
      <w:r>
        <w:rPr>
          <w:rStyle w:val="Zkladntext"/>
        </w:rPr>
        <w:t>Kupující se zavazuje zaplatit prodávajícímu za předmět koupě a pro</w:t>
      </w:r>
      <w:r>
        <w:rPr>
          <w:rStyle w:val="Zkladntext"/>
        </w:rPr>
        <w:t>deje podle čl. 1 této smlouvy celkovou kupní cenu ve výši:</w:t>
      </w:r>
    </w:p>
    <w:p w:rsidR="00EC3609" w:rsidRDefault="00CB4757">
      <w:pPr>
        <w:pStyle w:val="Zkladntext1"/>
        <w:spacing w:after="0"/>
        <w:jc w:val="center"/>
      </w:pPr>
      <w:r>
        <w:rPr>
          <w:rStyle w:val="Zkladntext"/>
          <w:b/>
          <w:bCs/>
        </w:rPr>
        <w:t xml:space="preserve">108 800,00 </w:t>
      </w:r>
      <w:r>
        <w:rPr>
          <w:rStyle w:val="Zkladntext"/>
        </w:rPr>
        <w:t xml:space="preserve">Kč bez DPH, tj. </w:t>
      </w:r>
      <w:r>
        <w:rPr>
          <w:rStyle w:val="Zkladntext"/>
          <w:b/>
          <w:bCs/>
        </w:rPr>
        <w:t xml:space="preserve">131 648,00 </w:t>
      </w:r>
      <w:r>
        <w:rPr>
          <w:rStyle w:val="Zkladntext"/>
        </w:rPr>
        <w:t>Kč včetně DPH.</w:t>
      </w:r>
    </w:p>
    <w:p w:rsidR="00EC3609" w:rsidRDefault="00CB4757">
      <w:pPr>
        <w:pStyle w:val="Zkladntext1"/>
        <w:jc w:val="both"/>
      </w:pPr>
      <w:r>
        <w:rPr>
          <w:rStyle w:val="Zkladntext"/>
        </w:rPr>
        <w:t xml:space="preserve">Součástí této ceny jsou veškeré náklady prodávajícího na splnění jeho závazku k dodání zboží podle této smlouvy a daň z přidané hodnoty v sazbě </w:t>
      </w:r>
      <w:r>
        <w:rPr>
          <w:rStyle w:val="Zkladntext"/>
        </w:rPr>
        <w:t>podle zákona. Změna výše ceny bude možná pouze na základě změny sazby DPH vyhlášené příslušným zákonem.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83" w:lineRule="auto"/>
      </w:pPr>
      <w:bookmarkStart w:id="7" w:name="bookmark14"/>
      <w:bookmarkEnd w:id="7"/>
    </w:p>
    <w:p w:rsidR="00EC3609" w:rsidRDefault="00CB4757">
      <w:pPr>
        <w:pStyle w:val="Zkladntext1"/>
        <w:spacing w:line="283" w:lineRule="auto"/>
        <w:jc w:val="both"/>
      </w:pPr>
      <w:r>
        <w:rPr>
          <w:rStyle w:val="Zkladntext"/>
        </w:rPr>
        <w:t xml:space="preserve">Kupní cena podle čl. 6 této smlouvy je splatná na účet prodávajícího po splnění závazku prodávajícího k dodání zboží podle čl. 1 této smlouvy způsobem </w:t>
      </w:r>
      <w:r>
        <w:rPr>
          <w:rStyle w:val="Zkladntext"/>
        </w:rPr>
        <w:t xml:space="preserve">podle čl. 4 této smlouvy ve lhůtě do 30 dnů ode dne doručení jejího písemného vyúčtování (faktury/daňového dokladu).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color w:val="9BBCE3"/>
          <w:lang w:val="en-US" w:eastAsia="en-US" w:bidi="en-US"/>
        </w:rPr>
        <w:t xml:space="preserve"> </w:t>
      </w:r>
      <w:r>
        <w:rPr>
          <w:rStyle w:val="Zkladntext"/>
        </w:rPr>
        <w:t>a musí</w:t>
      </w:r>
      <w:proofErr w:type="gramEnd"/>
      <w:r>
        <w:rPr>
          <w:rStyle w:val="Zkladntext"/>
        </w:rPr>
        <w:t xml:space="preserve"> obsahovat mimo jiné toto číslo veřejné zakázky: </w:t>
      </w:r>
      <w:r>
        <w:rPr>
          <w:rStyle w:val="Zkladntext"/>
          <w:b/>
          <w:bCs/>
        </w:rPr>
        <w:t xml:space="preserve">P25V00004157. </w:t>
      </w:r>
      <w:r>
        <w:rPr>
          <w:rStyle w:val="Zkladntext"/>
        </w:rPr>
        <w:t>Přílohou faktury bude oboustranně podepsaná kopie předávacího protokolu. Nebude-li faktura splňovat veškeré náležitosti daňového dokladu podle zákona a další náležitosti podle této smlouv</w:t>
      </w:r>
      <w:r>
        <w:rPr>
          <w:rStyle w:val="Zkladntext"/>
        </w:rPr>
        <w:t>y, je kupující oprávněn vrátit takovou fakturu prodávajícímu k opravě, přičemž doba její splatnosti začne znovu celá běžet ode dne doručení opravené faktury kupujícímu.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83" w:lineRule="auto"/>
      </w:pPr>
      <w:bookmarkStart w:id="8" w:name="bookmark16"/>
      <w:bookmarkEnd w:id="8"/>
    </w:p>
    <w:p w:rsidR="00EC3609" w:rsidRDefault="00CB4757">
      <w:pPr>
        <w:pStyle w:val="Zkladntext1"/>
        <w:spacing w:line="283" w:lineRule="auto"/>
        <w:jc w:val="both"/>
      </w:pPr>
      <w:r>
        <w:rPr>
          <w:rStyle w:val="Zkladntext"/>
        </w:rPr>
        <w:t>Není-li dále ujednáno jinak, je s převodem zboží podle čl. 1 této smlouvy spojena záru</w:t>
      </w:r>
      <w:r>
        <w:rPr>
          <w:rStyle w:val="Zkladntext"/>
        </w:rPr>
        <w:t xml:space="preserve">ka za jeho jakost v trvání 24 měsíců ode dne splnění závazku prodávajícího k dodání tohoto zboží. V rámci této záruky se prodávající zavazuje odstraňovat vady na zboží podle čl. 1 této smlouvy ve lhůtě do 30 dnů od doručení příslušné reklamace kupujícího. </w:t>
      </w:r>
      <w:r>
        <w:rPr>
          <w:rStyle w:val="Zkladntext"/>
        </w:rPr>
        <w:t>Vzhledem k povaze zboží podle čl. 1 této smlouvy lze dodržet lhůtu podle tohoto článku této smlouvy i zapůjčením stejného zboží na dobu potřebnou k odstranění vady.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86" w:lineRule="auto"/>
      </w:pPr>
      <w:bookmarkStart w:id="9" w:name="bookmark18"/>
      <w:bookmarkEnd w:id="9"/>
    </w:p>
    <w:p w:rsidR="00EC3609" w:rsidRDefault="00CB4757">
      <w:pPr>
        <w:pStyle w:val="Zkladntext1"/>
        <w:spacing w:line="286" w:lineRule="auto"/>
        <w:jc w:val="both"/>
      </w:pPr>
      <w:r>
        <w:rPr>
          <w:rStyle w:val="Zkladntext"/>
        </w:rPr>
        <w:t xml:space="preserve">Pro případ sporu o oprávněnost reklamace se kupujícímu vyhrazuje právo nechat vyhotovit k </w:t>
      </w:r>
      <w:r>
        <w:rPr>
          <w:rStyle w:val="Zkladntext"/>
        </w:rPr>
        <w:t>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86" w:lineRule="auto"/>
      </w:pPr>
      <w:bookmarkStart w:id="10" w:name="bookmark20"/>
      <w:bookmarkEnd w:id="10"/>
    </w:p>
    <w:p w:rsidR="00EC3609" w:rsidRDefault="00CB4757">
      <w:pPr>
        <w:pStyle w:val="Zkladntext1"/>
        <w:spacing w:line="286" w:lineRule="auto"/>
        <w:jc w:val="both"/>
      </w:pPr>
      <w:r>
        <w:rPr>
          <w:rStyle w:val="Zkladntext"/>
        </w:rPr>
        <w:t>Pro případ prodlení se splnění</w:t>
      </w:r>
      <w:r>
        <w:rPr>
          <w:rStyle w:val="Zkladntext"/>
        </w:rPr>
        <w:t xml:space="preserve">m jeho závazku k dodání zboží ve lhůtě podle čl. 3 této smlouvy a pro případ jeho prodlení s odstraněním vady ve lhůtě podle čl. 8 této smlouvy se prodávající zavazuje platit kupujícímu smluvní pokutu ve výši 0,1 % z kupní ceny podle čl. 6 této smlouvy za </w:t>
      </w:r>
      <w:r>
        <w:rPr>
          <w:rStyle w:val="Zkladntext"/>
        </w:rPr>
        <w:t>každý započatý den tohoto prodlení.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88" w:lineRule="auto"/>
      </w:pPr>
      <w:bookmarkStart w:id="11" w:name="bookmark22"/>
      <w:bookmarkEnd w:id="11"/>
    </w:p>
    <w:p w:rsidR="00EC3609" w:rsidRDefault="00CB4757">
      <w:pPr>
        <w:pStyle w:val="Zkladntext1"/>
        <w:spacing w:line="288" w:lineRule="auto"/>
        <w:jc w:val="both"/>
      </w:pPr>
      <w:r>
        <w:rPr>
          <w:rStyle w:val="Zkladntext"/>
        </w:rPr>
        <w:t xml:space="preserve">Pro případ prodlení se splněním jeho závazku k dodání zboží ve lhůtě podle čl. 3 této smlouvy o více než dva týdny nebo pro případ výskytu neodstranitelné vady resp. výskytu tří a více vad, a to i postupně, je kupující </w:t>
      </w:r>
      <w:r>
        <w:rPr>
          <w:rStyle w:val="Zkladntext"/>
        </w:rPr>
        <w:t xml:space="preserve">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2" w:name="bookmark24"/>
      <w:bookmarkEnd w:id="12"/>
    </w:p>
    <w:p w:rsidR="00EC3609" w:rsidRDefault="00CB4757">
      <w:pPr>
        <w:pStyle w:val="Zkladntext1"/>
        <w:jc w:val="both"/>
      </w:pPr>
      <w:r>
        <w:rPr>
          <w:rStyle w:val="Zkladntext"/>
        </w:rPr>
        <w:t xml:space="preserve">Pro případ prodlení kupujícího se zaplacením kupní ceny nebo její části ve lhůtě podle čl. 7 této smlouvy o více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3" w:name="bookmark26"/>
      <w:bookmarkEnd w:id="13"/>
    </w:p>
    <w:p w:rsidR="00EC3609" w:rsidRDefault="00CB4757">
      <w:pPr>
        <w:pStyle w:val="Zkladntext1"/>
        <w:jc w:val="both"/>
      </w:pPr>
      <w:r>
        <w:rPr>
          <w:rStyle w:val="Zkladntext"/>
        </w:rPr>
        <w:t>Není-li</w:t>
      </w:r>
      <w:r>
        <w:rPr>
          <w:rStyle w:val="Zkladntext"/>
        </w:rPr>
        <w:t xml:space="preserve"> touto smlouvou ujednáno jinak, řídí se vzájemný právní vztah mezi kupujícím a prodávajícím při realizaci této smlouvy ustanovení § 2079 a násl. občanského zákoníku.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4" w:name="bookmark28"/>
      <w:bookmarkEnd w:id="14"/>
    </w:p>
    <w:p w:rsidR="00EC3609" w:rsidRDefault="00CB4757">
      <w:pPr>
        <w:pStyle w:val="Zkladntext1"/>
        <w:jc w:val="both"/>
      </w:pPr>
      <w:r>
        <w:rPr>
          <w:rStyle w:val="Zkladntext"/>
        </w:rPr>
        <w:t>Předpokladem uzavření této smlouvy je její písemná forma a dohoda o jejích podstatných ná</w:t>
      </w:r>
      <w:r>
        <w:rPr>
          <w:rStyle w:val="Zkladntext"/>
        </w:rPr>
        <w:t xml:space="preserve">ležitostech, čímž se rozumí celý obsah této smlouvy, jak je uveden v čl. 1 až 20 této smlouvy. Kupující přitom předem vylučuje přijetí tohoto návrhu s dodatkem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5" w:name="bookmark30"/>
      <w:bookmarkEnd w:id="15"/>
    </w:p>
    <w:p w:rsidR="00EC3609" w:rsidRDefault="00CB4757">
      <w:pPr>
        <w:pStyle w:val="Zkladntext1"/>
        <w:jc w:val="both"/>
      </w:pPr>
      <w:r>
        <w:rPr>
          <w:rStyle w:val="Zkladntext"/>
        </w:rPr>
        <w:t xml:space="preserve">Tuto smlouvu lze změnit nebo </w:t>
      </w:r>
      <w:r>
        <w:rPr>
          <w:rStyle w:val="Zkladntext"/>
        </w:rPr>
        <w:t>zrušit pouze jinou písemnou dohodou obou smluvních stran.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6" w:name="bookmark32"/>
      <w:bookmarkEnd w:id="16"/>
    </w:p>
    <w:p w:rsidR="00EC3609" w:rsidRDefault="00CB4757">
      <w:pPr>
        <w:pStyle w:val="Zkladntext1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registru smluv (zák</w:t>
      </w:r>
      <w:r>
        <w:rPr>
          <w:rStyle w:val="Zkladntext"/>
        </w:rPr>
        <w:t xml:space="preserve">on o registru smluv), v platném znění. Smluvní 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7" w:name="bookmark34"/>
      <w:bookmarkEnd w:id="17"/>
    </w:p>
    <w:p w:rsidR="00EC3609" w:rsidRDefault="00CB4757">
      <w:pPr>
        <w:pStyle w:val="Zkladntext1"/>
        <w:jc w:val="both"/>
      </w:pPr>
      <w:r>
        <w:rPr>
          <w:rStyle w:val="Zkladntext"/>
        </w:rPr>
        <w:t>Tato smlouva nabývá účinnosti dnem jejího uveřejnění v registru smluv dle čl. 16.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  <w:spacing w:line="240" w:lineRule="auto"/>
      </w:pPr>
      <w:bookmarkStart w:id="18" w:name="bookmark36"/>
      <w:bookmarkEnd w:id="18"/>
    </w:p>
    <w:p w:rsidR="00EC3609" w:rsidRDefault="00CB4757">
      <w:pPr>
        <w:pStyle w:val="Zkladntext1"/>
        <w:spacing w:line="240" w:lineRule="auto"/>
        <w:jc w:val="both"/>
      </w:pPr>
      <w:r>
        <w:rPr>
          <w:rStyle w:val="Zkladntext"/>
        </w:rPr>
        <w:t xml:space="preserve">Táto smlouva se vyhotovuje </w:t>
      </w:r>
      <w:r>
        <w:rPr>
          <w:rStyle w:val="Zkladntext"/>
        </w:rPr>
        <w:t>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 w:rsidR="00EC3609" w:rsidRDefault="00EC3609">
      <w:pPr>
        <w:pStyle w:val="Nadpis10"/>
        <w:keepNext/>
        <w:keepLines/>
        <w:numPr>
          <w:ilvl w:val="0"/>
          <w:numId w:val="1"/>
        </w:numPr>
      </w:pPr>
      <w:bookmarkStart w:id="19" w:name="bookmark38"/>
      <w:bookmarkEnd w:id="19"/>
    </w:p>
    <w:p w:rsidR="00EC3609" w:rsidRDefault="00CB4757">
      <w:pPr>
        <w:pStyle w:val="Zkladntext1"/>
        <w:jc w:val="both"/>
      </w:pPr>
      <w:r>
        <w:rPr>
          <w:rStyle w:val="Zkladntext"/>
        </w:rPr>
        <w:t xml:space="preserve">Prodávající uděluje </w:t>
      </w:r>
      <w:r>
        <w:rPr>
          <w:rStyle w:val="Zkladntext"/>
        </w:rPr>
        <w:t>kupujícímu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 w:rsidR="00EC3609" w:rsidRDefault="00CB4757">
      <w:pPr>
        <w:pStyle w:val="Zkladntext1"/>
        <w:spacing w:after="180"/>
        <w:jc w:val="center"/>
      </w:pPr>
      <w:r>
        <w:rPr>
          <w:rStyle w:val="Zkladntext"/>
          <w:b/>
          <w:bCs/>
        </w:rPr>
        <w:t>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8"/>
        <w:gridCol w:w="4075"/>
      </w:tblGrid>
      <w:tr w:rsidR="00EC360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8553" w:type="dxa"/>
            <w:gridSpan w:val="2"/>
            <w:shd w:val="clear" w:color="auto" w:fill="auto"/>
          </w:tcPr>
          <w:p w:rsidR="00EC3609" w:rsidRDefault="00CB4757">
            <w:pPr>
              <w:pStyle w:val="Jin0"/>
              <w:spacing w:after="140" w:line="240" w:lineRule="auto"/>
            </w:pPr>
            <w:r>
              <w:rPr>
                <w:rStyle w:val="Jin"/>
              </w:rPr>
              <w:t>Nedílnou součástí této smlou</w:t>
            </w:r>
            <w:r>
              <w:rPr>
                <w:rStyle w:val="Jin"/>
              </w:rPr>
              <w:t>vy jsou přílohy:</w:t>
            </w:r>
          </w:p>
          <w:p w:rsidR="00EC3609" w:rsidRDefault="00CB4757">
            <w:pPr>
              <w:pStyle w:val="Jin0"/>
              <w:spacing w:after="0" w:line="240" w:lineRule="auto"/>
            </w:pPr>
            <w:r>
              <w:rPr>
                <w:rStyle w:val="Jin"/>
              </w:rPr>
              <w:t>Příloha č. 1 Technická specifikace, Ceník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478" w:type="dxa"/>
            <w:shd w:val="clear" w:color="auto" w:fill="auto"/>
            <w:vAlign w:val="center"/>
          </w:tcPr>
          <w:p w:rsidR="00EC3609" w:rsidRDefault="00CB4757">
            <w:pPr>
              <w:pStyle w:val="Jin0"/>
              <w:tabs>
                <w:tab w:val="left" w:leader="dot" w:pos="2482"/>
              </w:tabs>
              <w:spacing w:after="0" w:line="240" w:lineRule="auto"/>
            </w:pPr>
            <w:r>
              <w:rPr>
                <w:rStyle w:val="Jin"/>
              </w:rPr>
              <w:t xml:space="preserve">V Brně dne </w:t>
            </w:r>
            <w:proofErr w:type="gramStart"/>
            <w:r>
              <w:rPr>
                <w:rStyle w:val="Jin"/>
              </w:rPr>
              <w:t>16.12.2025</w:t>
            </w:r>
            <w:proofErr w:type="gramEnd"/>
            <w:r>
              <w:rPr>
                <w:rStyle w:val="Jin"/>
              </w:rPr>
              <w:tab/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EC3609" w:rsidRDefault="00CB4757" w:rsidP="008641ED">
            <w:pPr>
              <w:pStyle w:val="Jin0"/>
              <w:spacing w:after="0" w:line="240" w:lineRule="auto"/>
              <w:ind w:firstLine="560"/>
              <w:jc w:val="both"/>
            </w:pPr>
            <w:r>
              <w:rPr>
                <w:rStyle w:val="Jin"/>
              </w:rPr>
              <w:t xml:space="preserve">V Brně dne </w:t>
            </w:r>
            <w:r w:rsidR="008641ED">
              <w:rPr>
                <w:rStyle w:val="Jin"/>
              </w:rPr>
              <w:t>16.12.2025</w:t>
            </w:r>
            <w:bookmarkStart w:id="20" w:name="_GoBack"/>
            <w:bookmarkEnd w:id="20"/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4478" w:type="dxa"/>
            <w:shd w:val="clear" w:color="auto" w:fill="auto"/>
            <w:vAlign w:val="center"/>
          </w:tcPr>
          <w:p w:rsidR="00EC3609" w:rsidRDefault="00EC3609" w:rsidP="008641ED">
            <w:pPr>
              <w:pStyle w:val="Jin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EC3609" w:rsidRDefault="00EC3609">
            <w:pPr>
              <w:pStyle w:val="Jin0"/>
              <w:spacing w:after="0" w:line="240" w:lineRule="auto"/>
              <w:ind w:firstLine="700"/>
              <w:rPr>
                <w:sz w:val="11"/>
                <w:szCs w:val="11"/>
              </w:rPr>
            </w:pP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09" w:rsidRDefault="00CB4757">
            <w:pPr>
              <w:pStyle w:val="Jin0"/>
              <w:spacing w:after="0"/>
            </w:pPr>
            <w:r>
              <w:rPr>
                <w:rStyle w:val="Jin"/>
              </w:rPr>
              <w:t>MUDr. Hana Albrechtová ředitelka</w:t>
            </w: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09" w:rsidRDefault="00CB4757">
            <w:pPr>
              <w:pStyle w:val="Jin0"/>
              <w:spacing w:after="0"/>
              <w:ind w:left="560"/>
            </w:pPr>
            <w:r>
              <w:rPr>
                <w:rStyle w:val="Jin"/>
              </w:rPr>
              <w:t>Ing. Petr Šula, předseda představenstva UN1S COMPUTERS, a.s.</w:t>
            </w:r>
          </w:p>
        </w:tc>
      </w:tr>
      <w:tr w:rsidR="00EC3609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478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83" w:lineRule="auto"/>
            </w:pPr>
            <w:r>
              <w:rPr>
                <w:rStyle w:val="Jin"/>
                <w:b/>
                <w:bCs/>
                <w:i/>
                <w:iCs/>
              </w:rPr>
              <w:t>Kupující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EC3609" w:rsidRDefault="00CB4757">
            <w:pPr>
              <w:pStyle w:val="Jin0"/>
              <w:spacing w:after="0" w:line="240" w:lineRule="auto"/>
              <w:ind w:firstLine="560"/>
            </w:pPr>
            <w:r>
              <w:rPr>
                <w:rStyle w:val="Jin"/>
                <w:b/>
                <w:bCs/>
                <w:i/>
                <w:iCs/>
              </w:rPr>
              <w:t>Prodávající</w:t>
            </w:r>
          </w:p>
        </w:tc>
      </w:tr>
    </w:tbl>
    <w:p w:rsidR="00EC3609" w:rsidRDefault="00CB4757">
      <w:pPr>
        <w:pStyle w:val="Nadpis10"/>
        <w:keepNext/>
        <w:keepLines/>
        <w:spacing w:after="540" w:line="240" w:lineRule="auto"/>
        <w:jc w:val="left"/>
      </w:pPr>
      <w:bookmarkStart w:id="21" w:name="bookmark40"/>
      <w:r>
        <w:rPr>
          <w:rStyle w:val="Nadpis1"/>
          <w:b/>
          <w:bCs/>
        </w:rPr>
        <w:t>Příloha č. 1 Technická specifikace, Ceník</w:t>
      </w:r>
      <w:bookmarkEnd w:id="21"/>
    </w:p>
    <w:p w:rsidR="00EC3609" w:rsidRDefault="00CB4757">
      <w:pPr>
        <w:pStyle w:val="Zkladntext1"/>
        <w:spacing w:after="260" w:line="252" w:lineRule="auto"/>
      </w:pPr>
      <w:r>
        <w:rPr>
          <w:rStyle w:val="Zkladntext"/>
        </w:rPr>
        <w:t xml:space="preserve">Zadavatel disponuje síťovým kontrolérem Cisco </w:t>
      </w:r>
      <w:proofErr w:type="gramStart"/>
      <w:r>
        <w:rPr>
          <w:rStyle w:val="Zkladntext"/>
        </w:rPr>
        <w:t>9800-L-C-K9</w:t>
      </w:r>
      <w:proofErr w:type="gramEnd"/>
      <w:r>
        <w:rPr>
          <w:rStyle w:val="Zkladntext"/>
        </w:rPr>
        <w:t xml:space="preserve"> (P/N C9800-L-C-K9) a 60 ks Cisco 9115, přičemž nabízené plnění musí být kompatibilní a vč. licence na 5 let.</w:t>
      </w:r>
    </w:p>
    <w:p w:rsidR="00EC3609" w:rsidRDefault="00CB4757">
      <w:pPr>
        <w:pStyle w:val="Zkladntext1"/>
        <w:spacing w:after="260" w:line="252" w:lineRule="auto"/>
      </w:pPr>
      <w:r>
        <w:rPr>
          <w:rStyle w:val="Zkladntext"/>
        </w:rPr>
        <w:t>Obecná technická specifikace poptávaného plnění/zařízení -Wi-Fi 6 přístupový bod (</w:t>
      </w:r>
      <w:proofErr w:type="spellStart"/>
      <w:r>
        <w:rPr>
          <w:rStyle w:val="Zkladntext"/>
        </w:rPr>
        <w:t>enterp</w:t>
      </w:r>
      <w:r>
        <w:rPr>
          <w:rStyle w:val="Zkladntext"/>
        </w:rPr>
        <w:t>rise</w:t>
      </w:r>
      <w:proofErr w:type="spellEnd"/>
      <w:r>
        <w:rPr>
          <w:rStyle w:val="Zkladntext"/>
        </w:rPr>
        <w:t xml:space="preserve"> třída):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34"/>
        </w:tabs>
        <w:spacing w:after="260" w:line="252" w:lineRule="auto"/>
      </w:pPr>
      <w:r>
        <w:rPr>
          <w:rStyle w:val="Zkladntext"/>
        </w:rPr>
        <w:t>Typ zařízení</w:t>
      </w:r>
    </w:p>
    <w:p w:rsidR="00EC3609" w:rsidRDefault="00CB4757">
      <w:pPr>
        <w:pStyle w:val="Zkladntext1"/>
        <w:numPr>
          <w:ilvl w:val="0"/>
          <w:numId w:val="3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Podnikový dvoupásmový bezdrátový přístupový bod pro montáž na strop/stěnu.</w:t>
      </w:r>
    </w:p>
    <w:p w:rsidR="00EC3609" w:rsidRDefault="00CB4757">
      <w:pPr>
        <w:pStyle w:val="Zkladntext1"/>
        <w:numPr>
          <w:ilvl w:val="0"/>
          <w:numId w:val="3"/>
        </w:numPr>
        <w:tabs>
          <w:tab w:val="left" w:pos="687"/>
        </w:tabs>
        <w:spacing w:after="260" w:line="252" w:lineRule="auto"/>
        <w:ind w:firstLine="340"/>
      </w:pPr>
      <w:r>
        <w:rPr>
          <w:rStyle w:val="Zkladntext"/>
        </w:rPr>
        <w:t>Podpora standardů IEEE 802.11 a/b/g/n/</w:t>
      </w:r>
      <w:proofErr w:type="spellStart"/>
      <w:r>
        <w:rPr>
          <w:rStyle w:val="Zkladntext"/>
        </w:rPr>
        <w:t>ac</w:t>
      </w:r>
      <w:proofErr w:type="spellEnd"/>
      <w:r>
        <w:rPr>
          <w:rStyle w:val="Zkladntext"/>
        </w:rPr>
        <w:t>/</w:t>
      </w:r>
      <w:proofErr w:type="spellStart"/>
      <w:r>
        <w:rPr>
          <w:rStyle w:val="Zkladntext"/>
        </w:rPr>
        <w:t>ax</w:t>
      </w:r>
      <w:proofErr w:type="spellEnd"/>
      <w:r>
        <w:rPr>
          <w:rStyle w:val="Zkladntext"/>
        </w:rPr>
        <w:t xml:space="preserve"> (Wi-Fi 6).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44"/>
        </w:tabs>
        <w:spacing w:after="260" w:line="252" w:lineRule="auto"/>
      </w:pPr>
      <w:r>
        <w:rPr>
          <w:rStyle w:val="Zkladntext"/>
        </w:rPr>
        <w:t>Rádio a výkon</w:t>
      </w:r>
    </w:p>
    <w:p w:rsidR="00EC3609" w:rsidRDefault="00CB4757">
      <w:pPr>
        <w:pStyle w:val="Zkladntext1"/>
        <w:numPr>
          <w:ilvl w:val="0"/>
          <w:numId w:val="4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Minimálně 4x4 MIMO v pásmu 5 GHz.</w:t>
      </w:r>
    </w:p>
    <w:p w:rsidR="00EC3609" w:rsidRDefault="00CB4757">
      <w:pPr>
        <w:pStyle w:val="Zkladntext1"/>
        <w:numPr>
          <w:ilvl w:val="0"/>
          <w:numId w:val="4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Minimálně 2x2 MIMO v pásmu 2,4 GHz.</w:t>
      </w:r>
    </w:p>
    <w:p w:rsidR="00EC3609" w:rsidRDefault="00CB4757">
      <w:pPr>
        <w:pStyle w:val="Zkladntext1"/>
        <w:numPr>
          <w:ilvl w:val="0"/>
          <w:numId w:val="4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 xml:space="preserve">Podpora OFDMA, </w:t>
      </w:r>
      <w:r>
        <w:rPr>
          <w:rStyle w:val="Zkladntext"/>
        </w:rPr>
        <w:t xml:space="preserve">MU-MIMO, BSS </w:t>
      </w:r>
      <w:proofErr w:type="spellStart"/>
      <w:r>
        <w:rPr>
          <w:rStyle w:val="Zkladntext"/>
        </w:rPr>
        <w:t>Coloring</w:t>
      </w:r>
      <w:proofErr w:type="spellEnd"/>
      <w:r>
        <w:rPr>
          <w:rStyle w:val="Zkladntext"/>
        </w:rPr>
        <w:t>.</w:t>
      </w:r>
    </w:p>
    <w:p w:rsidR="00EC3609" w:rsidRDefault="00CB4757">
      <w:pPr>
        <w:pStyle w:val="Zkladntext1"/>
        <w:numPr>
          <w:ilvl w:val="0"/>
          <w:numId w:val="4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Výstupní výkon rádia dle regulací EU, konfigurovatelný.</w:t>
      </w:r>
    </w:p>
    <w:p w:rsidR="00EC3609" w:rsidRDefault="00CB4757">
      <w:pPr>
        <w:pStyle w:val="Zkladntext1"/>
        <w:numPr>
          <w:ilvl w:val="0"/>
          <w:numId w:val="4"/>
        </w:numPr>
        <w:tabs>
          <w:tab w:val="left" w:pos="687"/>
        </w:tabs>
        <w:spacing w:after="260" w:line="252" w:lineRule="auto"/>
        <w:ind w:firstLine="340"/>
      </w:pPr>
      <w:r>
        <w:rPr>
          <w:rStyle w:val="Zkladntext"/>
        </w:rPr>
        <w:t>Provoz v pásmech 2,4 GHz a 5 GHz současně.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39"/>
        </w:tabs>
        <w:spacing w:after="260" w:line="252" w:lineRule="auto"/>
      </w:pPr>
      <w:r>
        <w:rPr>
          <w:rStyle w:val="Zkladntext"/>
        </w:rPr>
        <w:lastRenderedPageBreak/>
        <w:t>Rychlosti a kapacita</w:t>
      </w:r>
    </w:p>
    <w:p w:rsidR="00EC3609" w:rsidRDefault="00CB4757">
      <w:pPr>
        <w:pStyle w:val="Zkladntext1"/>
        <w:numPr>
          <w:ilvl w:val="0"/>
          <w:numId w:val="5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 xml:space="preserve">Agregovaná datová propustnost minimálně 3 </w:t>
      </w:r>
      <w:proofErr w:type="spellStart"/>
      <w:r>
        <w:rPr>
          <w:rStyle w:val="Zkladntext"/>
        </w:rPr>
        <w:t>Gb</w:t>
      </w:r>
      <w:proofErr w:type="spellEnd"/>
      <w:r>
        <w:rPr>
          <w:rStyle w:val="Zkladntext"/>
        </w:rPr>
        <w:t>/s.</w:t>
      </w:r>
    </w:p>
    <w:p w:rsidR="00EC3609" w:rsidRDefault="00CB4757">
      <w:pPr>
        <w:pStyle w:val="Zkladntext1"/>
        <w:numPr>
          <w:ilvl w:val="0"/>
          <w:numId w:val="5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Podpora minimálně 1024-QAM modulace.</w:t>
      </w:r>
    </w:p>
    <w:p w:rsidR="00EC3609" w:rsidRDefault="00CB4757">
      <w:pPr>
        <w:pStyle w:val="Zkladntext1"/>
        <w:numPr>
          <w:ilvl w:val="0"/>
          <w:numId w:val="5"/>
        </w:numPr>
        <w:tabs>
          <w:tab w:val="left" w:pos="687"/>
        </w:tabs>
        <w:spacing w:after="260" w:line="252" w:lineRule="auto"/>
        <w:ind w:firstLine="340"/>
      </w:pPr>
      <w:r>
        <w:rPr>
          <w:rStyle w:val="Zkladntext"/>
        </w:rPr>
        <w:t>Schopnost obsluhovat vysokou</w:t>
      </w:r>
      <w:r>
        <w:rPr>
          <w:rStyle w:val="Zkladntext"/>
        </w:rPr>
        <w:t xml:space="preserve"> hustotu klientů (min. 200+ klientů na AP).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54"/>
        </w:tabs>
        <w:spacing w:after="260" w:line="252" w:lineRule="auto"/>
      </w:pPr>
      <w:r>
        <w:rPr>
          <w:rStyle w:val="Zkladntext"/>
        </w:rPr>
        <w:t>Napájení</w:t>
      </w:r>
    </w:p>
    <w:p w:rsidR="00EC3609" w:rsidRDefault="00CB4757">
      <w:pPr>
        <w:pStyle w:val="Zkladntext1"/>
        <w:numPr>
          <w:ilvl w:val="0"/>
          <w:numId w:val="6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 xml:space="preserve">Podpora </w:t>
      </w:r>
      <w:proofErr w:type="spellStart"/>
      <w:r>
        <w:rPr>
          <w:rStyle w:val="Zkladntext"/>
        </w:rPr>
        <w:t>PoE</w:t>
      </w:r>
      <w:proofErr w:type="spellEnd"/>
      <w:r>
        <w:rPr>
          <w:rStyle w:val="Zkladntext"/>
        </w:rPr>
        <w:t>+ (802.3at) jako primární napájení.</w:t>
      </w:r>
    </w:p>
    <w:p w:rsidR="00EC3609" w:rsidRDefault="00CB4757">
      <w:pPr>
        <w:pStyle w:val="Zkladntext1"/>
        <w:numPr>
          <w:ilvl w:val="0"/>
          <w:numId w:val="6"/>
        </w:numPr>
        <w:tabs>
          <w:tab w:val="left" w:pos="714"/>
        </w:tabs>
        <w:spacing w:after="0" w:line="252" w:lineRule="auto"/>
        <w:ind w:left="700" w:hanging="340"/>
      </w:pPr>
      <w:r>
        <w:rPr>
          <w:rStyle w:val="Zkladntext"/>
        </w:rPr>
        <w:t>Možnost napájení i přes 802.3af s omezeným výkonem (např. omezení 2,4GHz rádia nebo výkonu).</w:t>
      </w:r>
    </w:p>
    <w:p w:rsidR="00EC3609" w:rsidRDefault="00CB4757">
      <w:pPr>
        <w:pStyle w:val="Zkladntext1"/>
        <w:numPr>
          <w:ilvl w:val="0"/>
          <w:numId w:val="6"/>
        </w:numPr>
        <w:tabs>
          <w:tab w:val="left" w:pos="687"/>
        </w:tabs>
        <w:spacing w:after="260" w:line="252" w:lineRule="auto"/>
        <w:ind w:firstLine="340"/>
      </w:pPr>
      <w:r>
        <w:rPr>
          <w:rStyle w:val="Zkladntext"/>
        </w:rPr>
        <w:t>Spotřeba nepřesahující 25 W.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44"/>
        </w:tabs>
        <w:spacing w:after="260" w:line="252" w:lineRule="auto"/>
      </w:pPr>
      <w:r>
        <w:rPr>
          <w:rStyle w:val="Zkladntext"/>
        </w:rPr>
        <w:t>Síťová konektivita</w:t>
      </w:r>
    </w:p>
    <w:p w:rsidR="00EC3609" w:rsidRDefault="00CB4757">
      <w:pPr>
        <w:pStyle w:val="Zkladntext1"/>
        <w:numPr>
          <w:ilvl w:val="0"/>
          <w:numId w:val="7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 xml:space="preserve">Minimálně 1 x </w:t>
      </w:r>
      <w:r>
        <w:rPr>
          <w:rStyle w:val="Zkladntext"/>
        </w:rPr>
        <w:t xml:space="preserve">1G </w:t>
      </w:r>
      <w:proofErr w:type="spellStart"/>
      <w:r>
        <w:rPr>
          <w:rStyle w:val="Zkladntext"/>
        </w:rPr>
        <w:t>Ethernet</w:t>
      </w:r>
      <w:proofErr w:type="spellEnd"/>
      <w:r>
        <w:rPr>
          <w:rStyle w:val="Zkladntext"/>
        </w:rPr>
        <w:t xml:space="preserve"> RJ-45 port s podporou </w:t>
      </w:r>
      <w:proofErr w:type="spellStart"/>
      <w:r>
        <w:rPr>
          <w:rStyle w:val="Zkladntext"/>
        </w:rPr>
        <w:t>PoE</w:t>
      </w:r>
      <w:proofErr w:type="spellEnd"/>
      <w:r>
        <w:rPr>
          <w:rStyle w:val="Zkladntext"/>
        </w:rPr>
        <w:t>.</w:t>
      </w:r>
    </w:p>
    <w:p w:rsidR="00EC3609" w:rsidRDefault="00CB4757">
      <w:pPr>
        <w:pStyle w:val="Zkladntext1"/>
        <w:numPr>
          <w:ilvl w:val="0"/>
          <w:numId w:val="7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 xml:space="preserve">Podpora 802.1 Q VLÁN, </w:t>
      </w:r>
      <w:proofErr w:type="spellStart"/>
      <w:r>
        <w:rPr>
          <w:rStyle w:val="Zkladntext"/>
        </w:rPr>
        <w:t>QoS</w:t>
      </w:r>
      <w:proofErr w:type="spellEnd"/>
      <w:r>
        <w:rPr>
          <w:rStyle w:val="Zkladntext"/>
        </w:rPr>
        <w:t xml:space="preserve"> a segmentace provozu.</w:t>
      </w:r>
    </w:p>
    <w:p w:rsidR="00EC3609" w:rsidRDefault="00CB4757">
      <w:pPr>
        <w:pStyle w:val="Zkladntext1"/>
        <w:numPr>
          <w:ilvl w:val="0"/>
          <w:numId w:val="7"/>
        </w:numPr>
        <w:tabs>
          <w:tab w:val="left" w:pos="687"/>
        </w:tabs>
        <w:spacing w:after="260" w:line="252" w:lineRule="auto"/>
        <w:ind w:firstLine="340"/>
      </w:pPr>
      <w:r>
        <w:rPr>
          <w:rStyle w:val="Zkladntext"/>
        </w:rPr>
        <w:t xml:space="preserve">Možnost připojení do L2/L3 infrastruktury bez </w:t>
      </w:r>
      <w:proofErr w:type="spellStart"/>
      <w:r>
        <w:rPr>
          <w:rStyle w:val="Zkladntext"/>
        </w:rPr>
        <w:t>vendor</w:t>
      </w:r>
      <w:proofErr w:type="spellEnd"/>
      <w:r>
        <w:rPr>
          <w:rStyle w:val="Zkladntext"/>
        </w:rPr>
        <w:t>-specifických závislostí.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49"/>
        </w:tabs>
        <w:spacing w:after="260" w:line="252" w:lineRule="auto"/>
      </w:pPr>
      <w:r>
        <w:rPr>
          <w:rStyle w:val="Zkladntext"/>
        </w:rPr>
        <w:t>Bezpečnost</w:t>
      </w:r>
    </w:p>
    <w:p w:rsidR="00EC3609" w:rsidRDefault="00CB4757">
      <w:pPr>
        <w:pStyle w:val="Zkladntext1"/>
        <w:numPr>
          <w:ilvl w:val="0"/>
          <w:numId w:val="8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Podpora WPA3-Enterprise, WPA2-Enterprise.</w:t>
      </w:r>
    </w:p>
    <w:p w:rsidR="00EC3609" w:rsidRDefault="00CB4757">
      <w:pPr>
        <w:pStyle w:val="Zkladntext1"/>
        <w:numPr>
          <w:ilvl w:val="0"/>
          <w:numId w:val="8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Podpora 802.1X / RÁDIUS autentizace.</w:t>
      </w:r>
    </w:p>
    <w:p w:rsidR="00EC3609" w:rsidRDefault="00CB4757">
      <w:pPr>
        <w:pStyle w:val="Zkladntext1"/>
        <w:numPr>
          <w:ilvl w:val="0"/>
          <w:numId w:val="8"/>
        </w:numPr>
        <w:tabs>
          <w:tab w:val="left" w:pos="687"/>
        </w:tabs>
        <w:spacing w:after="0" w:line="252" w:lineRule="auto"/>
        <w:ind w:firstLine="340"/>
      </w:pPr>
      <w:r>
        <w:rPr>
          <w:rStyle w:val="Zkladntext"/>
        </w:rPr>
        <w:t>Š</w:t>
      </w:r>
      <w:r>
        <w:rPr>
          <w:rStyle w:val="Zkladntext"/>
        </w:rPr>
        <w:t>ifrování dle standardů FIPS nebo ekvivalentních bezpečnostních požadavků.</w:t>
      </w:r>
    </w:p>
    <w:p w:rsidR="00EC3609" w:rsidRDefault="00CB4757">
      <w:pPr>
        <w:pStyle w:val="Zkladntext1"/>
        <w:numPr>
          <w:ilvl w:val="0"/>
          <w:numId w:val="8"/>
        </w:numPr>
        <w:tabs>
          <w:tab w:val="left" w:pos="687"/>
        </w:tabs>
        <w:spacing w:after="260" w:line="252" w:lineRule="auto"/>
        <w:ind w:firstLine="340"/>
      </w:pPr>
      <w:r>
        <w:rPr>
          <w:rStyle w:val="Zkladntext"/>
        </w:rPr>
        <w:t xml:space="preserve">Integrované mechanismy proti </w:t>
      </w:r>
      <w:proofErr w:type="spellStart"/>
      <w:r>
        <w:rPr>
          <w:rStyle w:val="Zkladntext"/>
        </w:rPr>
        <w:t>rogue</w:t>
      </w:r>
      <w:proofErr w:type="spellEnd"/>
      <w:r>
        <w:rPr>
          <w:rStyle w:val="Zkladntext"/>
        </w:rPr>
        <w:t xml:space="preserve"> AP a detekci útoků (WIPS/WIDS nebo ekvivalent).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44"/>
        </w:tabs>
        <w:spacing w:after="260" w:line="252" w:lineRule="auto"/>
      </w:pPr>
      <w:r>
        <w:rPr>
          <w:rStyle w:val="Zkladntext"/>
        </w:rPr>
        <w:t>Správa</w:t>
      </w:r>
    </w:p>
    <w:p w:rsidR="00EC3609" w:rsidRDefault="00CB4757">
      <w:pPr>
        <w:pStyle w:val="Zkladntext1"/>
        <w:numPr>
          <w:ilvl w:val="0"/>
          <w:numId w:val="9"/>
        </w:numPr>
        <w:tabs>
          <w:tab w:val="left" w:pos="714"/>
        </w:tabs>
        <w:spacing w:after="0" w:line="240" w:lineRule="auto"/>
        <w:ind w:left="700" w:hanging="340"/>
      </w:pPr>
      <w:r>
        <w:rPr>
          <w:rStyle w:val="Zkladntext"/>
        </w:rPr>
        <w:t xml:space="preserve">Správa lokální (web/CLI) i centrální (např. kontrolér nebo </w:t>
      </w:r>
      <w:proofErr w:type="spellStart"/>
      <w:r>
        <w:rPr>
          <w:rStyle w:val="Zkladntext"/>
        </w:rPr>
        <w:t>cloud</w:t>
      </w:r>
      <w:proofErr w:type="spellEnd"/>
      <w:r>
        <w:rPr>
          <w:rStyle w:val="Zkladntext"/>
        </w:rPr>
        <w:t xml:space="preserve">), bez vazby na konkrétního </w:t>
      </w:r>
      <w:r>
        <w:rPr>
          <w:rStyle w:val="Zkladntext"/>
        </w:rPr>
        <w:t>výrobce.</w:t>
      </w:r>
    </w:p>
    <w:p w:rsidR="00EC3609" w:rsidRDefault="00CB4757">
      <w:pPr>
        <w:pStyle w:val="Zkladntext1"/>
        <w:numPr>
          <w:ilvl w:val="0"/>
          <w:numId w:val="9"/>
        </w:numPr>
        <w:tabs>
          <w:tab w:val="left" w:pos="687"/>
        </w:tabs>
        <w:spacing w:after="0" w:line="240" w:lineRule="auto"/>
        <w:ind w:firstLine="340"/>
      </w:pPr>
      <w:r>
        <w:rPr>
          <w:rStyle w:val="Zkladntext"/>
        </w:rPr>
        <w:t>Podpora řízení prostřednictvím standardních bezdrátových kontrolérů.</w:t>
      </w:r>
    </w:p>
    <w:p w:rsidR="00EC3609" w:rsidRDefault="00CB4757">
      <w:pPr>
        <w:pStyle w:val="Zkladntext1"/>
        <w:numPr>
          <w:ilvl w:val="0"/>
          <w:numId w:val="9"/>
        </w:numPr>
        <w:tabs>
          <w:tab w:val="left" w:pos="714"/>
        </w:tabs>
        <w:spacing w:after="260" w:line="240" w:lineRule="auto"/>
        <w:ind w:left="700" w:hanging="340"/>
      </w:pPr>
      <w:r>
        <w:rPr>
          <w:rStyle w:val="Zkladntext"/>
        </w:rPr>
        <w:t xml:space="preserve">Zadavatel disponuje síťovým kontrolérem Cisco C9800-L-C-K9; přístupový bod musí být schopen provozu i v prostředí se standardními kontroléry kompatibilními s protokoly </w:t>
      </w:r>
      <w:r>
        <w:rPr>
          <w:rStyle w:val="Zkladntext"/>
        </w:rPr>
        <w:t xml:space="preserve">používanými v </w:t>
      </w:r>
      <w:proofErr w:type="spellStart"/>
      <w:r>
        <w:rPr>
          <w:rStyle w:val="Zkladntext"/>
        </w:rPr>
        <w:t>enterprise</w:t>
      </w:r>
      <w:proofErr w:type="spellEnd"/>
      <w:r>
        <w:rPr>
          <w:rStyle w:val="Zkladntext"/>
        </w:rPr>
        <w:t xml:space="preserve"> WLAN (bez uvedení konkrétního výrobce jako podmínky).</w:t>
      </w:r>
    </w:p>
    <w:p w:rsidR="00EC3609" w:rsidRDefault="00CB4757">
      <w:pPr>
        <w:pStyle w:val="Zkladntext1"/>
        <w:numPr>
          <w:ilvl w:val="0"/>
          <w:numId w:val="9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 xml:space="preserve">Podpora SNMPv2/v3, </w:t>
      </w:r>
      <w:proofErr w:type="spellStart"/>
      <w:r>
        <w:rPr>
          <w:rStyle w:val="Zkladntext"/>
        </w:rPr>
        <w:t>syslogu</w:t>
      </w:r>
      <w:proofErr w:type="spellEnd"/>
      <w:r>
        <w:rPr>
          <w:rStyle w:val="Zkladntext"/>
        </w:rPr>
        <w:t xml:space="preserve"> a standardních monitorovacích protokolů.</w:t>
      </w:r>
    </w:p>
    <w:p w:rsidR="00EC3609" w:rsidRDefault="00CB4757">
      <w:pPr>
        <w:pStyle w:val="Zkladntext1"/>
        <w:numPr>
          <w:ilvl w:val="0"/>
          <w:numId w:val="9"/>
        </w:numPr>
        <w:tabs>
          <w:tab w:val="left" w:pos="692"/>
        </w:tabs>
        <w:spacing w:after="280" w:line="240" w:lineRule="auto"/>
        <w:ind w:firstLine="340"/>
      </w:pPr>
      <w:r>
        <w:rPr>
          <w:rStyle w:val="Zkladntext"/>
        </w:rPr>
        <w:t xml:space="preserve">Možnost </w:t>
      </w:r>
      <w:proofErr w:type="spellStart"/>
      <w:r>
        <w:rPr>
          <w:rStyle w:val="Zkladntext"/>
        </w:rPr>
        <w:t>Zero-Touch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Provisioning</w:t>
      </w:r>
      <w:proofErr w:type="spellEnd"/>
      <w:r>
        <w:rPr>
          <w:rStyle w:val="Zkladntext"/>
        </w:rPr>
        <w:t xml:space="preserve"> nebo obdobné automatizované konfigurace.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39"/>
        </w:tabs>
        <w:spacing w:after="280" w:line="240" w:lineRule="auto"/>
      </w:pPr>
      <w:r>
        <w:rPr>
          <w:rStyle w:val="Zkladntext"/>
        </w:rPr>
        <w:t>Funkce podnikové úrovně</w:t>
      </w:r>
    </w:p>
    <w:p w:rsidR="00EC3609" w:rsidRDefault="00CB4757">
      <w:pPr>
        <w:pStyle w:val="Zkladntext1"/>
        <w:numPr>
          <w:ilvl w:val="0"/>
          <w:numId w:val="10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>Podpora více</w:t>
      </w:r>
      <w:r>
        <w:rPr>
          <w:rStyle w:val="Zkladntext"/>
        </w:rPr>
        <w:t xml:space="preserve"> SSID (min. 8).</w:t>
      </w:r>
    </w:p>
    <w:p w:rsidR="00EC3609" w:rsidRDefault="00CB4757">
      <w:pPr>
        <w:pStyle w:val="Zkladntext1"/>
        <w:numPr>
          <w:ilvl w:val="0"/>
          <w:numId w:val="10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>Pokročilá optimalizace RF (automatické řízení výkonu a kanálů).</w:t>
      </w:r>
    </w:p>
    <w:p w:rsidR="00EC3609" w:rsidRDefault="00CB4757">
      <w:pPr>
        <w:pStyle w:val="Zkladntext1"/>
        <w:numPr>
          <w:ilvl w:val="0"/>
          <w:numId w:val="10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>Podpora roamingu dle 802.11 k/v/r.</w:t>
      </w:r>
    </w:p>
    <w:p w:rsidR="00EC3609" w:rsidRDefault="00CB4757">
      <w:pPr>
        <w:pStyle w:val="Zkladntext1"/>
        <w:numPr>
          <w:ilvl w:val="0"/>
          <w:numId w:val="10"/>
        </w:numPr>
        <w:tabs>
          <w:tab w:val="left" w:pos="692"/>
        </w:tabs>
        <w:spacing w:after="280" w:line="240" w:lineRule="auto"/>
        <w:ind w:firstLine="340"/>
      </w:pPr>
      <w:r>
        <w:rPr>
          <w:rStyle w:val="Zkladntext"/>
        </w:rPr>
        <w:t xml:space="preserve">Integrovaná BLE nebo jiný nízkoenergetický </w:t>
      </w:r>
      <w:proofErr w:type="spellStart"/>
      <w:r>
        <w:rPr>
          <w:rStyle w:val="Zkladntext"/>
        </w:rPr>
        <w:t>beacon</w:t>
      </w:r>
      <w:proofErr w:type="spellEnd"/>
      <w:r>
        <w:rPr>
          <w:rStyle w:val="Zkladntext"/>
        </w:rPr>
        <w:t xml:space="preserve"> modul - volitelné.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339"/>
        </w:tabs>
        <w:spacing w:after="280" w:line="240" w:lineRule="auto"/>
      </w:pPr>
      <w:r>
        <w:rPr>
          <w:rStyle w:val="Zkladntext"/>
        </w:rPr>
        <w:t>Fyzické provedení</w:t>
      </w:r>
    </w:p>
    <w:p w:rsidR="00EC3609" w:rsidRDefault="00CB4757">
      <w:pPr>
        <w:pStyle w:val="Zkladntext1"/>
        <w:numPr>
          <w:ilvl w:val="0"/>
          <w:numId w:val="11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>Montáž na strop/stěnu bez speciálních doplňků.</w:t>
      </w:r>
    </w:p>
    <w:p w:rsidR="00EC3609" w:rsidRDefault="00CB4757">
      <w:pPr>
        <w:pStyle w:val="Zkladntext1"/>
        <w:numPr>
          <w:ilvl w:val="0"/>
          <w:numId w:val="11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>Provozn</w:t>
      </w:r>
      <w:r>
        <w:rPr>
          <w:rStyle w:val="Zkladntext"/>
        </w:rPr>
        <w:t>í teplota minimálně 0 až +40 °C.</w:t>
      </w:r>
    </w:p>
    <w:p w:rsidR="00EC3609" w:rsidRDefault="00CB4757">
      <w:pPr>
        <w:pStyle w:val="Zkladntext1"/>
        <w:numPr>
          <w:ilvl w:val="0"/>
          <w:numId w:val="11"/>
        </w:numPr>
        <w:tabs>
          <w:tab w:val="left" w:pos="692"/>
        </w:tabs>
        <w:spacing w:after="280" w:line="240" w:lineRule="auto"/>
        <w:ind w:firstLine="340"/>
      </w:pPr>
      <w:r>
        <w:rPr>
          <w:rStyle w:val="Zkladntext"/>
        </w:rPr>
        <w:t>Odolné šasi vhodné pro administrativní budovy.</w:t>
      </w:r>
    </w:p>
    <w:p w:rsidR="00EC3609" w:rsidRDefault="00CB4757">
      <w:pPr>
        <w:pStyle w:val="Zkladntext1"/>
        <w:numPr>
          <w:ilvl w:val="0"/>
          <w:numId w:val="2"/>
        </w:numPr>
        <w:tabs>
          <w:tab w:val="left" w:pos="440"/>
        </w:tabs>
        <w:spacing w:after="280" w:line="240" w:lineRule="auto"/>
      </w:pPr>
      <w:r>
        <w:rPr>
          <w:rStyle w:val="Zkladntext"/>
        </w:rPr>
        <w:t>Certifikace</w:t>
      </w:r>
    </w:p>
    <w:p w:rsidR="00EC3609" w:rsidRDefault="00CB4757">
      <w:pPr>
        <w:pStyle w:val="Zkladntext1"/>
        <w:numPr>
          <w:ilvl w:val="0"/>
          <w:numId w:val="12"/>
        </w:numPr>
        <w:tabs>
          <w:tab w:val="left" w:pos="692"/>
        </w:tabs>
        <w:spacing w:after="0" w:line="240" w:lineRule="auto"/>
        <w:ind w:firstLine="340"/>
      </w:pPr>
      <w:r>
        <w:rPr>
          <w:rStyle w:val="Zkladntext"/>
        </w:rPr>
        <w:t>CE a další povinné certifikace pro provoz v EU.</w:t>
      </w:r>
    </w:p>
    <w:p w:rsidR="00EC3609" w:rsidRDefault="00CB4757">
      <w:pPr>
        <w:pStyle w:val="Zkladntext1"/>
        <w:numPr>
          <w:ilvl w:val="0"/>
          <w:numId w:val="12"/>
        </w:numPr>
        <w:tabs>
          <w:tab w:val="left" w:pos="692"/>
        </w:tabs>
        <w:spacing w:after="520" w:line="240" w:lineRule="auto"/>
        <w:ind w:firstLine="340"/>
      </w:pPr>
      <w:r>
        <w:rPr>
          <w:rStyle w:val="Zkladntext"/>
        </w:rPr>
        <w:t>Podpora regulací DFS v pásmu 5 GHz.</w:t>
      </w:r>
    </w:p>
    <w:p w:rsidR="00EC3609" w:rsidRDefault="00CB4757">
      <w:pPr>
        <w:pStyle w:val="Zkladntext1"/>
        <w:spacing w:after="280" w:line="240" w:lineRule="auto"/>
      </w:pPr>
      <w:r>
        <w:rPr>
          <w:rStyle w:val="Zkladntext"/>
          <w:b/>
          <w:bCs/>
        </w:rPr>
        <w:t>Obchodní označení dodávaného zařízení:</w:t>
      </w:r>
    </w:p>
    <w:p w:rsidR="00EC3609" w:rsidRDefault="00CB4757">
      <w:pPr>
        <w:pStyle w:val="Zkladntext1"/>
        <w:spacing w:after="0" w:line="240" w:lineRule="auto"/>
        <w:ind w:firstLine="680"/>
      </w:pPr>
      <w:r>
        <w:rPr>
          <w:rStyle w:val="Zkladntext"/>
          <w:b/>
          <w:bCs/>
        </w:rPr>
        <w:t xml:space="preserve">Cisco </w:t>
      </w:r>
      <w:proofErr w:type="spellStart"/>
      <w:r>
        <w:rPr>
          <w:rStyle w:val="Zkladntext"/>
          <w:b/>
          <w:bCs/>
        </w:rPr>
        <w:t>Catalyst</w:t>
      </w:r>
      <w:proofErr w:type="spellEnd"/>
      <w:r>
        <w:rPr>
          <w:rStyle w:val="Zkladntext"/>
          <w:b/>
          <w:bCs/>
        </w:rPr>
        <w:t xml:space="preserve"> 9115AX </w:t>
      </w:r>
      <w:proofErr w:type="spellStart"/>
      <w:r>
        <w:rPr>
          <w:rStyle w:val="Zkladntext"/>
          <w:b/>
          <w:bCs/>
        </w:rPr>
        <w:t>Series</w:t>
      </w:r>
      <w:proofErr w:type="spellEnd"/>
      <w:r>
        <w:rPr>
          <w:rStyle w:val="Zkladntext"/>
          <w:b/>
          <w:bCs/>
        </w:rPr>
        <w:t xml:space="preserve"> (p/n </w:t>
      </w:r>
      <w:r>
        <w:rPr>
          <w:rStyle w:val="Zkladntext"/>
          <w:b/>
          <w:bCs/>
        </w:rPr>
        <w:t>C9115AXI-E)</w:t>
      </w:r>
    </w:p>
    <w:p w:rsidR="00EC3609" w:rsidRDefault="00CB4757">
      <w:pPr>
        <w:pStyle w:val="Zkladntext1"/>
        <w:spacing w:after="280" w:line="240" w:lineRule="auto"/>
        <w:ind w:firstLine="680"/>
      </w:pPr>
      <w:r>
        <w:rPr>
          <w:rStyle w:val="Zkladntext"/>
          <w:b/>
          <w:bCs/>
        </w:rPr>
        <w:t xml:space="preserve">+ </w:t>
      </w:r>
      <w:proofErr w:type="spellStart"/>
      <w:r>
        <w:rPr>
          <w:rStyle w:val="Zkladntext"/>
          <w:b/>
          <w:bCs/>
        </w:rPr>
        <w:t>Wireiess</w:t>
      </w:r>
      <w:proofErr w:type="spellEnd"/>
      <w:r>
        <w:rPr>
          <w:rStyle w:val="Zkladntext"/>
          <w:b/>
          <w:bCs/>
        </w:rPr>
        <w:t xml:space="preserve"> Cisco DNA On-</w:t>
      </w:r>
      <w:proofErr w:type="spellStart"/>
      <w:r>
        <w:rPr>
          <w:rStyle w:val="Zkladntext"/>
          <w:b/>
          <w:bCs/>
        </w:rPr>
        <w:t>Prem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Essential</w:t>
      </w:r>
      <w:proofErr w:type="spellEnd"/>
      <w:r>
        <w:rPr>
          <w:rStyle w:val="Zkladntext"/>
          <w:b/>
          <w:bCs/>
        </w:rPr>
        <w:t>, 5Y Term Lic (p/n AIR-DNA-E-5Y)</w:t>
      </w:r>
    </w:p>
    <w:p w:rsidR="00EC3609" w:rsidRDefault="00CB4757">
      <w:pPr>
        <w:pStyle w:val="Zkladntext1"/>
        <w:spacing w:after="280" w:line="240" w:lineRule="auto"/>
      </w:pPr>
      <w:r>
        <w:rPr>
          <w:rStyle w:val="Zkladntext"/>
          <w:b/>
          <w:bCs/>
        </w:rPr>
        <w:lastRenderedPageBreak/>
        <w:t>Ceník:</w:t>
      </w:r>
    </w:p>
    <w:p w:rsidR="00EC3609" w:rsidRDefault="00CB4757">
      <w:pPr>
        <w:pStyle w:val="Zkladntext1"/>
        <w:spacing w:after="0" w:line="240" w:lineRule="auto"/>
      </w:pPr>
      <w:r>
        <w:rPr>
          <w:rStyle w:val="Zkladntext"/>
          <w:b/>
          <w:bCs/>
        </w:rPr>
        <w:t>Cena za 1 ks v Kč bez DPH: 13.600,-</w:t>
      </w:r>
    </w:p>
    <w:p w:rsidR="00EC3609" w:rsidRDefault="00CB4757">
      <w:pPr>
        <w:pStyle w:val="Zkladntext1"/>
        <w:spacing w:after="280" w:line="240" w:lineRule="auto"/>
      </w:pPr>
      <w:r>
        <w:rPr>
          <w:rStyle w:val="Zkladntext"/>
          <w:b/>
          <w:bCs/>
        </w:rPr>
        <w:t>Cena za 1 ks v Kč vč. DPH: 16.456,-</w:t>
      </w:r>
    </w:p>
    <w:sectPr w:rsidR="00EC3609">
      <w:footerReference w:type="default" r:id="rId8"/>
      <w:pgSz w:w="11900" w:h="16840"/>
      <w:pgMar w:top="673" w:right="1547" w:bottom="1672" w:left="1473" w:header="2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57" w:rsidRDefault="00CB4757">
      <w:r>
        <w:separator/>
      </w:r>
    </w:p>
  </w:endnote>
  <w:endnote w:type="continuationSeparator" w:id="0">
    <w:p w:rsidR="00CB4757" w:rsidRDefault="00CB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609" w:rsidRDefault="00CB47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947420</wp:posOffset>
              </wp:positionH>
              <wp:positionV relativeFrom="page">
                <wp:posOffset>10180955</wp:posOffset>
              </wp:positionV>
              <wp:extent cx="1545590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559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3609" w:rsidRDefault="00CB4757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27_2025 Výpočetní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4.600000000000009pt;margin-top:801.64999999999998pt;width:121.7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27_2025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57" w:rsidRDefault="00CB4757"/>
  </w:footnote>
  <w:footnote w:type="continuationSeparator" w:id="0">
    <w:p w:rsidR="00CB4757" w:rsidRDefault="00CB47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F3D"/>
    <w:multiLevelType w:val="multilevel"/>
    <w:tmpl w:val="5BEE41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C242A"/>
    <w:multiLevelType w:val="multilevel"/>
    <w:tmpl w:val="212CF3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153E6"/>
    <w:multiLevelType w:val="multilevel"/>
    <w:tmpl w:val="D1181E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450F3"/>
    <w:multiLevelType w:val="multilevel"/>
    <w:tmpl w:val="8722A6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27271"/>
    <w:multiLevelType w:val="multilevel"/>
    <w:tmpl w:val="4D0AC95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27294F"/>
    <w:multiLevelType w:val="multilevel"/>
    <w:tmpl w:val="CFFA5B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CC6F0A"/>
    <w:multiLevelType w:val="multilevel"/>
    <w:tmpl w:val="52FC11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F3CF8"/>
    <w:multiLevelType w:val="multilevel"/>
    <w:tmpl w:val="4768C9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F70771"/>
    <w:multiLevelType w:val="multilevel"/>
    <w:tmpl w:val="505E96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D34235"/>
    <w:multiLevelType w:val="multilevel"/>
    <w:tmpl w:val="39DC37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CC1F68"/>
    <w:multiLevelType w:val="multilevel"/>
    <w:tmpl w:val="021668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6A497E"/>
    <w:multiLevelType w:val="multilevel"/>
    <w:tmpl w:val="315E60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09"/>
    <w:rsid w:val="008641ED"/>
    <w:rsid w:val="00CB4757"/>
    <w:rsid w:val="00E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69D5"/>
  <w15:docId w15:val="{9E3D2D7B-BFEA-4664-9D10-A7EC2F26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276" w:lineRule="auto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pacing w:after="24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8424</Characters>
  <Application>Microsoft Office Word</Application>
  <DocSecurity>0</DocSecurity>
  <Lines>70</Lines>
  <Paragraphs>19</Paragraphs>
  <ScaleCrop>false</ScaleCrop>
  <Company>HP Inc.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2025-12-17T08:58:00Z</dcterms:created>
  <dcterms:modified xsi:type="dcterms:W3CDTF">2025-12-17T08:59:00Z</dcterms:modified>
</cp:coreProperties>
</file>