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3" w:type="dxa"/>
        <w:tblBorders>
          <w:top w:val="single" w:sz="7" w:space="0" w:color="FFFFFF"/>
          <w:left w:val="single" w:sz="7" w:space="0" w:color="FFFFFF"/>
          <w:bottom w:val="single" w:sz="7" w:space="0" w:color="FFFFFF"/>
          <w:right w:val="single" w:sz="7" w:space="0" w:color="FFFFFF"/>
          <w:insideH w:val="single" w:sz="7" w:space="0" w:color="FFFFFF"/>
          <w:insideV w:val="single" w:sz="7" w:space="0" w:color="FFFFFF"/>
        </w:tblBorders>
        <w:tblLayout w:type="fixed"/>
        <w:tblCellMar>
          <w:top w:w="0" w:type="dxa"/>
          <w:left w:w="0" w:type="dxa"/>
          <w:bottom w:w="0" w:type="dxa"/>
          <w:right w:w="0" w:type="dxa"/>
        </w:tblCellMar>
        <w:tblLook w:val="01E0"/>
      </w:tblPr>
      <w:tblGrid>
        <w:gridCol w:w="4002"/>
        <w:gridCol w:w="4002"/>
        <w:gridCol w:w="3575"/>
      </w:tblGrid>
      <w:tr>
        <w:trPr>
          <w:trHeight w:val="320" w:hRule="exact"/>
        </w:trPr>
        <w:tc>
          <w:tcPr>
            <w:tcW w:w="11578" w:type="dxa"/>
            <w:gridSpan w:val="3"/>
            <w:tcBorders>
              <w:top w:val="nil"/>
              <w:left w:val="nil"/>
              <w:bottom w:val="nil"/>
              <w:right w:val="nil"/>
            </w:tcBorders>
            <w:shd w:val="clear" w:color="auto" w:fill="000000"/>
          </w:tcPr>
          <w:p>
            <w:pPr>
              <w:pStyle w:val="TableParagraph"/>
              <w:spacing w:before="27"/>
              <w:ind w:left="40"/>
              <w:rPr>
                <w:b/>
                <w:sz w:val="23"/>
              </w:rPr>
            </w:pPr>
            <w:r>
              <w:rPr>
                <w:b/>
                <w:color w:val="FFFFFF"/>
                <w:sz w:val="23"/>
              </w:rPr>
              <w:t>Velkoformátové tiskárny - specifikace</w:t>
            </w:r>
          </w:p>
        </w:tc>
      </w:tr>
      <w:tr>
        <w:trPr>
          <w:trHeight w:val="262" w:hRule="exact"/>
        </w:trPr>
        <w:tc>
          <w:tcPr>
            <w:tcW w:w="4002" w:type="dxa"/>
            <w:tcBorders>
              <w:left w:val="single" w:sz="7" w:space="0" w:color="000000"/>
              <w:bottom w:val="single" w:sz="7" w:space="0" w:color="000000"/>
              <w:right w:val="single" w:sz="7" w:space="0" w:color="000000"/>
            </w:tcBorders>
            <w:shd w:val="clear" w:color="auto" w:fill="ACB9CA"/>
          </w:tcPr>
          <w:p>
            <w:pPr>
              <w:pStyle w:val="TableParagraph"/>
              <w:spacing w:before="16"/>
              <w:rPr>
                <w:b/>
                <w:sz w:val="19"/>
              </w:rPr>
            </w:pPr>
            <w:r>
              <w:rPr>
                <w:b/>
                <w:w w:val="105"/>
                <w:sz w:val="19"/>
              </w:rPr>
              <w:t>Parametry</w:t>
            </w:r>
          </w:p>
        </w:tc>
        <w:tc>
          <w:tcPr>
            <w:tcW w:w="4002" w:type="dxa"/>
            <w:tcBorders>
              <w:left w:val="single" w:sz="7" w:space="0" w:color="000000"/>
              <w:bottom w:val="single" w:sz="7" w:space="0" w:color="000000"/>
              <w:right w:val="single" w:sz="7" w:space="0" w:color="000000"/>
            </w:tcBorders>
            <w:shd w:val="clear" w:color="auto" w:fill="ACB9CA"/>
          </w:tcPr>
          <w:p>
            <w:pPr>
              <w:pStyle w:val="TableParagraph"/>
              <w:spacing w:before="16"/>
              <w:rPr>
                <w:b/>
                <w:sz w:val="19"/>
              </w:rPr>
            </w:pPr>
            <w:r>
              <w:rPr>
                <w:b/>
                <w:w w:val="105"/>
                <w:sz w:val="19"/>
              </w:rPr>
              <w:t>Hodnoty parametrů</w:t>
            </w:r>
          </w:p>
        </w:tc>
        <w:tc>
          <w:tcPr>
            <w:tcW w:w="3575" w:type="dxa"/>
            <w:tcBorders>
              <w:left w:val="single" w:sz="7" w:space="0" w:color="000000"/>
              <w:bottom w:val="single" w:sz="7" w:space="0" w:color="000000"/>
              <w:right w:val="single" w:sz="7" w:space="0" w:color="000000"/>
            </w:tcBorders>
            <w:shd w:val="clear" w:color="auto" w:fill="ACB9CA"/>
          </w:tcPr>
          <w:p>
            <w:pPr>
              <w:pStyle w:val="TableParagraph"/>
              <w:spacing w:before="16"/>
              <w:rPr>
                <w:b/>
                <w:sz w:val="19"/>
              </w:rPr>
            </w:pPr>
            <w:r>
              <w:rPr>
                <w:b/>
                <w:w w:val="105"/>
                <w:sz w:val="19"/>
              </w:rPr>
              <w:t>Poznámka</w:t>
            </w: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Minimální potisknutelná šíře papíru</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1524 mm</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Velikost paměti</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Min 32GB</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Pevný disk</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Min 160GB</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Nativní neemulované tiskové jazyky</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HP-GL/2, HP-RTL,  CALS G4, PostScript</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Tisková technologie</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Termální inkoustový tisk</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Minimální počet inkoustových kazet</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w w:val="100"/>
                <w:sz w:val="18"/>
              </w:rPr>
              <w:t>8</w:t>
            </w:r>
          </w:p>
        </w:tc>
        <w:tc>
          <w:tcPr>
            <w:tcW w:w="3575"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včetně přímého červeného inkoustu</w:t>
            </w: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Garantovaná minimální šíře čáry</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0,070mm nebo méně</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Přesnost řádku</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*/- 0,1%</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Síťové připojení</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1000Base-T</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492"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spacing w:before="124"/>
              <w:rPr>
                <w:sz w:val="18"/>
              </w:rPr>
            </w:pPr>
            <w:r>
              <w:rPr>
                <w:sz w:val="18"/>
              </w:rPr>
              <w:t>Úpravy výstupu</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spacing w:line="268" w:lineRule="auto"/>
              <w:ind w:right="136"/>
              <w:rPr>
                <w:sz w:val="18"/>
              </w:rPr>
            </w:pPr>
            <w:r>
              <w:rPr>
                <w:sz w:val="18"/>
              </w:rPr>
              <w:t>Podávání z role, automatická řezačka, navíjecí cívka, sběrný koš</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Gramáž médií</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Minimálně do 450g/m2</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Tloušťka média</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až 0,56 mm</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Kompatibilní typy inkoustů</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Pigmentové</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492"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spacing w:before="124"/>
              <w:rPr>
                <w:sz w:val="18"/>
              </w:rPr>
            </w:pPr>
            <w:r>
              <w:rPr>
                <w:sz w:val="18"/>
              </w:rPr>
              <w:t>Integrovaný spektrofotometr</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spacing w:line="268" w:lineRule="auto"/>
              <w:ind w:right="289"/>
              <w:rPr>
                <w:sz w:val="18"/>
              </w:rPr>
            </w:pPr>
            <w:r>
              <w:rPr>
                <w:sz w:val="18"/>
              </w:rPr>
              <w:t>Snadná tvorba profilů médií a vestavěná kalibrace barev</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Rychlost tisku</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Min 130m2/h v rychlém režimu</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492"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spacing w:before="124"/>
              <w:rPr>
                <w:sz w:val="18"/>
              </w:rPr>
            </w:pPr>
            <w:r>
              <w:rPr>
                <w:sz w:val="18"/>
              </w:rPr>
              <w:t>Web rozhraní</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spacing w:line="268" w:lineRule="auto"/>
              <w:ind w:right="423"/>
              <w:rPr>
                <w:sz w:val="18"/>
              </w:rPr>
            </w:pPr>
            <w:r>
              <w:rPr>
                <w:sz w:val="18"/>
              </w:rPr>
              <w:t>Web rozhraní pro evidenci a management tisků, zadávání tisků a evidenci nákladů na tisk</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492"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spacing w:before="124"/>
              <w:rPr>
                <w:sz w:val="18"/>
              </w:rPr>
            </w:pPr>
            <w:r>
              <w:rPr>
                <w:sz w:val="18"/>
              </w:rPr>
              <w:t>Evidence nákladů a log tisků</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spacing w:line="268" w:lineRule="auto"/>
              <w:ind w:right="242"/>
              <w:rPr>
                <w:sz w:val="18"/>
              </w:rPr>
            </w:pPr>
            <w:r>
              <w:rPr>
                <w:sz w:val="18"/>
              </w:rPr>
              <w:t>Log vytištěných úloh, možnost sledování nákladů a účtováíní vytištěných úloh a export do Excelu</w:t>
            </w:r>
          </w:p>
        </w:tc>
        <w:tc>
          <w:tcPr>
            <w:tcW w:w="3575" w:type="dxa"/>
            <w:tcBorders>
              <w:top w:val="single" w:sz="7" w:space="0" w:color="000000"/>
              <w:left w:val="single" w:sz="7" w:space="0" w:color="000000"/>
              <w:bottom w:val="single" w:sz="7" w:space="0" w:color="000000"/>
              <w:right w:val="single" w:sz="7" w:space="0" w:color="000000"/>
            </w:tcBorders>
          </w:tcPr>
          <w:p>
            <w:pPr/>
          </w:p>
        </w:tc>
      </w:tr>
      <w:tr>
        <w:trPr>
          <w:trHeight w:val="246" w:hRule="exact"/>
        </w:trPr>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Záruka</w:t>
            </w:r>
          </w:p>
        </w:tc>
        <w:tc>
          <w:tcPr>
            <w:tcW w:w="4002" w:type="dxa"/>
            <w:tcBorders>
              <w:top w:val="single" w:sz="7" w:space="0" w:color="000000"/>
              <w:left w:val="single" w:sz="7" w:space="0" w:color="000000"/>
              <w:bottom w:val="single" w:sz="7" w:space="0" w:color="000000"/>
              <w:right w:val="single" w:sz="7" w:space="0" w:color="000000"/>
            </w:tcBorders>
          </w:tcPr>
          <w:p>
            <w:pPr>
              <w:pStyle w:val="TableParagraph"/>
              <w:rPr>
                <w:sz w:val="18"/>
              </w:rPr>
            </w:pPr>
            <w:r>
              <w:rPr>
                <w:sz w:val="18"/>
              </w:rPr>
              <w:t>3 roky NBD on-site</w:t>
            </w:r>
          </w:p>
        </w:tc>
        <w:tc>
          <w:tcPr>
            <w:tcW w:w="3575" w:type="dxa"/>
            <w:tcBorders>
              <w:top w:val="single" w:sz="7" w:space="0" w:color="000000"/>
              <w:left w:val="single" w:sz="7" w:space="0" w:color="000000"/>
              <w:bottom w:val="single" w:sz="7" w:space="0" w:color="000000"/>
              <w:right w:val="single" w:sz="7" w:space="0" w:color="000000"/>
            </w:tcBorders>
          </w:tcPr>
          <w:p>
            <w:pPr/>
          </w:p>
        </w:tc>
      </w:tr>
    </w:tbl>
    <w:p>
      <w:pPr>
        <w:pStyle w:val="BodyText"/>
        <w:spacing w:before="0"/>
        <w:ind w:left="0"/>
        <w:rPr>
          <w:rFonts w:ascii="Times New Roman"/>
          <w:sz w:val="20"/>
        </w:rPr>
      </w:pPr>
    </w:p>
    <w:p>
      <w:pPr>
        <w:pStyle w:val="BodyText"/>
        <w:spacing w:before="1"/>
        <w:ind w:left="0"/>
        <w:rPr>
          <w:rFonts w:ascii="Times New Roman"/>
          <w:sz w:val="24"/>
        </w:rPr>
      </w:pPr>
    </w:p>
    <w:p>
      <w:pPr>
        <w:spacing w:before="0"/>
        <w:ind w:left="153" w:right="0" w:firstLine="0"/>
        <w:jc w:val="left"/>
        <w:rPr>
          <w:b/>
          <w:sz w:val="18"/>
        </w:rPr>
      </w:pPr>
      <w:r>
        <w:rPr>
          <w:b/>
          <w:sz w:val="18"/>
        </w:rPr>
        <w:t>Dodávka pro každou ze 3 tiskáren musí obsahovat:</w:t>
      </w:r>
    </w:p>
    <w:p>
      <w:pPr>
        <w:pStyle w:val="ListParagraph"/>
        <w:numPr>
          <w:ilvl w:val="0"/>
          <w:numId w:val="1"/>
        </w:numPr>
        <w:tabs>
          <w:tab w:pos="250" w:val="left" w:leader="none"/>
        </w:tabs>
        <w:spacing w:line="240" w:lineRule="auto" w:before="26" w:after="0"/>
        <w:ind w:left="249" w:right="0" w:hanging="96"/>
        <w:jc w:val="left"/>
        <w:rPr>
          <w:sz w:val="18"/>
        </w:rPr>
      </w:pPr>
      <w:r>
        <w:rPr>
          <w:sz w:val="18"/>
        </w:rPr>
        <w:t>stojan pro</w:t>
      </w:r>
      <w:r>
        <w:rPr>
          <w:spacing w:val="2"/>
          <w:sz w:val="18"/>
        </w:rPr>
        <w:t> </w:t>
      </w:r>
      <w:r>
        <w:rPr>
          <w:sz w:val="18"/>
        </w:rPr>
        <w:t>tiskárnu</w:t>
      </w:r>
    </w:p>
    <w:p>
      <w:pPr>
        <w:pStyle w:val="ListParagraph"/>
        <w:numPr>
          <w:ilvl w:val="0"/>
          <w:numId w:val="1"/>
        </w:numPr>
        <w:tabs>
          <w:tab w:pos="250" w:val="left" w:leader="none"/>
        </w:tabs>
        <w:spacing w:line="240" w:lineRule="auto" w:before="26" w:after="0"/>
        <w:ind w:left="249" w:right="0" w:hanging="96"/>
        <w:jc w:val="left"/>
        <w:rPr>
          <w:sz w:val="18"/>
        </w:rPr>
      </w:pPr>
      <w:r>
        <w:rPr>
          <w:sz w:val="18"/>
        </w:rPr>
        <w:t>sběrný koš na potisknutý papír pro celou šíři</w:t>
      </w:r>
      <w:r>
        <w:rPr>
          <w:spacing w:val="7"/>
          <w:sz w:val="18"/>
        </w:rPr>
        <w:t> </w:t>
      </w:r>
      <w:r>
        <w:rPr>
          <w:sz w:val="18"/>
        </w:rPr>
        <w:t>tisku</w:t>
      </w:r>
    </w:p>
    <w:p>
      <w:pPr>
        <w:pStyle w:val="ListParagraph"/>
        <w:numPr>
          <w:ilvl w:val="0"/>
          <w:numId w:val="1"/>
        </w:numPr>
        <w:tabs>
          <w:tab w:pos="250" w:val="left" w:leader="none"/>
        </w:tabs>
        <w:spacing w:line="240" w:lineRule="auto" w:before="26" w:after="0"/>
        <w:ind w:left="249" w:right="0" w:hanging="96"/>
        <w:jc w:val="left"/>
        <w:rPr>
          <w:sz w:val="18"/>
        </w:rPr>
      </w:pPr>
      <w:r>
        <w:rPr>
          <w:sz w:val="18"/>
        </w:rPr>
        <w:t>tiskárnu</w:t>
      </w:r>
    </w:p>
    <w:p>
      <w:pPr>
        <w:pStyle w:val="ListParagraph"/>
        <w:numPr>
          <w:ilvl w:val="0"/>
          <w:numId w:val="1"/>
        </w:numPr>
        <w:tabs>
          <w:tab w:pos="250" w:val="left" w:leader="none"/>
        </w:tabs>
        <w:spacing w:line="240" w:lineRule="auto" w:before="26" w:after="0"/>
        <w:ind w:left="249" w:right="0" w:hanging="96"/>
        <w:jc w:val="left"/>
        <w:rPr>
          <w:sz w:val="18"/>
        </w:rPr>
      </w:pPr>
      <w:r>
        <w:rPr>
          <w:sz w:val="18"/>
        </w:rPr>
        <w:t>startovací sadu inkoustů a tiskových hlav na otestování</w:t>
      </w:r>
      <w:r>
        <w:rPr>
          <w:spacing w:val="9"/>
          <w:sz w:val="18"/>
        </w:rPr>
        <w:t> </w:t>
      </w:r>
      <w:r>
        <w:rPr>
          <w:sz w:val="18"/>
        </w:rPr>
        <w:t>tisku</w:t>
      </w:r>
    </w:p>
    <w:p>
      <w:pPr>
        <w:pStyle w:val="ListParagraph"/>
        <w:numPr>
          <w:ilvl w:val="0"/>
          <w:numId w:val="1"/>
        </w:numPr>
        <w:tabs>
          <w:tab w:pos="250" w:val="left" w:leader="none"/>
        </w:tabs>
        <w:spacing w:line="240" w:lineRule="auto" w:before="26" w:after="0"/>
        <w:ind w:left="249" w:right="0" w:hanging="96"/>
        <w:jc w:val="left"/>
        <w:rPr>
          <w:sz w:val="18"/>
        </w:rPr>
      </w:pPr>
      <w:r>
        <w:rPr>
          <w:sz w:val="18"/>
        </w:rPr>
        <w:t>prodlouženou záruku na</w:t>
      </w:r>
      <w:r>
        <w:rPr>
          <w:spacing w:val="5"/>
          <w:sz w:val="18"/>
        </w:rPr>
        <w:t> </w:t>
      </w:r>
      <w:r>
        <w:rPr>
          <w:sz w:val="18"/>
        </w:rPr>
        <w:t>tiskárnu</w:t>
      </w:r>
    </w:p>
    <w:p>
      <w:pPr>
        <w:pStyle w:val="BodyText"/>
        <w:spacing w:before="3"/>
        <w:ind w:left="0"/>
        <w:rPr>
          <w:sz w:val="22"/>
        </w:rPr>
      </w:pPr>
    </w:p>
    <w:p>
      <w:pPr>
        <w:pStyle w:val="BodyText"/>
        <w:spacing w:before="0"/>
        <w:ind w:left="153"/>
      </w:pPr>
      <w:r>
        <w:rPr/>
        <w:t>Dodavatel zajistí optimalizaci tiskových výstupů z sw ArcGIS Editor (ESRI), AutoCAD (Autodesk) a Microstation (Bentley).</w:t>
      </w:r>
    </w:p>
    <w:p>
      <w:pPr>
        <w:pStyle w:val="BodyText"/>
        <w:spacing w:before="25"/>
        <w:ind w:left="153"/>
      </w:pPr>
      <w:r>
        <w:rPr/>
        <w:t>Dodavatel dále zajistí nastavení dodávaných tiskáren na stejnou barevnost, jako mají předchozí modely HP DJ Z6200 v prostředí zadavatele.</w:t>
      </w:r>
    </w:p>
    <w:p>
      <w:pPr>
        <w:pStyle w:val="BodyText"/>
        <w:spacing w:line="268" w:lineRule="auto" w:before="25"/>
        <w:ind w:left="153" w:right="1840"/>
      </w:pPr>
      <w:r>
        <w:rPr/>
        <w:t>Tisk musí odpovídat vzorníku barev pro jednotlivé technické plochy GIS výkresů. Dodavatel zajistí instalaci tiskáren na zadavatelem určené místo včetně integrace do prostředí zadavatele. Tím se rozumí připojení do sítě, nastavení sítě ve spolupráci s IT administrátory zadavatele a připojení + konfigurace pro již existující printservery zadavatele. Součástí dodávky je také zaškolení obsluhy za účelem nastavení a základní diagnostiky tiskáren, základní údržby, výměny hlav a inkoustů, kalibrace a nastavování barevnosti.</w:t>
      </w:r>
    </w:p>
    <w:sectPr>
      <w:type w:val="continuous"/>
      <w:pgSz w:w="16840" w:h="11900" w:orient="landscape"/>
      <w:pgMar w:top="1060" w:bottom="280" w:left="880" w:right="2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49" w:hanging="97"/>
      </w:pPr>
      <w:rPr>
        <w:rFonts w:hint="default" w:ascii="Calibri" w:hAnsi="Calibri" w:eastAsia="Calibri" w:cs="Calibri"/>
        <w:w w:val="100"/>
        <w:sz w:val="18"/>
        <w:szCs w:val="18"/>
      </w:rPr>
    </w:lvl>
    <w:lvl w:ilvl="1">
      <w:start w:val="0"/>
      <w:numFmt w:val="bullet"/>
      <w:lvlText w:val="•"/>
      <w:lvlJc w:val="left"/>
      <w:pPr>
        <w:ind w:left="1570" w:hanging="97"/>
      </w:pPr>
      <w:rPr>
        <w:rFonts w:hint="default"/>
      </w:rPr>
    </w:lvl>
    <w:lvl w:ilvl="2">
      <w:start w:val="0"/>
      <w:numFmt w:val="bullet"/>
      <w:lvlText w:val="•"/>
      <w:lvlJc w:val="left"/>
      <w:pPr>
        <w:ind w:left="2900" w:hanging="97"/>
      </w:pPr>
      <w:rPr>
        <w:rFonts w:hint="default"/>
      </w:rPr>
    </w:lvl>
    <w:lvl w:ilvl="3">
      <w:start w:val="0"/>
      <w:numFmt w:val="bullet"/>
      <w:lvlText w:val="•"/>
      <w:lvlJc w:val="left"/>
      <w:pPr>
        <w:ind w:left="4230" w:hanging="97"/>
      </w:pPr>
      <w:rPr>
        <w:rFonts w:hint="default"/>
      </w:rPr>
    </w:lvl>
    <w:lvl w:ilvl="4">
      <w:start w:val="0"/>
      <w:numFmt w:val="bullet"/>
      <w:lvlText w:val="•"/>
      <w:lvlJc w:val="left"/>
      <w:pPr>
        <w:ind w:left="5560" w:hanging="97"/>
      </w:pPr>
      <w:rPr>
        <w:rFonts w:hint="default"/>
      </w:rPr>
    </w:lvl>
    <w:lvl w:ilvl="5">
      <w:start w:val="0"/>
      <w:numFmt w:val="bullet"/>
      <w:lvlText w:val="•"/>
      <w:lvlJc w:val="left"/>
      <w:pPr>
        <w:ind w:left="6890" w:hanging="97"/>
      </w:pPr>
      <w:rPr>
        <w:rFonts w:hint="default"/>
      </w:rPr>
    </w:lvl>
    <w:lvl w:ilvl="6">
      <w:start w:val="0"/>
      <w:numFmt w:val="bullet"/>
      <w:lvlText w:val="•"/>
      <w:lvlJc w:val="left"/>
      <w:pPr>
        <w:ind w:left="8220" w:hanging="97"/>
      </w:pPr>
      <w:rPr>
        <w:rFonts w:hint="default"/>
      </w:rPr>
    </w:lvl>
    <w:lvl w:ilvl="7">
      <w:start w:val="0"/>
      <w:numFmt w:val="bullet"/>
      <w:lvlText w:val="•"/>
      <w:lvlJc w:val="left"/>
      <w:pPr>
        <w:ind w:left="9550" w:hanging="97"/>
      </w:pPr>
      <w:rPr>
        <w:rFonts w:hint="default"/>
      </w:rPr>
    </w:lvl>
    <w:lvl w:ilvl="8">
      <w:start w:val="0"/>
      <w:numFmt w:val="bullet"/>
      <w:lvlText w:val="•"/>
      <w:lvlJc w:val="left"/>
      <w:pPr>
        <w:ind w:left="10880" w:hanging="9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26"/>
      <w:ind w:left="249"/>
    </w:pPr>
    <w:rPr>
      <w:rFonts w:ascii="Calibri" w:hAnsi="Calibri" w:eastAsia="Calibri" w:cs="Calibri"/>
      <w:sz w:val="18"/>
      <w:szCs w:val="18"/>
    </w:rPr>
  </w:style>
  <w:style w:styleId="ListParagraph" w:type="paragraph">
    <w:name w:val="List Paragraph"/>
    <w:basedOn w:val="Normal"/>
    <w:uiPriority w:val="1"/>
    <w:qFormat/>
    <w:pPr>
      <w:spacing w:before="26"/>
      <w:ind w:left="249" w:hanging="96"/>
    </w:pPr>
    <w:rPr>
      <w:rFonts w:ascii="Calibri" w:hAnsi="Calibri" w:eastAsia="Calibri" w:cs="Calibri"/>
    </w:rPr>
  </w:style>
  <w:style w:styleId="TableParagraph" w:type="paragraph">
    <w:name w:val="Table Paragraph"/>
    <w:basedOn w:val="Normal"/>
    <w:uiPriority w:val="1"/>
    <w:qFormat/>
    <w:pPr>
      <w:spacing w:before="9"/>
      <w:ind w:left="32"/>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2017-09-13T09:09:24Z</dcterms:created>
  <dcterms:modified xsi:type="dcterms:W3CDTF">2017-09-13T09:09:24Z</dcterms:modified>
</cp:coreProperties>
</file>