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75777D5E"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313A58">
        <w:rPr>
          <w:rFonts w:ascii="Times New Roman" w:hAnsi="Times New Roman"/>
          <w:b/>
          <w:bCs/>
          <w:sz w:val="24"/>
          <w:szCs w:val="24"/>
          <w:lang w:eastAsia="cs-CZ"/>
        </w:rPr>
        <w:t>4</w:t>
      </w:r>
      <w:r w:rsidR="00862032">
        <w:rPr>
          <w:rFonts w:ascii="Times New Roman" w:hAnsi="Times New Roman"/>
          <w:b/>
          <w:bCs/>
          <w:sz w:val="24"/>
          <w:szCs w:val="24"/>
          <w:lang w:eastAsia="cs-CZ"/>
        </w:rPr>
        <w:t>0</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607091">
        <w:rPr>
          <w:rFonts w:ascii="Times New Roman" w:hAnsi="Times New Roman"/>
          <w:b/>
          <w:bCs/>
          <w:sz w:val="24"/>
          <w:szCs w:val="24"/>
          <w:lang w:eastAsia="cs-CZ"/>
        </w:rPr>
        <w:t>1</w:t>
      </w:r>
      <w:r w:rsidR="00862032">
        <w:rPr>
          <w:rFonts w:ascii="Times New Roman" w:hAnsi="Times New Roman"/>
          <w:b/>
          <w:bCs/>
          <w:sz w:val="24"/>
          <w:szCs w:val="24"/>
          <w:lang w:eastAsia="cs-CZ"/>
        </w:rPr>
        <w:t>40</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630B2964" w14:textId="15512529" w:rsidR="0054326C" w:rsidRPr="00B45E5F" w:rsidRDefault="0054326C" w:rsidP="00862032">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14537D93" w14:textId="7AAADA08" w:rsidR="00700F05" w:rsidRPr="00D5350B" w:rsidRDefault="00700F05" w:rsidP="00862032">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33B0AF69"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607091">
        <w:rPr>
          <w:rFonts w:ascii="Times New Roman" w:hAnsi="Times New Roman"/>
          <w:b/>
          <w:bCs/>
          <w:sz w:val="24"/>
          <w:szCs w:val="24"/>
        </w:rPr>
        <w:t>1</w:t>
      </w:r>
      <w:r w:rsidR="00313A58">
        <w:rPr>
          <w:rFonts w:ascii="Times New Roman" w:hAnsi="Times New Roman"/>
          <w:b/>
          <w:bCs/>
          <w:sz w:val="24"/>
          <w:szCs w:val="24"/>
        </w:rPr>
        <w:t>40</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Pr>
          <w:rFonts w:ascii="Times New Roman" w:hAnsi="Times New Roman"/>
          <w:sz w:val="24"/>
          <w:szCs w:val="24"/>
        </w:rPr>
        <w:t xml:space="preserve"> </w:t>
      </w:r>
      <w:r w:rsidR="00296D61">
        <w:rPr>
          <w:rFonts w:ascii="Times New Roman" w:hAnsi="Times New Roman"/>
          <w:b/>
          <w:bCs/>
          <w:sz w:val="24"/>
          <w:szCs w:val="24"/>
        </w:rPr>
        <w:t>8</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(dále 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t xml:space="preserve">„Pronajímatel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w:t>
      </w:r>
      <w:r w:rsidRPr="00AD0278">
        <w:rPr>
          <w:rFonts w:ascii="Times New Roman" w:hAnsi="Times New Roman" w:cs="Times New Roman"/>
          <w:iCs/>
          <w:sz w:val="24"/>
          <w:szCs w:val="24"/>
        </w:rPr>
        <w:lastRenderedPageBreak/>
        <w:t>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w:t>
      </w:r>
      <w:r w:rsidRPr="00D5350B">
        <w:rPr>
          <w:rFonts w:ascii="Times New Roman" w:eastAsia="Times New Roman" w:hAnsi="Times New Roman" w:cs="Times New Roman"/>
          <w:sz w:val="24"/>
          <w:szCs w:val="24"/>
        </w:rPr>
        <w:lastRenderedPageBreak/>
        <w:t xml:space="preserve">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w:t>
      </w:r>
      <w:proofErr w:type="spellStart"/>
      <w:r w:rsidR="00E42B71">
        <w:rPr>
          <w:rFonts w:ascii="Times New Roman" w:eastAsia="Times New Roman" w:hAnsi="Times New Roman" w:cs="Times New Roman"/>
          <w:sz w:val="24"/>
          <w:szCs w:val="24"/>
        </w:rPr>
        <w:t>Usn</w:t>
      </w:r>
      <w:proofErr w:type="spellEnd"/>
      <w:r w:rsidR="00E42B71">
        <w:rPr>
          <w:rFonts w:ascii="Times New Roman" w:eastAsia="Times New Roman" w:hAnsi="Times New Roman" w:cs="Times New Roman"/>
          <w:sz w:val="24"/>
          <w:szCs w:val="24"/>
        </w:rPr>
        <w:t>.</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7CC1" w14:textId="77777777" w:rsidR="00202C4C" w:rsidRDefault="00202C4C">
      <w:pPr>
        <w:spacing w:after="0" w:line="240" w:lineRule="auto"/>
      </w:pPr>
      <w:r>
        <w:separator/>
      </w:r>
    </w:p>
  </w:endnote>
  <w:endnote w:type="continuationSeparator" w:id="0">
    <w:p w14:paraId="39346A45" w14:textId="77777777" w:rsidR="00202C4C" w:rsidRDefault="0020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B234" w14:textId="77777777" w:rsidR="00202C4C" w:rsidRDefault="00202C4C">
      <w:pPr>
        <w:spacing w:after="0" w:line="240" w:lineRule="auto"/>
      </w:pPr>
      <w:r>
        <w:separator/>
      </w:r>
    </w:p>
  </w:footnote>
  <w:footnote w:type="continuationSeparator" w:id="0">
    <w:p w14:paraId="517E00F2" w14:textId="77777777" w:rsidR="00202C4C" w:rsidRDefault="00202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45644"/>
    <w:rsid w:val="00081A3F"/>
    <w:rsid w:val="000F026E"/>
    <w:rsid w:val="00124E99"/>
    <w:rsid w:val="00143974"/>
    <w:rsid w:val="00202C4C"/>
    <w:rsid w:val="00264FE1"/>
    <w:rsid w:val="00296D61"/>
    <w:rsid w:val="002C2EB8"/>
    <w:rsid w:val="002D56A9"/>
    <w:rsid w:val="00313A58"/>
    <w:rsid w:val="003951FC"/>
    <w:rsid w:val="003A7205"/>
    <w:rsid w:val="00410A96"/>
    <w:rsid w:val="004412E8"/>
    <w:rsid w:val="00500825"/>
    <w:rsid w:val="005056E1"/>
    <w:rsid w:val="00510A6B"/>
    <w:rsid w:val="0054326C"/>
    <w:rsid w:val="005C63D9"/>
    <w:rsid w:val="00607091"/>
    <w:rsid w:val="0065784E"/>
    <w:rsid w:val="00674780"/>
    <w:rsid w:val="006F3768"/>
    <w:rsid w:val="006F44D3"/>
    <w:rsid w:val="00700F05"/>
    <w:rsid w:val="00732950"/>
    <w:rsid w:val="00757B0A"/>
    <w:rsid w:val="00761F23"/>
    <w:rsid w:val="008016CB"/>
    <w:rsid w:val="00844F70"/>
    <w:rsid w:val="008460EB"/>
    <w:rsid w:val="00862032"/>
    <w:rsid w:val="008A089B"/>
    <w:rsid w:val="008A7E35"/>
    <w:rsid w:val="008F395A"/>
    <w:rsid w:val="00936ECA"/>
    <w:rsid w:val="009E5E37"/>
    <w:rsid w:val="00A00D86"/>
    <w:rsid w:val="00AC3CEA"/>
    <w:rsid w:val="00AC511E"/>
    <w:rsid w:val="00AD0278"/>
    <w:rsid w:val="00B915DD"/>
    <w:rsid w:val="00B94FE8"/>
    <w:rsid w:val="00BB7B84"/>
    <w:rsid w:val="00C11D84"/>
    <w:rsid w:val="00C74AA6"/>
    <w:rsid w:val="00CA1044"/>
    <w:rsid w:val="00D94AF6"/>
    <w:rsid w:val="00E31F0E"/>
    <w:rsid w:val="00E42B71"/>
    <w:rsid w:val="00E6429E"/>
    <w:rsid w:val="00ED7076"/>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2250</Words>
  <Characters>13277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4</cp:revision>
  <cp:lastPrinted>2025-12-07T12:28:00Z</cp:lastPrinted>
  <dcterms:created xsi:type="dcterms:W3CDTF">2025-12-07T12:28:00Z</dcterms:created>
  <dcterms:modified xsi:type="dcterms:W3CDTF">2025-12-16T12:22:00Z</dcterms:modified>
</cp:coreProperties>
</file>