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3FBD" w14:textId="77777777" w:rsidR="00285E8C" w:rsidRDefault="00000000">
      <w:pPr>
        <w:pStyle w:val="Zkladntext40"/>
        <w:shd w:val="clear" w:color="auto" w:fill="auto"/>
      </w:pPr>
      <w:r>
        <w:t>PŘÍKAZNÍ SMLOUVA</w:t>
      </w:r>
    </w:p>
    <w:p w14:paraId="715211E5" w14:textId="3C35DD2F" w:rsidR="00285E8C" w:rsidRDefault="00000000">
      <w:pPr>
        <w:pStyle w:val="Zkladntext30"/>
        <w:shd w:val="clear" w:color="auto" w:fill="auto"/>
        <w:rPr>
          <w:sz w:val="22"/>
          <w:szCs w:val="22"/>
        </w:rPr>
      </w:pPr>
      <w:r>
        <w:t>č. 7611/25/</w:t>
      </w:r>
      <w:proofErr w:type="gramStart"/>
      <w:r>
        <w:t>UV,V</w:t>
      </w:r>
      <w:proofErr w:type="gramEnd"/>
      <w:r>
        <w:t xml:space="preserve"> </w:t>
      </w:r>
      <w:r w:rsidR="001706CC">
        <w:t xml:space="preserve">                       </w:t>
      </w:r>
      <w:r>
        <w:rPr>
          <w:rFonts w:ascii="Arial" w:eastAsia="Arial" w:hAnsi="Arial" w:cs="Arial"/>
          <w:sz w:val="22"/>
          <w:szCs w:val="22"/>
        </w:rPr>
        <w:t>210/2025</w:t>
      </w:r>
    </w:p>
    <w:p w14:paraId="74856F08" w14:textId="77777777" w:rsidR="00285E8C" w:rsidRDefault="00000000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(</w:t>
      </w:r>
      <w:r>
        <w:t xml:space="preserve">dále jen </w:t>
      </w:r>
      <w:r>
        <w:rPr>
          <w:b/>
          <w:bCs/>
        </w:rPr>
        <w:t>„Smlouva“)</w:t>
      </w:r>
    </w:p>
    <w:p w14:paraId="3E017506" w14:textId="77777777" w:rsidR="00285E8C" w:rsidRDefault="00000000">
      <w:pPr>
        <w:pStyle w:val="Zkladntext1"/>
        <w:shd w:val="clear" w:color="auto" w:fill="auto"/>
        <w:spacing w:after="260"/>
        <w:jc w:val="center"/>
      </w:pPr>
      <w:r>
        <w:t>uzavřená podle ustanovení § 2430 a násl. zákona č. 89/2012 Sb., občanský zákoník, mezi</w:t>
      </w:r>
      <w:r>
        <w:br/>
        <w:t>následujícími smluvními stranami:</w:t>
      </w:r>
    </w:p>
    <w:p w14:paraId="58F34F67" w14:textId="77777777" w:rsidR="00285E8C" w:rsidRDefault="00000000">
      <w:pPr>
        <w:pStyle w:val="Zkladntext1"/>
        <w:shd w:val="clear" w:color="auto" w:fill="auto"/>
        <w:spacing w:after="260"/>
      </w:pPr>
      <w:r>
        <w:t>příkazce:</w:t>
      </w:r>
    </w:p>
    <w:p w14:paraId="093A15A9" w14:textId="77777777" w:rsidR="00285E8C" w:rsidRDefault="00000000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 xml:space="preserve">Národní centrum zemědělského a potravinářského výzkumu, </w:t>
      </w:r>
      <w:proofErr w:type="spellStart"/>
      <w:r>
        <w:t>v.v.i</w:t>
      </w:r>
      <w:proofErr w:type="spellEnd"/>
      <w:r>
        <w:t>.</w:t>
      </w:r>
      <w:bookmarkEnd w:id="0"/>
      <w:bookmarkEnd w:id="1"/>
    </w:p>
    <w:p w14:paraId="145DB5CF" w14:textId="77777777" w:rsidR="00285E8C" w:rsidRDefault="00000000">
      <w:pPr>
        <w:pStyle w:val="Zkladntext1"/>
        <w:shd w:val="clear" w:color="auto" w:fill="auto"/>
      </w:pPr>
      <w:r>
        <w:t>Sídlo: Drnovská 507/73, 161 00 Praha 6 - Ruzyně</w:t>
      </w:r>
    </w:p>
    <w:p w14:paraId="6A148FA0" w14:textId="77777777" w:rsidR="00285E8C" w:rsidRDefault="00000000">
      <w:pPr>
        <w:pStyle w:val="Zkladntext1"/>
        <w:shd w:val="clear" w:color="auto" w:fill="auto"/>
      </w:pPr>
      <w:r>
        <w:t>IČ: 00027006</w:t>
      </w:r>
    </w:p>
    <w:p w14:paraId="31D6EDA1" w14:textId="77777777" w:rsidR="00285E8C" w:rsidRDefault="00000000">
      <w:pPr>
        <w:pStyle w:val="Zkladntext1"/>
        <w:shd w:val="clear" w:color="auto" w:fill="auto"/>
      </w:pPr>
      <w:r>
        <w:t>DIČ: CZ 00027006</w:t>
      </w:r>
    </w:p>
    <w:p w14:paraId="1D6700AC" w14:textId="77777777" w:rsidR="00285E8C" w:rsidRDefault="00000000">
      <w:pPr>
        <w:pStyle w:val="Zkladntext1"/>
        <w:shd w:val="clear" w:color="auto" w:fill="auto"/>
        <w:spacing w:after="260"/>
      </w:pPr>
      <w:r>
        <w:t>zastoupen: Ing. Jiban Kumar, Ph.D., ředitel</w:t>
      </w:r>
    </w:p>
    <w:p w14:paraId="13918F65" w14:textId="77777777" w:rsidR="00285E8C" w:rsidRDefault="00000000">
      <w:pPr>
        <w:pStyle w:val="Zkladntext1"/>
        <w:shd w:val="clear" w:color="auto" w:fill="auto"/>
        <w:spacing w:after="260"/>
      </w:pPr>
      <w:r>
        <w:t xml:space="preserve">na jedné straně (dále jen </w:t>
      </w:r>
      <w:r>
        <w:rPr>
          <w:b/>
          <w:bCs/>
        </w:rPr>
        <w:t>"Klient"</w:t>
      </w:r>
      <w:r>
        <w:t>)</w:t>
      </w:r>
    </w:p>
    <w:p w14:paraId="5236BF0D" w14:textId="77777777" w:rsidR="00285E8C" w:rsidRDefault="00000000">
      <w:pPr>
        <w:pStyle w:val="Zkladntext1"/>
        <w:shd w:val="clear" w:color="auto" w:fill="auto"/>
        <w:spacing w:after="260"/>
      </w:pPr>
      <w:r>
        <w:t>a</w:t>
      </w:r>
    </w:p>
    <w:p w14:paraId="194C39C1" w14:textId="77777777" w:rsidR="00285E8C" w:rsidRDefault="00000000">
      <w:pPr>
        <w:pStyle w:val="Zkladntext1"/>
        <w:shd w:val="clear" w:color="auto" w:fill="auto"/>
        <w:spacing w:after="260"/>
      </w:pPr>
      <w:r>
        <w:t>příkazník:</w:t>
      </w:r>
    </w:p>
    <w:p w14:paraId="1C506766" w14:textId="77777777" w:rsidR="00285E8C" w:rsidRDefault="00000000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proofErr w:type="spellStart"/>
      <w:r>
        <w:t>artpatent</w:t>
      </w:r>
      <w:proofErr w:type="spellEnd"/>
      <w:r>
        <w:t>, advokátní kancelář s.r.o.</w:t>
      </w:r>
      <w:bookmarkEnd w:id="2"/>
      <w:bookmarkEnd w:id="3"/>
    </w:p>
    <w:p w14:paraId="539B7611" w14:textId="77777777" w:rsidR="00285E8C" w:rsidRDefault="00000000">
      <w:pPr>
        <w:pStyle w:val="Zkladntext1"/>
        <w:shd w:val="clear" w:color="auto" w:fill="auto"/>
      </w:pPr>
      <w:r>
        <w:t>společnost zapsaná v obchodním rejstříku vedeném u Městského soudu v Praze, oddíl C, vložka 235181 Sídlo: Dukelských hrdinů 976/12, Holešovice, 170 00 Praha 7 IČO: 03636372 DIČ: CZ 03636372</w:t>
      </w:r>
    </w:p>
    <w:p w14:paraId="0E0D44FE" w14:textId="77777777" w:rsidR="00285E8C" w:rsidRDefault="00000000">
      <w:pPr>
        <w:pStyle w:val="Zkladntext1"/>
        <w:shd w:val="clear" w:color="auto" w:fill="auto"/>
        <w:spacing w:after="260"/>
      </w:pPr>
      <w:r>
        <w:t>zastoupen: Mgr. Tomáš Bejček, jednatel společnosti</w:t>
      </w:r>
    </w:p>
    <w:p w14:paraId="2E1C7D72" w14:textId="77777777" w:rsidR="00285E8C" w:rsidRDefault="00000000">
      <w:pPr>
        <w:pStyle w:val="Zkladntext1"/>
        <w:shd w:val="clear" w:color="auto" w:fill="auto"/>
        <w:spacing w:after="540"/>
      </w:pPr>
      <w:r>
        <w:t xml:space="preserve">na druhé straně (dále jen </w:t>
      </w:r>
      <w:r>
        <w:rPr>
          <w:b/>
          <w:bCs/>
        </w:rPr>
        <w:t>"</w:t>
      </w:r>
      <w:proofErr w:type="spellStart"/>
      <w:r>
        <w:rPr>
          <w:b/>
          <w:bCs/>
        </w:rPr>
        <w:t>artpatent</w:t>
      </w:r>
      <w:proofErr w:type="spellEnd"/>
      <w:r>
        <w:rPr>
          <w:b/>
          <w:bCs/>
        </w:rPr>
        <w:t>"</w:t>
      </w:r>
      <w:r>
        <w:t>)</w:t>
      </w:r>
    </w:p>
    <w:p w14:paraId="16054899" w14:textId="77777777" w:rsidR="00285E8C" w:rsidRDefault="00000000">
      <w:pPr>
        <w:pStyle w:val="Zkladntext1"/>
        <w:shd w:val="clear" w:color="auto" w:fill="auto"/>
        <w:spacing w:after="260"/>
        <w:jc w:val="center"/>
      </w:pPr>
      <w:r>
        <w:t xml:space="preserve">t a k t </w:t>
      </w:r>
      <w:proofErr w:type="gramStart"/>
      <w:r>
        <w:t>o :</w:t>
      </w:r>
      <w:proofErr w:type="gramEnd"/>
    </w:p>
    <w:p w14:paraId="63BEC250" w14:textId="77777777" w:rsidR="00285E8C" w:rsidRDefault="00000000">
      <w:pPr>
        <w:pStyle w:val="Nadpis30"/>
        <w:keepNext/>
        <w:keepLines/>
        <w:shd w:val="clear" w:color="auto" w:fill="auto"/>
        <w:spacing w:after="260"/>
        <w:jc w:val="center"/>
      </w:pPr>
      <w:bookmarkStart w:id="4" w:name="bookmark4"/>
      <w:bookmarkStart w:id="5" w:name="bookmark5"/>
      <w:r>
        <w:t>I.</w:t>
      </w:r>
      <w:bookmarkEnd w:id="4"/>
      <w:bookmarkEnd w:id="5"/>
    </w:p>
    <w:p w14:paraId="283161C3" w14:textId="77777777" w:rsidR="00285E8C" w:rsidRDefault="00000000">
      <w:pPr>
        <w:pStyle w:val="Zkladntext1"/>
        <w:shd w:val="clear" w:color="auto" w:fill="auto"/>
        <w:spacing w:after="320" w:line="276" w:lineRule="auto"/>
      </w:pPr>
      <w:proofErr w:type="spellStart"/>
      <w:r>
        <w:t>artpatent</w:t>
      </w:r>
      <w:proofErr w:type="spellEnd"/>
      <w:r>
        <w:t xml:space="preserve"> se zavazuje pro Klienta provést zpracování, podání a zastoupení přihlášky vynálezu a souběžné přihlášky užitného vzoru o názvu „Nástroj pro precizní odběr vzorků půd“ (pracovní název) v ČR, bez rešerše, včetně zajištění úhrady potřebných správních poplatků Úřadu průmyslového vlastnictví (dále též „Úřad). Vyobrazení výrobku a jednoduchý popis dodá Klient.</w:t>
      </w:r>
    </w:p>
    <w:p w14:paraId="0980427F" w14:textId="77777777" w:rsidR="00285E8C" w:rsidRDefault="00000000">
      <w:pPr>
        <w:pStyle w:val="Zkladntext1"/>
        <w:shd w:val="clear" w:color="auto" w:fill="auto"/>
        <w:spacing w:after="160"/>
      </w:pPr>
      <w:r>
        <w:t>Klient prohlašuje, že původci užitného vzoru jsou:</w:t>
      </w:r>
    </w:p>
    <w:p w14:paraId="1883AEA6" w14:textId="3F079197" w:rsidR="00285E8C" w:rsidRDefault="00000000">
      <w:pPr>
        <w:pStyle w:val="Zkladntext1"/>
        <w:shd w:val="clear" w:color="auto" w:fill="auto"/>
      </w:pPr>
      <w:r>
        <w:t xml:space="preserve">Ing. </w:t>
      </w:r>
    </w:p>
    <w:p w14:paraId="0ECFC5BD" w14:textId="0DF12ED7" w:rsidR="00285E8C" w:rsidRDefault="00000000">
      <w:pPr>
        <w:pStyle w:val="Zkladntext1"/>
        <w:shd w:val="clear" w:color="auto" w:fill="auto"/>
        <w:spacing w:after="260"/>
      </w:pPr>
      <w:r>
        <w:t xml:space="preserve">Ing. </w:t>
      </w:r>
      <w:r>
        <w:br w:type="page"/>
      </w:r>
    </w:p>
    <w:p w14:paraId="53E19650" w14:textId="77777777" w:rsidR="00285E8C" w:rsidRDefault="00000000">
      <w:pPr>
        <w:pStyle w:val="Nadpis30"/>
        <w:keepNext/>
        <w:keepLines/>
        <w:shd w:val="clear" w:color="auto" w:fill="auto"/>
        <w:spacing w:after="260"/>
        <w:jc w:val="center"/>
      </w:pPr>
      <w:bookmarkStart w:id="6" w:name="bookmark6"/>
      <w:bookmarkStart w:id="7" w:name="bookmark7"/>
      <w:r>
        <w:lastRenderedPageBreak/>
        <w:t>II.</w:t>
      </w:r>
      <w:bookmarkEnd w:id="6"/>
      <w:bookmarkEnd w:id="7"/>
    </w:p>
    <w:p w14:paraId="10504CD0" w14:textId="77777777" w:rsidR="00285E8C" w:rsidRDefault="00000000">
      <w:pPr>
        <w:pStyle w:val="Zkladntext1"/>
        <w:shd w:val="clear" w:color="auto" w:fill="auto"/>
        <w:spacing w:after="300" w:line="276" w:lineRule="auto"/>
        <w:jc w:val="both"/>
      </w:pPr>
      <w:r>
        <w:t xml:space="preserve">Za splnění výše uvedené činnosti přísluší </w:t>
      </w:r>
      <w:proofErr w:type="spellStart"/>
      <w:r>
        <w:t>artpatentu</w:t>
      </w:r>
      <w:proofErr w:type="spellEnd"/>
      <w:r>
        <w:t xml:space="preserve"> smluvní odměna za jednotlivé odborné úkony, za věcné zpracování, a rovněž náhrada hotových výdajů dle přiložené kalkulace. Vyúčtování je splatné do 14 dnů po obdržení faktury </w:t>
      </w:r>
      <w:proofErr w:type="spellStart"/>
      <w:r>
        <w:t>artpatentu</w:t>
      </w:r>
      <w:proofErr w:type="spellEnd"/>
      <w:r>
        <w:t xml:space="preserve">. Při neobdržení úhrady v termínu splatnosti není </w:t>
      </w:r>
      <w:proofErr w:type="spellStart"/>
      <w:r>
        <w:t>artpatent</w:t>
      </w:r>
      <w:proofErr w:type="spellEnd"/>
      <w:r>
        <w:t xml:space="preserve"> povinen hradit správní poplatky ve stanovených úředních lhůtách.</w:t>
      </w:r>
    </w:p>
    <w:p w14:paraId="739F818E" w14:textId="77777777" w:rsidR="00285E8C" w:rsidRDefault="00000000">
      <w:pPr>
        <w:pStyle w:val="Nadpis30"/>
        <w:keepNext/>
        <w:keepLines/>
        <w:shd w:val="clear" w:color="auto" w:fill="auto"/>
        <w:spacing w:after="260" w:line="276" w:lineRule="auto"/>
        <w:jc w:val="center"/>
      </w:pPr>
      <w:bookmarkStart w:id="8" w:name="bookmark8"/>
      <w:bookmarkStart w:id="9" w:name="bookmark9"/>
      <w:r>
        <w:t>III.</w:t>
      </w:r>
      <w:bookmarkEnd w:id="8"/>
      <w:bookmarkEnd w:id="9"/>
    </w:p>
    <w:p w14:paraId="493A150E" w14:textId="77777777" w:rsidR="00285E8C" w:rsidRDefault="00000000">
      <w:pPr>
        <w:pStyle w:val="Zkladntext1"/>
        <w:shd w:val="clear" w:color="auto" w:fill="auto"/>
        <w:spacing w:after="260" w:line="276" w:lineRule="auto"/>
        <w:jc w:val="both"/>
      </w:pPr>
      <w:r>
        <w:t xml:space="preserve">Smluvní strany si veškeré pokyny a informace (s výjimkou originálů) předávají výlučně prostřednictvím písemné elektronické komunikace na níže uvedené e-mailové adresy a prostřednictvím níže uvedených kontaktních osob. Případnou změnu e-mailové adresy nebo kontaktní osoby je Klient povinen oznámit </w:t>
      </w:r>
      <w:proofErr w:type="spellStart"/>
      <w:r>
        <w:t>artpatentu</w:t>
      </w:r>
      <w:proofErr w:type="spellEnd"/>
      <w:r>
        <w:t xml:space="preserve"> bez zbytečného odkladu. Neučiní-li tak Klient, jde to k jeho tíži a </w:t>
      </w:r>
      <w:proofErr w:type="spellStart"/>
      <w:r>
        <w:t>artpatent</w:t>
      </w:r>
      <w:proofErr w:type="spellEnd"/>
      <w:r>
        <w:t xml:space="preserve"> v takovém případě nenese žádnou odpovědnost.</w:t>
      </w:r>
    </w:p>
    <w:p w14:paraId="54468649" w14:textId="77777777" w:rsidR="00285E8C" w:rsidRDefault="00000000">
      <w:pPr>
        <w:pStyle w:val="Nadpis30"/>
        <w:keepNext/>
        <w:keepLines/>
        <w:shd w:val="clear" w:color="auto" w:fill="auto"/>
        <w:spacing w:line="276" w:lineRule="auto"/>
        <w:jc w:val="both"/>
      </w:pPr>
      <w:bookmarkStart w:id="10" w:name="bookmark10"/>
      <w:bookmarkStart w:id="11" w:name="bookmark11"/>
      <w:r>
        <w:t>Kontaktní osoba Klienta:</w:t>
      </w:r>
      <w:bookmarkEnd w:id="10"/>
      <w:bookmarkEnd w:id="11"/>
    </w:p>
    <w:p w14:paraId="309A944F" w14:textId="1C403FF0" w:rsidR="00285E8C" w:rsidRDefault="00000000">
      <w:pPr>
        <w:pStyle w:val="Zkladntext1"/>
        <w:shd w:val="clear" w:color="auto" w:fill="auto"/>
        <w:spacing w:line="276" w:lineRule="auto"/>
        <w:jc w:val="both"/>
      </w:pPr>
      <w:r>
        <w:t xml:space="preserve">jméno: </w:t>
      </w:r>
    </w:p>
    <w:p w14:paraId="353862DB" w14:textId="69644854" w:rsidR="00285E8C" w:rsidRDefault="00000000">
      <w:pPr>
        <w:pStyle w:val="Zkladntext1"/>
        <w:shd w:val="clear" w:color="auto" w:fill="auto"/>
        <w:spacing w:after="260" w:line="276" w:lineRule="auto"/>
        <w:jc w:val="both"/>
      </w:pPr>
      <w:r>
        <w:t>e-m</w:t>
      </w:r>
      <w:r w:rsidR="005D199E">
        <w:t xml:space="preserve">ail: </w:t>
      </w:r>
    </w:p>
    <w:p w14:paraId="4F354253" w14:textId="77777777" w:rsidR="00285E8C" w:rsidRDefault="00000000">
      <w:pPr>
        <w:pStyle w:val="Nadpis30"/>
        <w:keepNext/>
        <w:keepLines/>
        <w:shd w:val="clear" w:color="auto" w:fill="auto"/>
        <w:spacing w:line="276" w:lineRule="auto"/>
        <w:jc w:val="both"/>
      </w:pPr>
      <w:bookmarkStart w:id="12" w:name="bookmark12"/>
      <w:bookmarkStart w:id="13" w:name="bookmark13"/>
      <w:r>
        <w:t xml:space="preserve">Kontaktní osoby </w:t>
      </w:r>
      <w:proofErr w:type="spellStart"/>
      <w:r>
        <w:t>artpatentu</w:t>
      </w:r>
      <w:proofErr w:type="spellEnd"/>
      <w:r>
        <w:t>:</w:t>
      </w:r>
      <w:bookmarkEnd w:id="12"/>
      <w:bookmarkEnd w:id="13"/>
    </w:p>
    <w:p w14:paraId="493E5107" w14:textId="0736B652" w:rsidR="00285E8C" w:rsidRDefault="00000000">
      <w:pPr>
        <w:pStyle w:val="Zkladntext1"/>
        <w:shd w:val="clear" w:color="auto" w:fill="auto"/>
        <w:spacing w:line="276" w:lineRule="auto"/>
        <w:jc w:val="both"/>
      </w:pPr>
      <w:r>
        <w:t xml:space="preserve">jméno: </w:t>
      </w:r>
    </w:p>
    <w:p w14:paraId="76B76271" w14:textId="5022F0CA" w:rsidR="00285E8C" w:rsidRDefault="00000000">
      <w:pPr>
        <w:pStyle w:val="Zkladntext1"/>
        <w:shd w:val="clear" w:color="auto" w:fill="auto"/>
        <w:spacing w:after="260" w:line="276" w:lineRule="auto"/>
      </w:pPr>
      <w:r>
        <w:t xml:space="preserve">e-mail: </w:t>
      </w:r>
      <w:r w:rsidR="005D199E">
        <w:t xml:space="preserve"> </w:t>
      </w:r>
    </w:p>
    <w:p w14:paraId="74486E47" w14:textId="77777777" w:rsidR="00285E8C" w:rsidRDefault="00000000">
      <w:pPr>
        <w:pStyle w:val="Nadpis30"/>
        <w:keepNext/>
        <w:keepLines/>
        <w:shd w:val="clear" w:color="auto" w:fill="auto"/>
        <w:spacing w:after="260" w:line="276" w:lineRule="auto"/>
        <w:jc w:val="center"/>
      </w:pPr>
      <w:bookmarkStart w:id="14" w:name="bookmark14"/>
      <w:bookmarkStart w:id="15" w:name="bookmark15"/>
      <w:r>
        <w:t>IV.</w:t>
      </w:r>
      <w:bookmarkEnd w:id="14"/>
      <w:bookmarkEnd w:id="15"/>
    </w:p>
    <w:p w14:paraId="19BB82EC" w14:textId="77777777" w:rsidR="00285E8C" w:rsidRDefault="00000000">
      <w:pPr>
        <w:pStyle w:val="Zkladntext1"/>
        <w:shd w:val="clear" w:color="auto" w:fill="auto"/>
        <w:jc w:val="both"/>
        <w:sectPr w:rsidR="00285E8C">
          <w:pgSz w:w="11900" w:h="16840"/>
          <w:pgMar w:top="1398" w:right="1374" w:bottom="2091" w:left="1367" w:header="970" w:footer="1663" w:gutter="0"/>
          <w:pgNumType w:start="1"/>
          <w:cols w:space="720"/>
          <w:noEndnote/>
          <w:docGrid w:linePitch="360"/>
        </w:sectPr>
      </w:pPr>
      <w:r>
        <w:t>Tato smlouva je vyhotovena po jednom (1) vyhotovení pro každou ze Smluvních stran. Nedílnou součástí této Smlouvy je příloha č. 1 „Kalkulace nákladů ke Smlouvě“. Klient souhlasí se skartací klientského spisu po uplynutí 5 let od jeho ukončení.</w:t>
      </w:r>
    </w:p>
    <w:p w14:paraId="499A4537" w14:textId="77777777" w:rsidR="00285E8C" w:rsidRDefault="00285E8C">
      <w:pPr>
        <w:spacing w:line="240" w:lineRule="exact"/>
        <w:rPr>
          <w:sz w:val="19"/>
          <w:szCs w:val="19"/>
        </w:rPr>
      </w:pPr>
    </w:p>
    <w:p w14:paraId="3E5E32A3" w14:textId="77777777" w:rsidR="00285E8C" w:rsidRDefault="00285E8C">
      <w:pPr>
        <w:spacing w:line="240" w:lineRule="exact"/>
        <w:rPr>
          <w:sz w:val="19"/>
          <w:szCs w:val="19"/>
        </w:rPr>
      </w:pPr>
    </w:p>
    <w:p w14:paraId="3EC96105" w14:textId="77777777" w:rsidR="00285E8C" w:rsidRDefault="00285E8C">
      <w:pPr>
        <w:spacing w:before="49" w:after="49" w:line="240" w:lineRule="exact"/>
        <w:rPr>
          <w:sz w:val="19"/>
          <w:szCs w:val="19"/>
        </w:rPr>
      </w:pPr>
    </w:p>
    <w:p w14:paraId="4E9BD36F" w14:textId="77777777" w:rsidR="00285E8C" w:rsidRDefault="00285E8C">
      <w:pPr>
        <w:spacing w:line="1" w:lineRule="exact"/>
        <w:sectPr w:rsidR="00285E8C">
          <w:type w:val="continuous"/>
          <w:pgSz w:w="11900" w:h="16840"/>
          <w:pgMar w:top="2036" w:right="0" w:bottom="2412" w:left="0" w:header="0" w:footer="3" w:gutter="0"/>
          <w:cols w:space="720"/>
          <w:noEndnote/>
          <w:docGrid w:linePitch="360"/>
        </w:sectPr>
      </w:pPr>
    </w:p>
    <w:p w14:paraId="4B0B2244" w14:textId="77777777" w:rsidR="00285E8C" w:rsidRDefault="00000000">
      <w:pPr>
        <w:pStyle w:val="Zkladntext1"/>
        <w:framePr w:w="1819" w:h="1656" w:wrap="none" w:vAnchor="text" w:hAnchor="page" w:x="1306" w:y="21"/>
        <w:shd w:val="clear" w:color="auto" w:fill="auto"/>
        <w:spacing w:after="380"/>
      </w:pPr>
      <w:r>
        <w:t>V Praze, dne ....</w:t>
      </w:r>
    </w:p>
    <w:p w14:paraId="052E557C" w14:textId="28014BB6" w:rsidR="00285E8C" w:rsidRDefault="00285E8C">
      <w:pPr>
        <w:pStyle w:val="Nadpis20"/>
        <w:keepNext/>
        <w:keepLines/>
        <w:framePr w:w="1819" w:h="1656" w:wrap="none" w:vAnchor="text" w:hAnchor="page" w:x="1306" w:y="21"/>
        <w:shd w:val="clear" w:color="auto" w:fill="auto"/>
      </w:pPr>
    </w:p>
    <w:p w14:paraId="5D923429" w14:textId="77777777" w:rsidR="00285E8C" w:rsidRDefault="00000000">
      <w:pPr>
        <w:pStyle w:val="Zkladntext1"/>
        <w:framePr w:w="2683" w:h="317" w:wrap="none" w:vAnchor="text" w:hAnchor="page" w:x="6341" w:y="21"/>
        <w:shd w:val="clear" w:color="auto" w:fill="auto"/>
        <w:tabs>
          <w:tab w:val="left" w:leader="dot" w:pos="2606"/>
        </w:tabs>
      </w:pPr>
      <w:r>
        <w:t xml:space="preserve">V Praze dne </w:t>
      </w:r>
      <w:r>
        <w:tab/>
      </w:r>
    </w:p>
    <w:p w14:paraId="4CE7F8FD" w14:textId="77777777" w:rsidR="00285E8C" w:rsidRDefault="00000000">
      <w:pPr>
        <w:pStyle w:val="Zkladntext20"/>
        <w:framePr w:w="2050" w:h="1080" w:wrap="none" w:vAnchor="text" w:hAnchor="page" w:x="3408" w:y="668"/>
        <w:shd w:val="clear" w:color="auto" w:fill="auto"/>
        <w:spacing w:line="286" w:lineRule="auto"/>
      </w:pPr>
      <w:r>
        <w:t>Digitálně podepsal</w:t>
      </w:r>
    </w:p>
    <w:p w14:paraId="7A47D18E" w14:textId="77777777" w:rsidR="00285E8C" w:rsidRDefault="00000000">
      <w:pPr>
        <w:pStyle w:val="Zkladntext20"/>
        <w:framePr w:w="2050" w:h="1080" w:wrap="none" w:vAnchor="text" w:hAnchor="page" w:x="3408" w:y="668"/>
        <w:shd w:val="clear" w:color="auto" w:fill="auto"/>
        <w:spacing w:line="286" w:lineRule="auto"/>
      </w:pPr>
      <w:r>
        <w:t xml:space="preserve">Ing. Jiban Kumar, </w:t>
      </w:r>
      <w:proofErr w:type="gramStart"/>
      <w:r>
        <w:t>Ph.D</w:t>
      </w:r>
      <w:proofErr w:type="gramEnd"/>
      <w:r>
        <w:t xml:space="preserve"> Datum: 2025.12.12 11:59:07+01'00'</w:t>
      </w:r>
    </w:p>
    <w:p w14:paraId="303F3803" w14:textId="07C55EAC" w:rsidR="00285E8C" w:rsidRDefault="00285E8C">
      <w:pPr>
        <w:pStyle w:val="Nadpis20"/>
        <w:keepNext/>
        <w:keepLines/>
        <w:framePr w:w="826" w:h="523" w:wrap="none" w:vAnchor="text" w:hAnchor="page" w:x="6303" w:y="323"/>
        <w:shd w:val="clear" w:color="auto" w:fill="auto"/>
      </w:pPr>
    </w:p>
    <w:p w14:paraId="045495A6" w14:textId="7A8AEF18" w:rsidR="00285E8C" w:rsidRDefault="00285E8C">
      <w:pPr>
        <w:pStyle w:val="Nadpis20"/>
        <w:keepNext/>
        <w:keepLines/>
        <w:framePr w:w="1181" w:h="418" w:wrap="none" w:vAnchor="text" w:hAnchor="page" w:x="6288" w:y="851"/>
        <w:shd w:val="clear" w:color="auto" w:fill="auto"/>
      </w:pPr>
    </w:p>
    <w:p w14:paraId="3BFDAA84" w14:textId="5BC81E48" w:rsidR="00285E8C" w:rsidRDefault="00285E8C">
      <w:pPr>
        <w:pStyle w:val="Nadpis20"/>
        <w:keepNext/>
        <w:keepLines/>
        <w:framePr w:w="1162" w:h="523" w:wrap="none" w:vAnchor="text" w:hAnchor="page" w:x="6312" w:y="1273"/>
        <w:shd w:val="clear" w:color="auto" w:fill="auto"/>
      </w:pPr>
    </w:p>
    <w:p w14:paraId="0D83600D" w14:textId="77777777" w:rsidR="00285E8C" w:rsidRDefault="00000000">
      <w:pPr>
        <w:pStyle w:val="Zkladntext20"/>
        <w:framePr w:w="1834" w:h="1152" w:wrap="none" w:vAnchor="text" w:hAnchor="page" w:x="8189" w:y="539"/>
        <w:shd w:val="clear" w:color="auto" w:fill="auto"/>
        <w:spacing w:line="305" w:lineRule="auto"/>
        <w:jc w:val="both"/>
      </w:pPr>
      <w:r>
        <w:t>Digitálně podepsal Mgr. Tomáš Bejček Datum: 2025.12.15 08:51:26 +01'00'</w:t>
      </w:r>
    </w:p>
    <w:p w14:paraId="04087AE3" w14:textId="77777777" w:rsidR="00285E8C" w:rsidRDefault="00285E8C">
      <w:pPr>
        <w:spacing w:line="360" w:lineRule="exact"/>
      </w:pPr>
    </w:p>
    <w:p w14:paraId="545F17BA" w14:textId="77777777" w:rsidR="00285E8C" w:rsidRDefault="00285E8C">
      <w:pPr>
        <w:spacing w:line="360" w:lineRule="exact"/>
      </w:pPr>
    </w:p>
    <w:p w14:paraId="5F1E1C6D" w14:textId="77777777" w:rsidR="00285E8C" w:rsidRDefault="00285E8C">
      <w:pPr>
        <w:spacing w:line="360" w:lineRule="exact"/>
      </w:pPr>
    </w:p>
    <w:p w14:paraId="213563FB" w14:textId="77777777" w:rsidR="00285E8C" w:rsidRDefault="00285E8C">
      <w:pPr>
        <w:spacing w:after="714" w:line="1" w:lineRule="exact"/>
      </w:pPr>
    </w:p>
    <w:p w14:paraId="18495A9E" w14:textId="77777777" w:rsidR="00285E8C" w:rsidRDefault="00285E8C">
      <w:pPr>
        <w:spacing w:line="1" w:lineRule="exact"/>
        <w:sectPr w:rsidR="00285E8C">
          <w:type w:val="continuous"/>
          <w:pgSz w:w="11900" w:h="16840"/>
          <w:pgMar w:top="2036" w:right="1377" w:bottom="2412" w:left="1301" w:header="0" w:footer="3" w:gutter="0"/>
          <w:cols w:space="720"/>
          <w:noEndnote/>
          <w:docGrid w:linePitch="360"/>
        </w:sectPr>
      </w:pPr>
    </w:p>
    <w:p w14:paraId="51262F59" w14:textId="77777777" w:rsidR="00285E8C" w:rsidRDefault="00000000">
      <w:pPr>
        <w:pStyle w:val="Zkladntext1"/>
        <w:shd w:val="clear" w:color="auto" w:fill="auto"/>
      </w:pPr>
      <w:r>
        <w:t>Ing. Jiban Kumar, Ph.D., ředitel</w:t>
      </w:r>
    </w:p>
    <w:p w14:paraId="40F33BE7" w14:textId="77777777" w:rsidR="00285E8C" w:rsidRDefault="00000000">
      <w:pPr>
        <w:pStyle w:val="Zkladntext1"/>
        <w:shd w:val="clear" w:color="auto" w:fill="auto"/>
        <w:sectPr w:rsidR="00285E8C">
          <w:type w:val="continuous"/>
          <w:pgSz w:w="11900" w:h="16840"/>
          <w:pgMar w:top="2036" w:right="2702" w:bottom="2036" w:left="1373" w:header="0" w:footer="3" w:gutter="0"/>
          <w:cols w:num="2" w:space="720" w:equalWidth="0">
            <w:col w:w="3149" w:space="1819"/>
            <w:col w:w="2856"/>
          </w:cols>
          <w:noEndnote/>
          <w:docGrid w:linePitch="360"/>
        </w:sectPr>
      </w:pPr>
      <w:r>
        <w:t>Mgr. Tomáš Bejček, jednatel</w:t>
      </w:r>
    </w:p>
    <w:p w14:paraId="4E4DED33" w14:textId="77777777" w:rsidR="00285E8C" w:rsidRDefault="00285E8C">
      <w:pPr>
        <w:rPr>
          <w:sz w:val="2"/>
          <w:szCs w:val="2"/>
        </w:rPr>
        <w:sectPr w:rsidR="00285E8C">
          <w:type w:val="continuous"/>
          <w:pgSz w:w="11900" w:h="16840"/>
          <w:pgMar w:top="2036" w:right="2702" w:bottom="2036" w:left="1373" w:header="0" w:footer="3" w:gutter="0"/>
          <w:cols w:num="2" w:space="720" w:equalWidth="0">
            <w:col w:w="3149" w:space="1819"/>
            <w:col w:w="2856"/>
          </w:cols>
          <w:noEndnote/>
          <w:docGrid w:linePitch="360"/>
        </w:sectPr>
      </w:pPr>
    </w:p>
    <w:p w14:paraId="1E91A707" w14:textId="77777777" w:rsidR="00285E8C" w:rsidRDefault="00000000">
      <w:pPr>
        <w:pStyle w:val="Zkladntext1"/>
        <w:framePr w:w="4205" w:h="317" w:wrap="none" w:hAnchor="page" w:x="6285" w:y="1"/>
        <w:shd w:val="clear" w:color="auto" w:fill="auto"/>
      </w:pPr>
      <w:r>
        <w:rPr>
          <w:b/>
          <w:bCs/>
        </w:rPr>
        <w:lastRenderedPageBreak/>
        <w:t>Příloha č. 1 ke Smlouvě č. 7611/25/</w:t>
      </w:r>
      <w:proofErr w:type="gramStart"/>
      <w:r>
        <w:rPr>
          <w:b/>
          <w:bCs/>
        </w:rPr>
        <w:t>UV,V</w:t>
      </w:r>
      <w:proofErr w:type="gramEnd"/>
    </w:p>
    <w:p w14:paraId="54C187CA" w14:textId="77777777" w:rsidR="00285E8C" w:rsidRDefault="00000000">
      <w:pPr>
        <w:pStyle w:val="Nadpis10"/>
        <w:keepNext/>
        <w:keepLines/>
        <w:framePr w:w="2582" w:h="658" w:wrap="none" w:hAnchor="page" w:x="4633" w:y="702"/>
        <w:shd w:val="clear" w:color="auto" w:fill="auto"/>
      </w:pPr>
      <w:bookmarkStart w:id="16" w:name="bookmark24"/>
      <w:bookmarkStart w:id="17" w:name="bookmark25"/>
      <w:proofErr w:type="spellStart"/>
      <w:r>
        <w:t>artpatent</w:t>
      </w:r>
      <w:proofErr w:type="spellEnd"/>
      <w:r>
        <w:t>.</w:t>
      </w:r>
      <w:bookmarkEnd w:id="16"/>
      <w:bookmarkEnd w:id="17"/>
    </w:p>
    <w:p w14:paraId="1F833ED4" w14:textId="77777777" w:rsidR="00285E8C" w:rsidRDefault="00000000">
      <w:pPr>
        <w:pStyle w:val="Zkladntext1"/>
        <w:framePr w:w="4579" w:h="878" w:wrap="none" w:hAnchor="page" w:x="1379" w:y="1681"/>
        <w:shd w:val="clear" w:color="auto" w:fill="auto"/>
        <w:spacing w:after="260"/>
      </w:pPr>
      <w:r>
        <w:rPr>
          <w:u w:val="single"/>
        </w:rPr>
        <w:t>Přihláška vynálezu s žádostí o udělení patentu</w:t>
      </w:r>
    </w:p>
    <w:p w14:paraId="090E1AD1" w14:textId="77777777" w:rsidR="00285E8C" w:rsidRDefault="00000000">
      <w:pPr>
        <w:pStyle w:val="Nadpis30"/>
        <w:keepNext/>
        <w:keepLines/>
        <w:framePr w:w="4579" w:h="878" w:wrap="none" w:hAnchor="page" w:x="1379" w:y="1681"/>
        <w:shd w:val="clear" w:color="auto" w:fill="auto"/>
        <w:ind w:firstLine="420"/>
      </w:pPr>
      <w:bookmarkStart w:id="18" w:name="bookmark26"/>
      <w:bookmarkStart w:id="19" w:name="bookmark27"/>
      <w:r>
        <w:t>1. FÁZE (splatná při podání přihlášky)</w:t>
      </w:r>
      <w:r>
        <w:rPr>
          <w:b w:val="0"/>
          <w:bCs w:val="0"/>
        </w:rPr>
        <w:t>:</w:t>
      </w:r>
      <w:bookmarkEnd w:id="18"/>
      <w:bookmarkEnd w:id="19"/>
    </w:p>
    <w:p w14:paraId="7D27888F" w14:textId="77777777" w:rsidR="00285E8C" w:rsidRDefault="00000000">
      <w:pPr>
        <w:pStyle w:val="Zkladntext1"/>
        <w:framePr w:w="7358" w:h="2050" w:wrap="none" w:hAnchor="page" w:x="1374" w:y="2804"/>
        <w:numPr>
          <w:ilvl w:val="0"/>
          <w:numId w:val="1"/>
        </w:numPr>
        <w:shd w:val="clear" w:color="auto" w:fill="auto"/>
        <w:tabs>
          <w:tab w:val="left" w:pos="432"/>
        </w:tabs>
      </w:pPr>
      <w:r>
        <w:t>podání přihlášky vynálezu a zastoupení</w:t>
      </w:r>
    </w:p>
    <w:p w14:paraId="70AEBE79" w14:textId="77777777" w:rsidR="00285E8C" w:rsidRDefault="00000000">
      <w:pPr>
        <w:pStyle w:val="Zkladntext1"/>
        <w:framePr w:w="7358" w:h="2050" w:wrap="none" w:hAnchor="page" w:x="1374" w:y="2804"/>
        <w:numPr>
          <w:ilvl w:val="0"/>
          <w:numId w:val="1"/>
        </w:numPr>
        <w:shd w:val="clear" w:color="auto" w:fill="auto"/>
        <w:tabs>
          <w:tab w:val="left" w:pos="432"/>
        </w:tabs>
      </w:pPr>
      <w:r>
        <w:t>podání žádosti o úplný průzkum</w:t>
      </w:r>
    </w:p>
    <w:p w14:paraId="7ACE10C7" w14:textId="77777777" w:rsidR="00285E8C" w:rsidRDefault="00000000">
      <w:pPr>
        <w:pStyle w:val="Zkladntext1"/>
        <w:framePr w:w="7358" w:h="2050" w:wrap="none" w:hAnchor="page" w:x="1374" w:y="2804"/>
        <w:numPr>
          <w:ilvl w:val="0"/>
          <w:numId w:val="1"/>
        </w:numPr>
        <w:shd w:val="clear" w:color="auto" w:fill="auto"/>
        <w:tabs>
          <w:tab w:val="left" w:pos="427"/>
        </w:tabs>
      </w:pPr>
      <w:r>
        <w:t>věcné zpracování a úpravy popisu a patentových nároků</w:t>
      </w:r>
    </w:p>
    <w:p w14:paraId="4E66A6FE" w14:textId="77777777" w:rsidR="00285E8C" w:rsidRDefault="00000000">
      <w:pPr>
        <w:pStyle w:val="Zkladntext1"/>
        <w:framePr w:w="7358" w:h="2050" w:wrap="none" w:hAnchor="page" w:x="1374" w:y="2804"/>
        <w:numPr>
          <w:ilvl w:val="0"/>
          <w:numId w:val="1"/>
        </w:numPr>
        <w:shd w:val="clear" w:color="auto" w:fill="auto"/>
        <w:tabs>
          <w:tab w:val="left" w:pos="442"/>
        </w:tabs>
        <w:ind w:left="440" w:hanging="440"/>
      </w:pPr>
      <w:r>
        <w:t xml:space="preserve">správní poplatek ÚPV za podání přihlášky vynálezu </w:t>
      </w:r>
      <w:r>
        <w:rPr>
          <w:b/>
          <w:bCs/>
        </w:rPr>
        <w:t xml:space="preserve">se slevou 20 % </w:t>
      </w:r>
      <w:r>
        <w:t>(nepodléhá DPH)</w:t>
      </w:r>
    </w:p>
    <w:p w14:paraId="53212C20" w14:textId="77777777" w:rsidR="00285E8C" w:rsidRDefault="00000000">
      <w:pPr>
        <w:pStyle w:val="Zkladntext1"/>
        <w:framePr w:w="7358" w:h="2050" w:wrap="none" w:hAnchor="page" w:x="1374" w:y="2804"/>
        <w:numPr>
          <w:ilvl w:val="0"/>
          <w:numId w:val="1"/>
        </w:numPr>
        <w:shd w:val="clear" w:color="auto" w:fill="auto"/>
        <w:tabs>
          <w:tab w:val="left" w:pos="442"/>
        </w:tabs>
        <w:ind w:left="440" w:hanging="440"/>
      </w:pPr>
      <w:r>
        <w:t xml:space="preserve">správní poplatek ÚPV za provedení úplného průzkumu </w:t>
      </w:r>
      <w:r>
        <w:rPr>
          <w:b/>
          <w:bCs/>
        </w:rPr>
        <w:t xml:space="preserve">se slevou 20 % </w:t>
      </w:r>
      <w:r>
        <w:t xml:space="preserve">(nepodléhá DPH) - </w:t>
      </w:r>
      <w:r>
        <w:rPr>
          <w:i/>
          <w:iCs/>
        </w:rPr>
        <w:t>plus 500,- Kč za 11. a každý další patentový nárok</w:t>
      </w:r>
    </w:p>
    <w:p w14:paraId="3AA696E6" w14:textId="77777777" w:rsidR="00285E8C" w:rsidRDefault="00000000">
      <w:pPr>
        <w:pStyle w:val="Zkladntext1"/>
        <w:framePr w:w="1229" w:h="2045" w:wrap="none" w:hAnchor="page" w:x="9294" w:y="2799"/>
        <w:shd w:val="clear" w:color="auto" w:fill="auto"/>
      </w:pPr>
      <w:proofErr w:type="gramStart"/>
      <w:r>
        <w:t>4.800,-</w:t>
      </w:r>
      <w:proofErr w:type="gramEnd"/>
      <w:r>
        <w:t xml:space="preserve"> Kč</w:t>
      </w:r>
    </w:p>
    <w:p w14:paraId="23F7D624" w14:textId="77777777" w:rsidR="00285E8C" w:rsidRDefault="00000000">
      <w:pPr>
        <w:pStyle w:val="Zkladntext1"/>
        <w:framePr w:w="1229" w:h="2045" w:wrap="none" w:hAnchor="page" w:x="9294" w:y="2799"/>
        <w:shd w:val="clear" w:color="auto" w:fill="auto"/>
      </w:pPr>
      <w:proofErr w:type="gramStart"/>
      <w:r>
        <w:t>1.500,-</w:t>
      </w:r>
      <w:proofErr w:type="gramEnd"/>
      <w:r>
        <w:t xml:space="preserve"> Kč</w:t>
      </w:r>
    </w:p>
    <w:p w14:paraId="75DEDBB9" w14:textId="77777777" w:rsidR="00285E8C" w:rsidRDefault="00000000">
      <w:pPr>
        <w:pStyle w:val="Zkladntext1"/>
        <w:framePr w:w="1229" w:h="2045" w:wrap="none" w:hAnchor="page" w:x="9294" w:y="2799"/>
        <w:shd w:val="clear" w:color="auto" w:fill="auto"/>
        <w:spacing w:after="280"/>
        <w:jc w:val="right"/>
      </w:pPr>
      <w:proofErr w:type="gramStart"/>
      <w:r>
        <w:t>27.000,-</w:t>
      </w:r>
      <w:proofErr w:type="gramEnd"/>
      <w:r>
        <w:t xml:space="preserve"> Kč</w:t>
      </w:r>
    </w:p>
    <w:p w14:paraId="01A02E57" w14:textId="77777777" w:rsidR="00285E8C" w:rsidRDefault="00000000">
      <w:pPr>
        <w:pStyle w:val="Zkladntext1"/>
        <w:framePr w:w="1229" w:h="2045" w:wrap="none" w:hAnchor="page" w:x="9294" w:y="2799"/>
        <w:shd w:val="clear" w:color="auto" w:fill="auto"/>
        <w:spacing w:after="280"/>
        <w:ind w:firstLine="320"/>
        <w:jc w:val="both"/>
      </w:pPr>
      <w:r>
        <w:t>960,- Kč</w:t>
      </w:r>
    </w:p>
    <w:p w14:paraId="791E62E5" w14:textId="77777777" w:rsidR="00285E8C" w:rsidRDefault="00000000">
      <w:pPr>
        <w:pStyle w:val="Zkladntext1"/>
        <w:framePr w:w="1229" w:h="2045" w:wrap="none" w:hAnchor="page" w:x="9294" w:y="2799"/>
        <w:shd w:val="clear" w:color="auto" w:fill="auto"/>
        <w:spacing w:after="140"/>
      </w:pPr>
      <w:proofErr w:type="gramStart"/>
      <w:r>
        <w:t>2.400,-</w:t>
      </w:r>
      <w:proofErr w:type="gramEnd"/>
      <w:r>
        <w:t xml:space="preserve"> Kč</w:t>
      </w:r>
    </w:p>
    <w:p w14:paraId="1DC4DA3D" w14:textId="77777777" w:rsidR="00285E8C" w:rsidRDefault="00000000">
      <w:pPr>
        <w:pStyle w:val="Zkladntext1"/>
        <w:framePr w:w="1834" w:h="869" w:wrap="none" w:hAnchor="page" w:x="6333" w:y="4859"/>
        <w:shd w:val="clear" w:color="auto" w:fill="auto"/>
      </w:pPr>
      <w:r>
        <w:rPr>
          <w:b/>
          <w:bCs/>
        </w:rPr>
        <w:t>Celkem bez DPH</w:t>
      </w:r>
    </w:p>
    <w:p w14:paraId="23F51C85" w14:textId="77777777" w:rsidR="00285E8C" w:rsidRDefault="00000000">
      <w:pPr>
        <w:pStyle w:val="Zkladntext1"/>
        <w:framePr w:w="1834" w:h="869" w:wrap="none" w:hAnchor="page" w:x="6333" w:y="4859"/>
        <w:shd w:val="clear" w:color="auto" w:fill="auto"/>
      </w:pPr>
      <w:r>
        <w:rPr>
          <w:b/>
          <w:bCs/>
        </w:rPr>
        <w:t>DPH 21 %</w:t>
      </w:r>
    </w:p>
    <w:p w14:paraId="0D53E34D" w14:textId="77777777" w:rsidR="00285E8C" w:rsidRDefault="00000000">
      <w:pPr>
        <w:pStyle w:val="Zkladntext1"/>
        <w:framePr w:w="1834" w:h="869" w:wrap="none" w:hAnchor="page" w:x="6333" w:y="4859"/>
        <w:shd w:val="clear" w:color="auto" w:fill="auto"/>
      </w:pPr>
      <w:r>
        <w:rPr>
          <w:b/>
          <w:bCs/>
        </w:rPr>
        <w:t>Celkem s DPH</w:t>
      </w:r>
    </w:p>
    <w:p w14:paraId="6643B14D" w14:textId="77777777" w:rsidR="00285E8C" w:rsidRDefault="00000000">
      <w:pPr>
        <w:pStyle w:val="Zkladntext1"/>
        <w:framePr w:w="1229" w:h="869" w:wrap="none" w:hAnchor="page" w:x="9294" w:y="4859"/>
        <w:shd w:val="clear" w:color="auto" w:fill="auto"/>
        <w:jc w:val="right"/>
      </w:pPr>
      <w:proofErr w:type="gramStart"/>
      <w:r>
        <w:rPr>
          <w:b/>
          <w:bCs/>
        </w:rPr>
        <w:t>36.660,-</w:t>
      </w:r>
      <w:proofErr w:type="gramEnd"/>
      <w:r>
        <w:rPr>
          <w:b/>
          <w:bCs/>
        </w:rPr>
        <w:t xml:space="preserve"> Kč</w:t>
      </w:r>
    </w:p>
    <w:p w14:paraId="4DF5B6E1" w14:textId="77777777" w:rsidR="00285E8C" w:rsidRDefault="00000000">
      <w:pPr>
        <w:pStyle w:val="Zkladntext1"/>
        <w:framePr w:w="1229" w:h="869" w:wrap="none" w:hAnchor="page" w:x="9294" w:y="4859"/>
        <w:shd w:val="clear" w:color="auto" w:fill="auto"/>
        <w:jc w:val="right"/>
      </w:pPr>
      <w:proofErr w:type="gramStart"/>
      <w:r>
        <w:rPr>
          <w:b/>
          <w:bCs/>
        </w:rPr>
        <w:t>6.993,-</w:t>
      </w:r>
      <w:proofErr w:type="gramEnd"/>
      <w:r>
        <w:rPr>
          <w:b/>
          <w:bCs/>
        </w:rPr>
        <w:t xml:space="preserve"> Kč</w:t>
      </w:r>
    </w:p>
    <w:p w14:paraId="6675C2C2" w14:textId="77777777" w:rsidR="00285E8C" w:rsidRDefault="00000000">
      <w:pPr>
        <w:pStyle w:val="Nadpis30"/>
        <w:keepNext/>
        <w:keepLines/>
        <w:framePr w:w="1229" w:h="869" w:wrap="none" w:hAnchor="page" w:x="9294" w:y="4859"/>
        <w:shd w:val="clear" w:color="auto" w:fill="auto"/>
        <w:jc w:val="right"/>
      </w:pPr>
      <w:bookmarkStart w:id="20" w:name="bookmark28"/>
      <w:bookmarkStart w:id="21" w:name="bookmark29"/>
      <w:proofErr w:type="gramStart"/>
      <w:r>
        <w:t>43.653,-</w:t>
      </w:r>
      <w:proofErr w:type="gramEnd"/>
      <w:r>
        <w:t xml:space="preserve"> Kč</w:t>
      </w:r>
      <w:bookmarkEnd w:id="20"/>
      <w:bookmarkEnd w:id="21"/>
    </w:p>
    <w:p w14:paraId="4EBD7154" w14:textId="77777777" w:rsidR="00285E8C" w:rsidRDefault="00000000">
      <w:pPr>
        <w:pStyle w:val="Nadpis30"/>
        <w:keepNext/>
        <w:keepLines/>
        <w:framePr w:w="8645" w:h="600" w:wrap="none" w:hAnchor="page" w:x="1854" w:y="5958"/>
        <w:shd w:val="clear" w:color="auto" w:fill="auto"/>
      </w:pPr>
      <w:bookmarkStart w:id="22" w:name="bookmark30"/>
      <w:bookmarkStart w:id="23" w:name="bookmark31"/>
      <w:r>
        <w:t>2. FÁZE (slouží jako orientační přehled očekávaných nákladů, hradí se cca za 1 rok od podání přihlášky):</w:t>
      </w:r>
      <w:bookmarkEnd w:id="22"/>
      <w:bookmarkEnd w:id="23"/>
    </w:p>
    <w:p w14:paraId="54B19016" w14:textId="77777777" w:rsidR="00285E8C" w:rsidRDefault="00000000">
      <w:pPr>
        <w:pStyle w:val="Zkladntext1"/>
        <w:framePr w:w="7411" w:h="1738" w:wrap="none" w:hAnchor="page" w:x="1374" w:y="6803"/>
        <w:numPr>
          <w:ilvl w:val="0"/>
          <w:numId w:val="2"/>
        </w:numPr>
        <w:shd w:val="clear" w:color="auto" w:fill="auto"/>
        <w:tabs>
          <w:tab w:val="left" w:pos="427"/>
        </w:tabs>
        <w:ind w:left="440" w:hanging="440"/>
      </w:pPr>
      <w:r>
        <w:t>úpravy přihlášky a komunikace s Úřadem v návaznosti na výsledek úplného průzkumu</w:t>
      </w:r>
    </w:p>
    <w:p w14:paraId="3AF17D66" w14:textId="77777777" w:rsidR="00285E8C" w:rsidRDefault="00000000">
      <w:pPr>
        <w:pStyle w:val="Zkladntext1"/>
        <w:framePr w:w="7411" w:h="1738" w:wrap="none" w:hAnchor="page" w:x="1374" w:y="6803"/>
        <w:numPr>
          <w:ilvl w:val="0"/>
          <w:numId w:val="2"/>
        </w:numPr>
        <w:shd w:val="clear" w:color="auto" w:fill="auto"/>
        <w:tabs>
          <w:tab w:val="left" w:pos="432"/>
        </w:tabs>
        <w:ind w:left="440" w:hanging="440"/>
      </w:pPr>
      <w:r>
        <w:t xml:space="preserve">správní poplatek ÚPV za vydání patentové listiny </w:t>
      </w:r>
      <w:r>
        <w:rPr>
          <w:u w:val="single"/>
        </w:rPr>
        <w:t xml:space="preserve">do 10 stran strojopisu </w:t>
      </w:r>
      <w:r>
        <w:t xml:space="preserve">(nepodléhá DPH) - </w:t>
      </w:r>
      <w:r>
        <w:rPr>
          <w:i/>
          <w:iCs/>
        </w:rPr>
        <w:t>za každou další stranu 100,-Kč</w:t>
      </w:r>
    </w:p>
    <w:p w14:paraId="5D6490FD" w14:textId="77777777" w:rsidR="00285E8C" w:rsidRDefault="00000000">
      <w:pPr>
        <w:pStyle w:val="Zkladntext1"/>
        <w:framePr w:w="7411" w:h="1738" w:wrap="none" w:hAnchor="page" w:x="1374" w:y="6803"/>
        <w:numPr>
          <w:ilvl w:val="0"/>
          <w:numId w:val="2"/>
        </w:numPr>
        <w:shd w:val="clear" w:color="auto" w:fill="auto"/>
        <w:tabs>
          <w:tab w:val="left" w:pos="422"/>
        </w:tabs>
        <w:ind w:left="500" w:hanging="500"/>
      </w:pPr>
      <w:r>
        <w:t>kontrola a zaslání patentové listiny, založení evidenčních souborů pro sledování platnosti</w:t>
      </w:r>
    </w:p>
    <w:p w14:paraId="761B1911" w14:textId="77777777" w:rsidR="00285E8C" w:rsidRDefault="00000000">
      <w:pPr>
        <w:pStyle w:val="Zkladntext1"/>
        <w:framePr w:w="1205" w:h="1454" w:wrap="none" w:hAnchor="page" w:x="9323" w:y="7076"/>
        <w:shd w:val="clear" w:color="auto" w:fill="auto"/>
        <w:jc w:val="right"/>
      </w:pPr>
      <w:proofErr w:type="gramStart"/>
      <w:r>
        <w:t>10.000,-</w:t>
      </w:r>
      <w:proofErr w:type="gramEnd"/>
      <w:r>
        <w:t xml:space="preserve"> Kč</w:t>
      </w:r>
    </w:p>
    <w:p w14:paraId="089D953E" w14:textId="77777777" w:rsidR="00285E8C" w:rsidRDefault="00000000">
      <w:pPr>
        <w:pStyle w:val="Zkladntext1"/>
        <w:framePr w:w="1205" w:h="1454" w:wrap="none" w:hAnchor="page" w:x="9323" w:y="7076"/>
        <w:shd w:val="clear" w:color="auto" w:fill="auto"/>
        <w:spacing w:after="560"/>
        <w:ind w:firstLine="140"/>
      </w:pPr>
      <w:proofErr w:type="gramStart"/>
      <w:r>
        <w:t>1.600,-</w:t>
      </w:r>
      <w:proofErr w:type="gramEnd"/>
      <w:r>
        <w:t xml:space="preserve"> Kč</w:t>
      </w:r>
    </w:p>
    <w:p w14:paraId="20732CF0" w14:textId="77777777" w:rsidR="00285E8C" w:rsidRDefault="00000000">
      <w:pPr>
        <w:pStyle w:val="Zkladntext1"/>
        <w:framePr w:w="1205" w:h="1454" w:wrap="none" w:hAnchor="page" w:x="9323" w:y="7076"/>
        <w:shd w:val="clear" w:color="auto" w:fill="auto"/>
        <w:spacing w:after="280"/>
        <w:ind w:firstLine="140"/>
      </w:pPr>
      <w:proofErr w:type="gramStart"/>
      <w:r>
        <w:t>1.500,-</w:t>
      </w:r>
      <w:proofErr w:type="gramEnd"/>
      <w:r>
        <w:t>Kč</w:t>
      </w:r>
    </w:p>
    <w:p w14:paraId="7D8FBC9D" w14:textId="77777777" w:rsidR="00285E8C" w:rsidRDefault="00000000">
      <w:pPr>
        <w:pStyle w:val="Zkladntext1"/>
        <w:framePr w:w="1834" w:h="869" w:wrap="none" w:hAnchor="page" w:x="6333" w:y="8545"/>
        <w:shd w:val="clear" w:color="auto" w:fill="auto"/>
      </w:pPr>
      <w:r>
        <w:rPr>
          <w:b/>
          <w:bCs/>
        </w:rPr>
        <w:t>Celkem bez DPH</w:t>
      </w:r>
    </w:p>
    <w:p w14:paraId="0E43D38A" w14:textId="77777777" w:rsidR="00285E8C" w:rsidRDefault="00000000">
      <w:pPr>
        <w:pStyle w:val="Zkladntext1"/>
        <w:framePr w:w="1834" w:h="869" w:wrap="none" w:hAnchor="page" w:x="6333" w:y="8545"/>
        <w:shd w:val="clear" w:color="auto" w:fill="auto"/>
      </w:pPr>
      <w:r>
        <w:rPr>
          <w:b/>
          <w:bCs/>
        </w:rPr>
        <w:t>DPH 21 %</w:t>
      </w:r>
    </w:p>
    <w:p w14:paraId="5B171C63" w14:textId="77777777" w:rsidR="00285E8C" w:rsidRDefault="00000000">
      <w:pPr>
        <w:pStyle w:val="Zkladntext1"/>
        <w:framePr w:w="1834" w:h="869" w:wrap="none" w:hAnchor="page" w:x="6333" w:y="8545"/>
        <w:shd w:val="clear" w:color="auto" w:fill="auto"/>
      </w:pPr>
      <w:r>
        <w:rPr>
          <w:b/>
          <w:bCs/>
        </w:rPr>
        <w:t>Celkem s DPH</w:t>
      </w:r>
    </w:p>
    <w:p w14:paraId="20A8F834" w14:textId="77777777" w:rsidR="00285E8C" w:rsidRDefault="00000000">
      <w:pPr>
        <w:pStyle w:val="Zkladntext1"/>
        <w:framePr w:w="1229" w:h="869" w:wrap="none" w:hAnchor="page" w:x="9294" w:y="8545"/>
        <w:shd w:val="clear" w:color="auto" w:fill="auto"/>
        <w:jc w:val="right"/>
      </w:pPr>
      <w:proofErr w:type="gramStart"/>
      <w:r>
        <w:rPr>
          <w:b/>
          <w:bCs/>
        </w:rPr>
        <w:t>13.100,-</w:t>
      </w:r>
      <w:proofErr w:type="gramEnd"/>
      <w:r>
        <w:rPr>
          <w:b/>
          <w:bCs/>
        </w:rPr>
        <w:t xml:space="preserve"> Kč</w:t>
      </w:r>
    </w:p>
    <w:p w14:paraId="0D46AE7F" w14:textId="77777777" w:rsidR="00285E8C" w:rsidRDefault="00000000">
      <w:pPr>
        <w:pStyle w:val="Zkladntext1"/>
        <w:framePr w:w="1229" w:h="869" w:wrap="none" w:hAnchor="page" w:x="9294" w:y="8545"/>
        <w:shd w:val="clear" w:color="auto" w:fill="auto"/>
        <w:jc w:val="right"/>
      </w:pPr>
      <w:proofErr w:type="gramStart"/>
      <w:r>
        <w:rPr>
          <w:b/>
          <w:bCs/>
        </w:rPr>
        <w:t>2.415,-</w:t>
      </w:r>
      <w:proofErr w:type="gramEnd"/>
      <w:r>
        <w:rPr>
          <w:b/>
          <w:bCs/>
        </w:rPr>
        <w:t xml:space="preserve"> Kč</w:t>
      </w:r>
    </w:p>
    <w:p w14:paraId="6BA0FC2D" w14:textId="77777777" w:rsidR="00285E8C" w:rsidRDefault="00000000">
      <w:pPr>
        <w:pStyle w:val="Nadpis30"/>
        <w:keepNext/>
        <w:keepLines/>
        <w:framePr w:w="1229" w:h="869" w:wrap="none" w:hAnchor="page" w:x="9294" w:y="8545"/>
        <w:shd w:val="clear" w:color="auto" w:fill="auto"/>
        <w:jc w:val="right"/>
      </w:pPr>
      <w:bookmarkStart w:id="24" w:name="bookmark32"/>
      <w:bookmarkStart w:id="25" w:name="bookmark33"/>
      <w:proofErr w:type="gramStart"/>
      <w:r>
        <w:t>15.515,-</w:t>
      </w:r>
      <w:proofErr w:type="gramEnd"/>
      <w:r>
        <w:t xml:space="preserve"> Kč</w:t>
      </w:r>
      <w:bookmarkEnd w:id="24"/>
      <w:bookmarkEnd w:id="25"/>
    </w:p>
    <w:p w14:paraId="19F7337A" w14:textId="77777777" w:rsidR="00285E8C" w:rsidRDefault="00000000">
      <w:pPr>
        <w:pStyle w:val="Zkladntext1"/>
        <w:framePr w:w="8323" w:h="322" w:wrap="none" w:hAnchor="page" w:x="1379" w:y="10110"/>
        <w:shd w:val="clear" w:color="auto" w:fill="auto"/>
      </w:pPr>
      <w:r>
        <w:rPr>
          <w:u w:val="single"/>
        </w:rPr>
        <w:t>Přihláška užitného vzoru souběžná s přihláškou vynálezu a obsahově shodná/podobná</w:t>
      </w:r>
    </w:p>
    <w:p w14:paraId="3B7E7CCD" w14:textId="77777777" w:rsidR="00285E8C" w:rsidRDefault="00000000">
      <w:pPr>
        <w:pStyle w:val="Zkladntext1"/>
        <w:framePr w:w="9120" w:h="1738" w:wrap="none" w:hAnchor="page" w:x="1379" w:y="10580"/>
        <w:numPr>
          <w:ilvl w:val="0"/>
          <w:numId w:val="3"/>
        </w:numPr>
        <w:shd w:val="clear" w:color="auto" w:fill="auto"/>
        <w:tabs>
          <w:tab w:val="left" w:pos="418"/>
        </w:tabs>
      </w:pPr>
      <w:r>
        <w:t>věcné zpracování a úpravy popisu, nároků na ochranu a vyobrazení,</w:t>
      </w:r>
    </w:p>
    <w:p w14:paraId="7E86A820" w14:textId="77777777" w:rsidR="00285E8C" w:rsidRDefault="00000000">
      <w:pPr>
        <w:pStyle w:val="Zkladntext1"/>
        <w:framePr w:w="9120" w:h="1738" w:wrap="none" w:hAnchor="page" w:x="1379" w:y="10580"/>
        <w:shd w:val="clear" w:color="auto" w:fill="auto"/>
        <w:tabs>
          <w:tab w:val="left" w:pos="8034"/>
        </w:tabs>
        <w:ind w:firstLine="440"/>
      </w:pPr>
      <w:r>
        <w:t>podání přihlášky užitného vzoru a zastoupení</w:t>
      </w:r>
      <w:r>
        <w:tab/>
        <w:t>5.000,- Kč</w:t>
      </w:r>
    </w:p>
    <w:p w14:paraId="0EECC3CC" w14:textId="77777777" w:rsidR="00285E8C" w:rsidRDefault="00000000">
      <w:pPr>
        <w:pStyle w:val="Zkladntext1"/>
        <w:framePr w:w="9120" w:h="1738" w:wrap="none" w:hAnchor="page" w:x="1379" w:y="10580"/>
        <w:numPr>
          <w:ilvl w:val="0"/>
          <w:numId w:val="3"/>
        </w:numPr>
        <w:shd w:val="clear" w:color="auto" w:fill="auto"/>
        <w:tabs>
          <w:tab w:val="left" w:pos="432"/>
        </w:tabs>
      </w:pPr>
      <w:r>
        <w:t xml:space="preserve">správní poplatek ÚPV za podání přihlášky UV </w:t>
      </w:r>
      <w:r>
        <w:rPr>
          <w:b/>
          <w:bCs/>
        </w:rPr>
        <w:t>se slevou 20 %</w:t>
      </w:r>
    </w:p>
    <w:p w14:paraId="2C201971" w14:textId="77777777" w:rsidR="00285E8C" w:rsidRDefault="00000000">
      <w:pPr>
        <w:pStyle w:val="Zkladntext1"/>
        <w:framePr w:w="9120" w:h="1738" w:wrap="none" w:hAnchor="page" w:x="1379" w:y="10580"/>
        <w:shd w:val="clear" w:color="auto" w:fill="auto"/>
        <w:tabs>
          <w:tab w:val="left" w:pos="8206"/>
        </w:tabs>
        <w:ind w:firstLine="440"/>
        <w:jc w:val="both"/>
      </w:pPr>
      <w:r>
        <w:t>(nepodléhá DPH)</w:t>
      </w:r>
      <w:r>
        <w:tab/>
        <w:t>800,- Kč</w:t>
      </w:r>
    </w:p>
    <w:p w14:paraId="667CBD98" w14:textId="77777777" w:rsidR="00285E8C" w:rsidRDefault="00000000">
      <w:pPr>
        <w:pStyle w:val="Zkladntext1"/>
        <w:framePr w:w="9120" w:h="1738" w:wrap="none" w:hAnchor="page" w:x="1379" w:y="10580"/>
        <w:numPr>
          <w:ilvl w:val="0"/>
          <w:numId w:val="3"/>
        </w:numPr>
        <w:shd w:val="clear" w:color="auto" w:fill="auto"/>
        <w:tabs>
          <w:tab w:val="left" w:pos="422"/>
        </w:tabs>
      </w:pPr>
      <w:r>
        <w:t>kontrola a zaslání Osvědčení o zápisu užitného vzoru, založení evidenčních</w:t>
      </w:r>
    </w:p>
    <w:p w14:paraId="5A825D3D" w14:textId="77777777" w:rsidR="00285E8C" w:rsidRDefault="00000000">
      <w:pPr>
        <w:pStyle w:val="Zkladntext1"/>
        <w:framePr w:w="9120" w:h="1738" w:wrap="none" w:hAnchor="page" w:x="1379" w:y="10580"/>
        <w:shd w:val="clear" w:color="auto" w:fill="auto"/>
        <w:tabs>
          <w:tab w:val="left" w:pos="7976"/>
        </w:tabs>
        <w:ind w:firstLine="440"/>
      </w:pPr>
      <w:r>
        <w:t>souborů pro sledování platnosti</w:t>
      </w:r>
      <w:r>
        <w:tab/>
        <w:t>1.500,- Kč</w:t>
      </w:r>
    </w:p>
    <w:p w14:paraId="563FD203" w14:textId="77777777" w:rsidR="00285E8C" w:rsidRDefault="00000000">
      <w:pPr>
        <w:pStyle w:val="Zkladntext1"/>
        <w:framePr w:w="1896" w:h="869" w:wrap="none" w:hAnchor="page" w:x="6285" w:y="12596"/>
        <w:shd w:val="clear" w:color="auto" w:fill="auto"/>
      </w:pPr>
      <w:r>
        <w:rPr>
          <w:b/>
          <w:bCs/>
        </w:rPr>
        <w:t>Celkem bez DPH</w:t>
      </w:r>
    </w:p>
    <w:p w14:paraId="6968A9A9" w14:textId="77777777" w:rsidR="00285E8C" w:rsidRDefault="00000000">
      <w:pPr>
        <w:pStyle w:val="Zkladntext1"/>
        <w:framePr w:w="1896" w:h="869" w:wrap="none" w:hAnchor="page" w:x="6285" w:y="12596"/>
        <w:shd w:val="clear" w:color="auto" w:fill="auto"/>
      </w:pPr>
      <w:r>
        <w:rPr>
          <w:b/>
          <w:bCs/>
        </w:rPr>
        <w:t>DPH 21%</w:t>
      </w:r>
    </w:p>
    <w:p w14:paraId="6F4199CC" w14:textId="77777777" w:rsidR="00285E8C" w:rsidRDefault="00000000">
      <w:pPr>
        <w:pStyle w:val="Zkladntext1"/>
        <w:framePr w:w="1896" w:h="869" w:wrap="none" w:hAnchor="page" w:x="6285" w:y="12596"/>
        <w:shd w:val="clear" w:color="auto" w:fill="auto"/>
      </w:pPr>
      <w:r>
        <w:rPr>
          <w:b/>
          <w:bCs/>
        </w:rPr>
        <w:t>Celkem s DPH</w:t>
      </w:r>
    </w:p>
    <w:p w14:paraId="42B62C68" w14:textId="77777777" w:rsidR="00285E8C" w:rsidRDefault="00285E8C">
      <w:pPr>
        <w:spacing w:line="360" w:lineRule="exact"/>
      </w:pPr>
    </w:p>
    <w:p w14:paraId="61D27103" w14:textId="77777777" w:rsidR="00285E8C" w:rsidRDefault="00285E8C">
      <w:pPr>
        <w:spacing w:line="360" w:lineRule="exact"/>
      </w:pPr>
    </w:p>
    <w:p w14:paraId="61467B1F" w14:textId="77777777" w:rsidR="00285E8C" w:rsidRDefault="00285E8C">
      <w:pPr>
        <w:spacing w:line="360" w:lineRule="exact"/>
      </w:pPr>
    </w:p>
    <w:p w14:paraId="67EE37D7" w14:textId="77777777" w:rsidR="00285E8C" w:rsidRDefault="00285E8C">
      <w:pPr>
        <w:spacing w:line="360" w:lineRule="exact"/>
      </w:pPr>
    </w:p>
    <w:p w14:paraId="38E11C4E" w14:textId="77777777" w:rsidR="00285E8C" w:rsidRDefault="00285E8C">
      <w:pPr>
        <w:spacing w:line="360" w:lineRule="exact"/>
      </w:pPr>
    </w:p>
    <w:p w14:paraId="2F07B713" w14:textId="77777777" w:rsidR="00285E8C" w:rsidRDefault="00285E8C">
      <w:pPr>
        <w:spacing w:line="360" w:lineRule="exact"/>
      </w:pPr>
    </w:p>
    <w:p w14:paraId="56072C77" w14:textId="77777777" w:rsidR="00285E8C" w:rsidRDefault="00285E8C">
      <w:pPr>
        <w:spacing w:line="360" w:lineRule="exact"/>
      </w:pPr>
    </w:p>
    <w:p w14:paraId="6C41C5E4" w14:textId="77777777" w:rsidR="00285E8C" w:rsidRDefault="00285E8C">
      <w:pPr>
        <w:spacing w:line="360" w:lineRule="exact"/>
      </w:pPr>
    </w:p>
    <w:p w14:paraId="3251B4EA" w14:textId="77777777" w:rsidR="00285E8C" w:rsidRDefault="00285E8C">
      <w:pPr>
        <w:spacing w:line="360" w:lineRule="exact"/>
      </w:pPr>
    </w:p>
    <w:p w14:paraId="03963CDE" w14:textId="77777777" w:rsidR="00285E8C" w:rsidRDefault="00285E8C">
      <w:pPr>
        <w:spacing w:line="360" w:lineRule="exact"/>
      </w:pPr>
    </w:p>
    <w:p w14:paraId="35A9CB8B" w14:textId="77777777" w:rsidR="00285E8C" w:rsidRDefault="00285E8C">
      <w:pPr>
        <w:spacing w:line="360" w:lineRule="exact"/>
      </w:pPr>
    </w:p>
    <w:p w14:paraId="4DF2647E" w14:textId="77777777" w:rsidR="00285E8C" w:rsidRDefault="00285E8C">
      <w:pPr>
        <w:spacing w:line="360" w:lineRule="exact"/>
      </w:pPr>
    </w:p>
    <w:p w14:paraId="67061D2C" w14:textId="77777777" w:rsidR="00285E8C" w:rsidRDefault="00285E8C">
      <w:pPr>
        <w:spacing w:line="360" w:lineRule="exact"/>
      </w:pPr>
    </w:p>
    <w:p w14:paraId="709A144C" w14:textId="77777777" w:rsidR="00285E8C" w:rsidRDefault="00285E8C">
      <w:pPr>
        <w:spacing w:line="360" w:lineRule="exact"/>
      </w:pPr>
    </w:p>
    <w:p w14:paraId="6209965A" w14:textId="77777777" w:rsidR="00285E8C" w:rsidRDefault="00285E8C">
      <w:pPr>
        <w:spacing w:line="360" w:lineRule="exact"/>
      </w:pPr>
    </w:p>
    <w:p w14:paraId="24D9E685" w14:textId="77777777" w:rsidR="00285E8C" w:rsidRDefault="00285E8C">
      <w:pPr>
        <w:spacing w:line="360" w:lineRule="exact"/>
      </w:pPr>
    </w:p>
    <w:p w14:paraId="566D3E67" w14:textId="77777777" w:rsidR="00285E8C" w:rsidRDefault="00285E8C">
      <w:pPr>
        <w:spacing w:line="360" w:lineRule="exact"/>
      </w:pPr>
    </w:p>
    <w:p w14:paraId="37FFD733" w14:textId="77777777" w:rsidR="00285E8C" w:rsidRDefault="00285E8C">
      <w:pPr>
        <w:spacing w:line="360" w:lineRule="exact"/>
      </w:pPr>
    </w:p>
    <w:p w14:paraId="6CEF9AF0" w14:textId="77777777" w:rsidR="00285E8C" w:rsidRDefault="00285E8C">
      <w:pPr>
        <w:spacing w:line="360" w:lineRule="exact"/>
      </w:pPr>
    </w:p>
    <w:p w14:paraId="3F17DA1B" w14:textId="77777777" w:rsidR="00285E8C" w:rsidRDefault="00285E8C">
      <w:pPr>
        <w:spacing w:line="360" w:lineRule="exact"/>
      </w:pPr>
    </w:p>
    <w:p w14:paraId="11170D76" w14:textId="77777777" w:rsidR="00285E8C" w:rsidRDefault="00285E8C">
      <w:pPr>
        <w:spacing w:line="360" w:lineRule="exact"/>
      </w:pPr>
    </w:p>
    <w:p w14:paraId="3C6C1E91" w14:textId="77777777" w:rsidR="00285E8C" w:rsidRDefault="00285E8C">
      <w:pPr>
        <w:spacing w:line="360" w:lineRule="exact"/>
      </w:pPr>
    </w:p>
    <w:p w14:paraId="1ADD6B15" w14:textId="77777777" w:rsidR="00285E8C" w:rsidRDefault="00285E8C">
      <w:pPr>
        <w:spacing w:line="360" w:lineRule="exact"/>
      </w:pPr>
    </w:p>
    <w:p w14:paraId="3B61C644" w14:textId="77777777" w:rsidR="00285E8C" w:rsidRDefault="00285E8C">
      <w:pPr>
        <w:spacing w:line="360" w:lineRule="exact"/>
      </w:pPr>
    </w:p>
    <w:p w14:paraId="30FFFD0A" w14:textId="77777777" w:rsidR="00285E8C" w:rsidRDefault="00285E8C">
      <w:pPr>
        <w:spacing w:line="360" w:lineRule="exact"/>
      </w:pPr>
    </w:p>
    <w:p w14:paraId="679B3668" w14:textId="77777777" w:rsidR="00285E8C" w:rsidRDefault="00285E8C">
      <w:pPr>
        <w:spacing w:line="360" w:lineRule="exact"/>
      </w:pPr>
    </w:p>
    <w:p w14:paraId="48832273" w14:textId="77777777" w:rsidR="00285E8C" w:rsidRDefault="00285E8C">
      <w:pPr>
        <w:spacing w:line="360" w:lineRule="exact"/>
      </w:pPr>
    </w:p>
    <w:p w14:paraId="69CD7A7B" w14:textId="77777777" w:rsidR="00285E8C" w:rsidRDefault="00285E8C">
      <w:pPr>
        <w:spacing w:line="360" w:lineRule="exact"/>
      </w:pPr>
    </w:p>
    <w:p w14:paraId="0AE09F52" w14:textId="77777777" w:rsidR="00285E8C" w:rsidRDefault="00285E8C">
      <w:pPr>
        <w:spacing w:line="360" w:lineRule="exact"/>
      </w:pPr>
    </w:p>
    <w:p w14:paraId="664CD013" w14:textId="77777777" w:rsidR="00285E8C" w:rsidRDefault="00285E8C">
      <w:pPr>
        <w:spacing w:line="360" w:lineRule="exact"/>
      </w:pPr>
    </w:p>
    <w:p w14:paraId="2BD74717" w14:textId="77777777" w:rsidR="00285E8C" w:rsidRDefault="00285E8C">
      <w:pPr>
        <w:spacing w:line="360" w:lineRule="exact"/>
      </w:pPr>
    </w:p>
    <w:p w14:paraId="7CCEFD31" w14:textId="77777777" w:rsidR="00285E8C" w:rsidRDefault="00285E8C">
      <w:pPr>
        <w:spacing w:line="360" w:lineRule="exact"/>
      </w:pPr>
    </w:p>
    <w:p w14:paraId="2BD437B7" w14:textId="77777777" w:rsidR="00285E8C" w:rsidRDefault="00285E8C">
      <w:pPr>
        <w:spacing w:line="360" w:lineRule="exact"/>
      </w:pPr>
    </w:p>
    <w:p w14:paraId="076A2526" w14:textId="77777777" w:rsidR="00285E8C" w:rsidRDefault="00285E8C">
      <w:pPr>
        <w:spacing w:line="360" w:lineRule="exact"/>
      </w:pPr>
    </w:p>
    <w:p w14:paraId="0E1FE917" w14:textId="77777777" w:rsidR="00285E8C" w:rsidRDefault="00285E8C">
      <w:pPr>
        <w:spacing w:after="536" w:line="1" w:lineRule="exact"/>
      </w:pPr>
    </w:p>
    <w:sectPr w:rsidR="00285E8C">
      <w:footerReference w:type="default" r:id="rId7"/>
      <w:pgSz w:w="11900" w:h="16840"/>
      <w:pgMar w:top="1796" w:right="1373" w:bottom="2267" w:left="1373" w:header="13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D537" w14:textId="77777777" w:rsidR="005A08EB" w:rsidRDefault="005A08EB">
      <w:r>
        <w:separator/>
      </w:r>
    </w:p>
  </w:endnote>
  <w:endnote w:type="continuationSeparator" w:id="0">
    <w:p w14:paraId="67847A38" w14:textId="77777777" w:rsidR="005A08EB" w:rsidRDefault="005A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1E65" w14:textId="77777777" w:rsidR="00285E8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C2C7E6C" wp14:editId="11FABE84">
              <wp:simplePos x="0" y="0"/>
              <wp:positionH relativeFrom="page">
                <wp:posOffset>5956300</wp:posOffset>
              </wp:positionH>
              <wp:positionV relativeFrom="page">
                <wp:posOffset>9190355</wp:posOffset>
              </wp:positionV>
              <wp:extent cx="664210" cy="487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1E229" w14:textId="77777777" w:rsidR="00285E8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7.300,-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Kč</w:t>
                          </w:r>
                        </w:p>
                        <w:p w14:paraId="326E15AA" w14:textId="77777777" w:rsidR="00285E8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1.365,-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Kč</w:t>
                          </w:r>
                        </w:p>
                        <w:p w14:paraId="4441DB45" w14:textId="77777777" w:rsidR="00285E8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8.665,-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C7E6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9pt;margin-top:723.65pt;width:52.3pt;height:3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" filled="f" stroked="f">
              <v:textbox style="mso-fit-shape-to-text:t" inset="0,0,0,0">
                <w:txbxContent>
                  <w:p w14:paraId="59A1E229" w14:textId="77777777" w:rsidR="00285E8C" w:rsidRDefault="00000000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b/>
                        <w:bCs/>
                        <w:sz w:val="24"/>
                        <w:szCs w:val="24"/>
                      </w:rPr>
                      <w:t>7.300,-</w:t>
                    </w:r>
                    <w:proofErr w:type="gramEnd"/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Kč</w:t>
                    </w:r>
                  </w:p>
                  <w:p w14:paraId="326E15AA" w14:textId="77777777" w:rsidR="00285E8C" w:rsidRDefault="00000000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b/>
                        <w:bCs/>
                        <w:sz w:val="24"/>
                        <w:szCs w:val="24"/>
                      </w:rPr>
                      <w:t>1.365,-</w:t>
                    </w:r>
                    <w:proofErr w:type="gramEnd"/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Kč</w:t>
                    </w:r>
                  </w:p>
                  <w:p w14:paraId="4441DB45" w14:textId="77777777" w:rsidR="00285E8C" w:rsidRDefault="00000000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b/>
                        <w:bCs/>
                        <w:sz w:val="24"/>
                        <w:szCs w:val="24"/>
                      </w:rPr>
                      <w:t>8.665,-</w:t>
                    </w:r>
                    <w:proofErr w:type="gramEnd"/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B6B9A27" wp14:editId="4A05BFF4">
              <wp:simplePos x="0" y="0"/>
              <wp:positionH relativeFrom="page">
                <wp:posOffset>878205</wp:posOffset>
              </wp:positionH>
              <wp:positionV relativeFrom="page">
                <wp:posOffset>9140190</wp:posOffset>
              </wp:positionV>
              <wp:extent cx="58000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719.7000000000000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E49F" w14:textId="77777777" w:rsidR="005A08EB" w:rsidRDefault="005A08EB"/>
  </w:footnote>
  <w:footnote w:type="continuationSeparator" w:id="0">
    <w:p w14:paraId="59A0ABCC" w14:textId="77777777" w:rsidR="005A08EB" w:rsidRDefault="005A08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41"/>
    <w:multiLevelType w:val="multilevel"/>
    <w:tmpl w:val="65087F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02FBF"/>
    <w:multiLevelType w:val="multilevel"/>
    <w:tmpl w:val="CAD4A7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D7273"/>
    <w:multiLevelType w:val="multilevel"/>
    <w:tmpl w:val="BC0482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4423774">
    <w:abstractNumId w:val="2"/>
  </w:num>
  <w:num w:numId="2" w16cid:durableId="1797409515">
    <w:abstractNumId w:val="1"/>
  </w:num>
  <w:num w:numId="3" w16cid:durableId="62516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C"/>
    <w:rsid w:val="001706CC"/>
    <w:rsid w:val="00285E8C"/>
    <w:rsid w:val="003F296B"/>
    <w:rsid w:val="005A08EB"/>
    <w:rsid w:val="005D199E"/>
    <w:rsid w:val="00924B66"/>
    <w:rsid w:val="009D6328"/>
    <w:rsid w:val="00C0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33E3"/>
  <w15:docId w15:val="{9390943D-C182-4F19-B37A-8D34BD15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434241"/>
      <w:sz w:val="52"/>
      <w:szCs w:val="5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4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5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434241"/>
      <w:sz w:val="52"/>
      <w:szCs w:val="5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Sedlák</dc:creator>
  <cp:keywords/>
  <cp:lastModifiedBy>Sakrýtová Alena</cp:lastModifiedBy>
  <cp:revision>6</cp:revision>
  <dcterms:created xsi:type="dcterms:W3CDTF">2025-12-15T15:04:00Z</dcterms:created>
  <dcterms:modified xsi:type="dcterms:W3CDTF">2025-12-15T15:08:00Z</dcterms:modified>
</cp:coreProperties>
</file>