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606BBDD8" w:rsidR="004175CC" w:rsidRPr="00101730" w:rsidRDefault="00E704F3" w:rsidP="004175CC">
            <w:pPr>
              <w:spacing w:after="0" w:line="240" w:lineRule="atLeast"/>
              <w:jc w:val="both"/>
              <w:rPr>
                <w:rFonts w:cs="Arial"/>
                <w:color w:val="000000"/>
                <w:sz w:val="22"/>
                <w:szCs w:val="22"/>
              </w:rPr>
            </w:pPr>
            <w:r>
              <w:rPr>
                <w:rFonts w:cs="Arial"/>
                <w:color w:val="000000"/>
                <w:sz w:val="22"/>
                <w:szCs w:val="22"/>
              </w:rPr>
              <w:t>xxxxxxxxxxxxxx</w:t>
            </w:r>
            <w:r w:rsidR="004175CC" w:rsidRPr="00101730">
              <w:rPr>
                <w:rFonts w:cs="Arial"/>
                <w:color w:val="000000"/>
                <w:sz w:val="22"/>
                <w:szCs w:val="22"/>
              </w:rPr>
              <w:t>,</w:t>
            </w:r>
          </w:p>
          <w:p w14:paraId="197F83C6" w14:textId="7258A57F"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E704F3">
              <w:rPr>
                <w:rFonts w:cs="Arial"/>
                <w:color w:val="000000"/>
                <w:sz w:val="22"/>
                <w:szCs w:val="22"/>
              </w:rPr>
              <w:t>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120D545F" w:rsidR="0044185C" w:rsidRPr="00101730" w:rsidRDefault="002C35E3" w:rsidP="0044185C">
      <w:pPr>
        <w:spacing w:line="240" w:lineRule="atLeast"/>
        <w:jc w:val="both"/>
        <w:rPr>
          <w:rFonts w:cs="Arial"/>
          <w:b/>
          <w:bCs/>
          <w:color w:val="0066CC"/>
          <w:sz w:val="22"/>
          <w:szCs w:val="22"/>
          <w:highlight w:val="yellow"/>
        </w:rPr>
      </w:pPr>
      <w:r w:rsidRPr="002C35E3">
        <w:rPr>
          <w:rFonts w:cs="Arial"/>
          <w:b/>
          <w:bCs/>
          <w:sz w:val="22"/>
          <w:szCs w:val="22"/>
        </w:rPr>
        <w:t>CNC - Konečný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5CA2ACDC" w14:textId="77777777" w:rsidTr="004175CC">
        <w:tc>
          <w:tcPr>
            <w:tcW w:w="3510" w:type="dxa"/>
          </w:tcPr>
          <w:p w14:paraId="556494EC" w14:textId="7FEF33C2"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54B719F0" w:rsidR="004175CC" w:rsidRPr="002C35E3" w:rsidRDefault="002C35E3" w:rsidP="0044185C">
            <w:pPr>
              <w:spacing w:after="0" w:line="240" w:lineRule="atLeast"/>
              <w:jc w:val="both"/>
              <w:rPr>
                <w:rFonts w:cs="Arial"/>
                <w:color w:val="000000"/>
                <w:sz w:val="22"/>
                <w:szCs w:val="22"/>
              </w:rPr>
            </w:pPr>
            <w:r w:rsidRPr="002C35E3">
              <w:rPr>
                <w:rFonts w:cs="Arial"/>
                <w:bCs/>
                <w:sz w:val="22"/>
                <w:szCs w:val="22"/>
              </w:rPr>
              <w:t>č.p. 774, 687 09 Boršice</w:t>
            </w:r>
          </w:p>
        </w:tc>
      </w:tr>
      <w:tr w:rsidR="004175CC" w:rsidRPr="00101730" w14:paraId="4A7BB60E" w14:textId="77777777" w:rsidTr="004175CC">
        <w:tc>
          <w:tcPr>
            <w:tcW w:w="3510" w:type="dxa"/>
          </w:tcPr>
          <w:p w14:paraId="67CE4C56" w14:textId="16A1A7EB"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5BFC649C" w:rsidR="004175CC" w:rsidRPr="002C35E3" w:rsidRDefault="002C35E3" w:rsidP="0044185C">
            <w:pPr>
              <w:spacing w:after="0" w:line="240" w:lineRule="atLeast"/>
              <w:jc w:val="both"/>
              <w:rPr>
                <w:rFonts w:cs="Arial"/>
                <w:color w:val="0066CC"/>
                <w:sz w:val="22"/>
                <w:szCs w:val="22"/>
              </w:rPr>
            </w:pPr>
            <w:r w:rsidRPr="002C35E3">
              <w:rPr>
                <w:rFonts w:cs="Arial"/>
                <w:bCs/>
                <w:sz w:val="22"/>
                <w:szCs w:val="22"/>
              </w:rPr>
              <w:t>Radkou Konečnou, jednatelkou</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1B8F4988" w:rsidR="004175CC" w:rsidRPr="002C35E3" w:rsidRDefault="002C35E3" w:rsidP="002C35E3">
            <w:pPr>
              <w:spacing w:after="0" w:line="240" w:lineRule="atLeast"/>
              <w:jc w:val="both"/>
              <w:rPr>
                <w:rFonts w:cs="Arial"/>
                <w:color w:val="000000"/>
                <w:sz w:val="22"/>
                <w:szCs w:val="22"/>
              </w:rPr>
            </w:pPr>
            <w:r w:rsidRPr="002C35E3">
              <w:rPr>
                <w:rFonts w:cs="Arial"/>
                <w:color w:val="000000"/>
                <w:sz w:val="22"/>
                <w:szCs w:val="22"/>
              </w:rPr>
              <w:t>03410242</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67A593B3" w:rsidR="004175CC" w:rsidRPr="002C35E3" w:rsidRDefault="002C35E3" w:rsidP="002C35E3">
            <w:pPr>
              <w:spacing w:after="0" w:line="240" w:lineRule="atLeast"/>
              <w:jc w:val="both"/>
              <w:rPr>
                <w:rFonts w:cs="Arial"/>
                <w:color w:val="000000"/>
                <w:sz w:val="22"/>
                <w:szCs w:val="22"/>
              </w:rPr>
            </w:pPr>
            <w:r w:rsidRPr="002C35E3">
              <w:rPr>
                <w:rFonts w:cs="Arial"/>
                <w:bCs/>
                <w:sz w:val="22"/>
                <w:szCs w:val="22"/>
              </w:rPr>
              <w:t>CZ03410242</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06CE049B" w:rsidR="004175CC" w:rsidRPr="00101730" w:rsidRDefault="00E704F3" w:rsidP="0044185C">
            <w:pPr>
              <w:spacing w:after="0" w:line="240" w:lineRule="atLeast"/>
              <w:jc w:val="both"/>
              <w:rPr>
                <w:rFonts w:cs="Arial"/>
                <w:color w:val="000000"/>
                <w:sz w:val="22"/>
                <w:szCs w:val="22"/>
                <w:highlight w:val="yellow"/>
              </w:rPr>
            </w:pPr>
            <w:r>
              <w:rPr>
                <w:rFonts w:cs="Arial"/>
                <w:color w:val="000000"/>
                <w:sz w:val="22"/>
                <w:szCs w:val="22"/>
              </w:rPr>
              <w:t>xxxxxxxxxxxxxx</w:t>
            </w:r>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7B135C19" w14:textId="369FEA46"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E704F3">
              <w:rPr>
                <w:rFonts w:cs="Arial"/>
                <w:color w:val="000000"/>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7292DB00"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2C35E3">
        <w:rPr>
          <w:rFonts w:cs="Arial"/>
          <w:bCs/>
          <w:sz w:val="22"/>
          <w:szCs w:val="22"/>
        </w:rPr>
        <w:t>Krajským</w:t>
      </w:r>
      <w:r w:rsidRPr="00101730">
        <w:rPr>
          <w:rFonts w:cs="Arial"/>
          <w:color w:val="000000"/>
          <w:sz w:val="22"/>
          <w:szCs w:val="22"/>
        </w:rPr>
        <w:t xml:space="preserve"> soudem v </w:t>
      </w:r>
      <w:r w:rsidR="002C35E3">
        <w:rPr>
          <w:rFonts w:cs="Arial"/>
          <w:bCs/>
          <w:sz w:val="22"/>
          <w:szCs w:val="22"/>
        </w:rPr>
        <w:t>Brně</w:t>
      </w:r>
      <w:r w:rsidRPr="00101730">
        <w:rPr>
          <w:rFonts w:cs="Arial"/>
          <w:color w:val="000000"/>
          <w:sz w:val="22"/>
          <w:szCs w:val="22"/>
        </w:rPr>
        <w:t xml:space="preserve">, oddíl </w:t>
      </w:r>
      <w:r w:rsidR="002C35E3">
        <w:rPr>
          <w:rFonts w:cs="Arial"/>
          <w:bCs/>
          <w:sz w:val="22"/>
          <w:szCs w:val="22"/>
        </w:rPr>
        <w:t>C</w:t>
      </w:r>
      <w:r w:rsidRPr="00101730">
        <w:rPr>
          <w:rFonts w:cs="Arial"/>
          <w:color w:val="000000"/>
          <w:sz w:val="22"/>
          <w:szCs w:val="22"/>
        </w:rPr>
        <w:t xml:space="preserve">, vložka </w:t>
      </w:r>
      <w:r w:rsidR="002C35E3">
        <w:rPr>
          <w:rFonts w:cs="Arial"/>
          <w:bCs/>
          <w:sz w:val="22"/>
          <w:szCs w:val="22"/>
        </w:rPr>
        <w:t>84726</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191AC28F"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EA6BBF" w:rsidRPr="00EA6BBF">
        <w:rPr>
          <w:rFonts w:eastAsia="Times New Roman" w:cs="Arial"/>
          <w:b/>
          <w:color w:val="000000"/>
          <w:sz w:val="22"/>
          <w:szCs w:val="22"/>
          <w:lang w:eastAsia="cs-CZ" w:bidi="ar-SA"/>
        </w:rPr>
        <w:t>FSv - Dodávka CNC Router</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24A1C645"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6BBF">
        <w:rPr>
          <w:rFonts w:eastAsia="Times New Roman" w:cs="Arial"/>
          <w:color w:val="000000"/>
          <w:sz w:val="22"/>
          <w:szCs w:val="22"/>
          <w:lang w:eastAsia="cs-CZ" w:bidi="ar-SA"/>
        </w:rPr>
        <w:t xml:space="preserve">, instalovat, uvést do provozu a zaškolit obsluhu v užívání CNC Routeru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3170FAEF" w:rsidR="004175CC" w:rsidRPr="002C35E3" w:rsidRDefault="002C35E3" w:rsidP="00D14487">
            <w:pPr>
              <w:spacing w:after="0" w:line="240" w:lineRule="atLeast"/>
              <w:jc w:val="both"/>
              <w:rPr>
                <w:rFonts w:cs="Arial"/>
                <w:color w:val="000000"/>
                <w:sz w:val="22"/>
                <w:szCs w:val="22"/>
              </w:rPr>
            </w:pPr>
            <w:r w:rsidRPr="002C35E3">
              <w:rPr>
                <w:rFonts w:cs="Arial"/>
                <w:bCs/>
                <w:sz w:val="22"/>
                <w:szCs w:val="22"/>
              </w:rPr>
              <w:t>442 980,00</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58F4170C" w:rsidR="004175CC" w:rsidRPr="002C35E3" w:rsidRDefault="002C35E3" w:rsidP="00D14487">
            <w:pPr>
              <w:spacing w:after="0" w:line="240" w:lineRule="atLeast"/>
              <w:jc w:val="both"/>
              <w:rPr>
                <w:rFonts w:cs="Arial"/>
                <w:color w:val="000000"/>
                <w:sz w:val="22"/>
                <w:szCs w:val="22"/>
              </w:rPr>
            </w:pPr>
            <w:r w:rsidRPr="002C35E3">
              <w:rPr>
                <w:rFonts w:cs="Arial"/>
                <w:bCs/>
                <w:sz w:val="22"/>
                <w:szCs w:val="22"/>
              </w:rPr>
              <w:t xml:space="preserve">  93 025,80</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770C42E8" w:rsidR="004175CC" w:rsidRPr="002C35E3" w:rsidRDefault="002C35E3" w:rsidP="00D14487">
            <w:pPr>
              <w:spacing w:after="0" w:line="240" w:lineRule="atLeast"/>
              <w:jc w:val="both"/>
              <w:rPr>
                <w:rFonts w:cs="Arial"/>
                <w:color w:val="000000"/>
                <w:sz w:val="22"/>
                <w:szCs w:val="22"/>
              </w:rPr>
            </w:pPr>
            <w:r w:rsidRPr="002C35E3">
              <w:rPr>
                <w:rFonts w:cs="Arial"/>
                <w:bCs/>
                <w:sz w:val="22"/>
                <w:szCs w:val="22"/>
              </w:rPr>
              <w:t>536 005,80</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6B69F5BA"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617B485A"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w:t>
      </w:r>
      <w:r w:rsidRPr="00101730">
        <w:rPr>
          <w:rFonts w:cs="Arial"/>
          <w:color w:val="000000"/>
          <w:sz w:val="22"/>
          <w:szCs w:val="22"/>
        </w:rPr>
        <w:lastRenderedPageBreak/>
        <w:t>vrátit. Nová lhůta splatnosti po každém vrácení daňového dokladu počíná běžet vždy dnem doručení opraveného daňového dokladu FSv ČVUT.</w:t>
      </w:r>
    </w:p>
    <w:p w14:paraId="169A010D" w14:textId="28F355EA"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E704F3">
        <w:rPr>
          <w:rFonts w:cs="Arial"/>
          <w:color w:val="000000"/>
          <w:sz w:val="22"/>
          <w:szCs w:val="22"/>
        </w:rPr>
        <w:t>xxxxxxxxxxxxxx</w:t>
      </w:r>
      <w:r w:rsidR="002C35E3">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E704F3">
        <w:rPr>
          <w:rFonts w:cs="Arial"/>
          <w:color w:val="000000"/>
          <w:sz w:val="22"/>
          <w:szCs w:val="22"/>
        </w:rPr>
        <w:t>xxxxxxxxxxxxxx</w:t>
      </w:r>
      <w:r w:rsidR="00556723">
        <w:t xml:space="preserve"> </w:t>
      </w:r>
      <w:r w:rsidR="002C35E3">
        <w:rPr>
          <w:rFonts w:cs="Arial"/>
          <w:color w:val="000000"/>
          <w:sz w:val="22"/>
          <w:szCs w:val="22"/>
        </w:rPr>
        <w:t xml:space="preserve"> </w:t>
      </w:r>
      <w:r w:rsidR="00556723">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64E7612B"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EA6BBF">
        <w:rPr>
          <w:rFonts w:cs="Arial"/>
          <w:color w:val="000000"/>
          <w:sz w:val="22"/>
          <w:szCs w:val="22"/>
        </w:rPr>
        <w:t xml:space="preserve">do </w:t>
      </w:r>
      <w:r w:rsidR="00EA6BBF" w:rsidRPr="00EA6BBF">
        <w:rPr>
          <w:rFonts w:cs="Arial"/>
          <w:b/>
          <w:bCs/>
          <w:color w:val="000000"/>
          <w:sz w:val="22"/>
          <w:szCs w:val="22"/>
        </w:rPr>
        <w:t>16.12.2025</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C6C874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671B50">
        <w:rPr>
          <w:rFonts w:cs="Arial"/>
          <w:color w:val="000000"/>
          <w:sz w:val="22"/>
          <w:szCs w:val="22"/>
        </w:rPr>
        <w:t>12</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6409957E"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E704F3">
        <w:rPr>
          <w:rFonts w:cs="Arial"/>
          <w:color w:val="000000"/>
          <w:sz w:val="22"/>
          <w:szCs w:val="22"/>
        </w:rPr>
        <w:t>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E704F3">
        <w:rPr>
          <w:rFonts w:cs="Arial"/>
          <w:color w:val="000000"/>
          <w:sz w:val="22"/>
          <w:szCs w:val="22"/>
        </w:rPr>
        <w:t>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75925D9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E704F3">
        <w:rPr>
          <w:rFonts w:cs="Arial"/>
          <w:color w:val="000000"/>
          <w:sz w:val="22"/>
          <w:szCs w:val="22"/>
        </w:rPr>
        <w:t>xxxxxxxxxxxxxx</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2AC91428"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ve dvou stejnopisech s platností originálu, z nichž každá smluvní strana obdrží po jednom.</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Default="0044185C" w:rsidP="0044185C">
      <w:pPr>
        <w:jc w:val="both"/>
        <w:rPr>
          <w:rFonts w:cs="Arial"/>
          <w:color w:val="000000"/>
          <w:sz w:val="22"/>
          <w:szCs w:val="22"/>
        </w:rPr>
      </w:pPr>
    </w:p>
    <w:p w14:paraId="318EDDE1" w14:textId="77777777" w:rsidR="002C35E3" w:rsidRDefault="002C35E3" w:rsidP="0044185C">
      <w:pPr>
        <w:jc w:val="both"/>
        <w:rPr>
          <w:rFonts w:cs="Arial"/>
          <w:color w:val="000000"/>
          <w:sz w:val="22"/>
          <w:szCs w:val="22"/>
        </w:rPr>
      </w:pPr>
    </w:p>
    <w:p w14:paraId="27D7493C" w14:textId="77777777" w:rsidR="002C35E3" w:rsidRPr="00101730" w:rsidRDefault="002C35E3"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77777777" w:rsidR="0044185C" w:rsidRPr="00101730" w:rsidRDefault="0044185C" w:rsidP="00D11B58">
            <w:pPr>
              <w:jc w:val="both"/>
              <w:rPr>
                <w:rFonts w:cs="Arial"/>
                <w:color w:val="000000"/>
                <w:sz w:val="22"/>
                <w:szCs w:val="22"/>
              </w:rPr>
            </w:pPr>
            <w:r w:rsidRPr="00101730">
              <w:rPr>
                <w:rFonts w:cs="Arial"/>
                <w:color w:val="000000"/>
                <w:sz w:val="22"/>
                <w:szCs w:val="22"/>
              </w:rPr>
              <w:lastRenderedPageBreak/>
              <w:t>V Praze dne ………………..</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6D95069D" w:rsidR="0044185C" w:rsidRPr="00101730" w:rsidRDefault="0044185C" w:rsidP="00D11B58">
            <w:pPr>
              <w:jc w:val="both"/>
              <w:rPr>
                <w:rFonts w:cs="Arial"/>
                <w:color w:val="000000"/>
                <w:sz w:val="22"/>
                <w:szCs w:val="22"/>
              </w:rPr>
            </w:pPr>
            <w:r w:rsidRPr="00101730">
              <w:rPr>
                <w:rFonts w:cs="Arial"/>
                <w:sz w:val="22"/>
                <w:szCs w:val="22"/>
              </w:rPr>
              <w:lastRenderedPageBreak/>
              <w:t>V </w:t>
            </w:r>
            <w:r w:rsidR="002C35E3">
              <w:rPr>
                <w:rFonts w:cs="Arial"/>
                <w:sz w:val="22"/>
                <w:szCs w:val="22"/>
              </w:rPr>
              <w:t>Boršicích</w:t>
            </w:r>
            <w:r w:rsidRPr="00101730">
              <w:rPr>
                <w:rFonts w:cs="Arial"/>
                <w:sz w:val="22"/>
                <w:szCs w:val="22"/>
              </w:rPr>
              <w:t xml:space="preserve"> dne</w:t>
            </w:r>
            <w:r w:rsidR="002C35E3">
              <w:rPr>
                <w:rFonts w:cs="Arial"/>
                <w:sz w:val="22"/>
                <w:szCs w:val="22"/>
              </w:rPr>
              <w:t xml:space="preserve"> ………………..</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59DECBD5" w:rsidR="0044185C" w:rsidRPr="00101730" w:rsidRDefault="002C35E3" w:rsidP="00214B7A">
            <w:pPr>
              <w:spacing w:after="0" w:line="240" w:lineRule="atLeast"/>
              <w:jc w:val="center"/>
              <w:rPr>
                <w:rFonts w:cs="Arial"/>
                <w:color w:val="000000"/>
                <w:sz w:val="22"/>
                <w:szCs w:val="22"/>
              </w:rPr>
            </w:pPr>
            <w:r>
              <w:rPr>
                <w:rFonts w:cs="Arial"/>
                <w:color w:val="000000"/>
                <w:sz w:val="22"/>
                <w:szCs w:val="22"/>
              </w:rPr>
              <w:t>Radka Konečná</w:t>
            </w:r>
          </w:p>
          <w:p w14:paraId="414C801E" w14:textId="161392AC" w:rsidR="0044185C" w:rsidRPr="00101730" w:rsidRDefault="002C35E3" w:rsidP="00214B7A">
            <w:pPr>
              <w:spacing w:after="0" w:line="240" w:lineRule="atLeast"/>
              <w:jc w:val="center"/>
              <w:rPr>
                <w:rFonts w:cs="Arial"/>
                <w:color w:val="000000"/>
                <w:sz w:val="22"/>
                <w:szCs w:val="22"/>
              </w:rPr>
            </w:pPr>
            <w:r>
              <w:rPr>
                <w:rFonts w:cs="Arial"/>
                <w:color w:val="000000"/>
                <w:sz w:val="22"/>
                <w:szCs w:val="22"/>
              </w:rPr>
              <w:t>jednatelka</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Default="00B41CE7" w:rsidP="00B41CE7">
      <w:pPr>
        <w:spacing w:line="240" w:lineRule="atLeast"/>
        <w:rPr>
          <w:rFonts w:cs="Arial"/>
          <w:sz w:val="22"/>
          <w:szCs w:val="22"/>
        </w:rPr>
      </w:pPr>
      <w:r>
        <w:rPr>
          <w:rFonts w:cs="Arial"/>
          <w:sz w:val="22"/>
          <w:szCs w:val="22"/>
        </w:rPr>
        <w:t>Dodavatel kupujícímu dodá</w:t>
      </w:r>
      <w:r w:rsidR="00A274C5">
        <w:rPr>
          <w:rFonts w:cs="Arial"/>
          <w:sz w:val="22"/>
          <w:szCs w:val="22"/>
        </w:rPr>
        <w:t>:</w:t>
      </w:r>
    </w:p>
    <w:p w14:paraId="3934539A" w14:textId="6CC4AFF6" w:rsidR="00B41CE7" w:rsidRDefault="00E704F3" w:rsidP="00EC0FD6">
      <w:pPr>
        <w:spacing w:line="240" w:lineRule="atLeast"/>
        <w:ind w:left="705"/>
        <w:rPr>
          <w:rFonts w:cs="Arial"/>
          <w:sz w:val="22"/>
          <w:szCs w:val="22"/>
        </w:rPr>
      </w:pPr>
      <w:r w:rsidRPr="00E704F3">
        <w:rPr>
          <w:rFonts w:cs="Arial"/>
          <w:sz w:val="22"/>
          <w:szCs w:val="22"/>
        </w:rPr>
        <w:t>CNC router RM MX70130</w:t>
      </w:r>
    </w:p>
    <w:p w14:paraId="6F5D1C4F" w14:textId="77777777" w:rsidR="00B41CE7" w:rsidRDefault="00B41CE7" w:rsidP="00B41CE7">
      <w:pPr>
        <w:spacing w:line="240" w:lineRule="atLeast"/>
        <w:rPr>
          <w:rFonts w:cs="Arial"/>
          <w:sz w:val="22"/>
          <w:szCs w:val="22"/>
        </w:rPr>
      </w:pPr>
    </w:p>
    <w:p w14:paraId="5E67EDDA" w14:textId="0DF02F82" w:rsidR="00692D7D" w:rsidRDefault="00EA6BBF" w:rsidP="00EA6BBF">
      <w:pPr>
        <w:widowControl/>
        <w:spacing w:after="160" w:line="278" w:lineRule="auto"/>
        <w:rPr>
          <w:b/>
          <w:bCs/>
          <w:sz w:val="22"/>
          <w:szCs w:val="22"/>
        </w:rPr>
      </w:pPr>
      <w:r>
        <w:rPr>
          <w:b/>
          <w:bCs/>
          <w:sz w:val="22"/>
          <w:szCs w:val="22"/>
        </w:rPr>
        <w:t>Specifikace předmětu plnění:</w:t>
      </w:r>
    </w:p>
    <w:tbl>
      <w:tblPr>
        <w:tblStyle w:val="Mkatabulky"/>
        <w:tblW w:w="0" w:type="auto"/>
        <w:tblLook w:val="04A0" w:firstRow="1" w:lastRow="0" w:firstColumn="1" w:lastColumn="0" w:noHBand="0" w:noVBand="1"/>
      </w:tblPr>
      <w:tblGrid>
        <w:gridCol w:w="3256"/>
        <w:gridCol w:w="6094"/>
      </w:tblGrid>
      <w:tr w:rsidR="00EA6BBF" w14:paraId="65EF1F31" w14:textId="77777777" w:rsidTr="00EA6BBF">
        <w:tc>
          <w:tcPr>
            <w:tcW w:w="3256" w:type="dxa"/>
          </w:tcPr>
          <w:p w14:paraId="5E2B2934" w14:textId="41791AF3" w:rsidR="00EA6BBF" w:rsidRPr="00EA6BBF" w:rsidRDefault="00EA6BBF" w:rsidP="00EA6BBF">
            <w:pPr>
              <w:widowControl/>
              <w:spacing w:before="120" w:line="240" w:lineRule="atLeast"/>
              <w:rPr>
                <w:b/>
                <w:bCs/>
                <w:sz w:val="22"/>
                <w:szCs w:val="22"/>
              </w:rPr>
            </w:pPr>
            <w:r w:rsidRPr="00EA6BBF">
              <w:rPr>
                <w:b/>
                <w:bCs/>
                <w:sz w:val="22"/>
                <w:szCs w:val="22"/>
              </w:rPr>
              <w:t>Určení</w:t>
            </w:r>
          </w:p>
        </w:tc>
        <w:tc>
          <w:tcPr>
            <w:tcW w:w="6094" w:type="dxa"/>
          </w:tcPr>
          <w:p w14:paraId="38D8883B" w14:textId="7D6680D6" w:rsidR="00EA6BBF" w:rsidRPr="00EA6BBF" w:rsidRDefault="00EA6BBF" w:rsidP="00EA6BBF">
            <w:pPr>
              <w:widowControl/>
              <w:spacing w:before="120" w:line="240" w:lineRule="atLeast"/>
              <w:rPr>
                <w:sz w:val="22"/>
                <w:szCs w:val="22"/>
              </w:rPr>
            </w:pPr>
            <w:r w:rsidRPr="00EA6BBF">
              <w:rPr>
                <w:sz w:val="22"/>
                <w:szCs w:val="22"/>
              </w:rPr>
              <w:t>Obrábění dřeva, plastů a slitin hliníku (např. EN AW 5083)</w:t>
            </w:r>
          </w:p>
        </w:tc>
      </w:tr>
      <w:tr w:rsidR="00EA6BBF" w14:paraId="40D629FC" w14:textId="77777777" w:rsidTr="00EA6BBF">
        <w:tc>
          <w:tcPr>
            <w:tcW w:w="3256" w:type="dxa"/>
          </w:tcPr>
          <w:p w14:paraId="218C79E3" w14:textId="73389BC0" w:rsidR="00EA6BBF" w:rsidRPr="00EA6BBF" w:rsidRDefault="00EA6BBF" w:rsidP="00EA6BBF">
            <w:pPr>
              <w:widowControl/>
              <w:spacing w:before="120" w:line="240" w:lineRule="atLeast"/>
              <w:rPr>
                <w:b/>
                <w:bCs/>
                <w:sz w:val="22"/>
                <w:szCs w:val="22"/>
              </w:rPr>
            </w:pPr>
            <w:r w:rsidRPr="00EA6BBF">
              <w:rPr>
                <w:b/>
                <w:bCs/>
                <w:sz w:val="22"/>
                <w:szCs w:val="22"/>
              </w:rPr>
              <w:t>Min. pracovní rozměr</w:t>
            </w:r>
          </w:p>
        </w:tc>
        <w:tc>
          <w:tcPr>
            <w:tcW w:w="6094" w:type="dxa"/>
          </w:tcPr>
          <w:p w14:paraId="252CC033" w14:textId="7A057492" w:rsidR="00EA6BBF" w:rsidRPr="00EA6BBF" w:rsidRDefault="00EA6BBF" w:rsidP="00EA6BBF">
            <w:pPr>
              <w:widowControl/>
              <w:spacing w:before="120" w:line="240" w:lineRule="atLeast"/>
              <w:rPr>
                <w:sz w:val="22"/>
                <w:szCs w:val="22"/>
              </w:rPr>
            </w:pPr>
            <w:r w:rsidRPr="00EA6BBF">
              <w:rPr>
                <w:sz w:val="22"/>
                <w:szCs w:val="22"/>
              </w:rPr>
              <w:t>700 x 1300 mm</w:t>
            </w:r>
          </w:p>
        </w:tc>
      </w:tr>
      <w:tr w:rsidR="00EA6BBF" w14:paraId="497AAC5C" w14:textId="77777777" w:rsidTr="00EA6BBF">
        <w:tc>
          <w:tcPr>
            <w:tcW w:w="3256" w:type="dxa"/>
          </w:tcPr>
          <w:p w14:paraId="731590FE" w14:textId="687B2F73" w:rsidR="00EA6BBF" w:rsidRPr="00EA6BBF" w:rsidRDefault="00EA6BBF" w:rsidP="00EA6BBF">
            <w:pPr>
              <w:widowControl/>
              <w:spacing w:before="120" w:line="240" w:lineRule="atLeast"/>
              <w:rPr>
                <w:b/>
                <w:bCs/>
                <w:sz w:val="22"/>
                <w:szCs w:val="22"/>
              </w:rPr>
            </w:pPr>
            <w:r w:rsidRPr="00EA6BBF">
              <w:rPr>
                <w:b/>
                <w:bCs/>
                <w:sz w:val="22"/>
                <w:szCs w:val="22"/>
              </w:rPr>
              <w:t>Pracovní stůl</w:t>
            </w:r>
          </w:p>
        </w:tc>
        <w:tc>
          <w:tcPr>
            <w:tcW w:w="6094" w:type="dxa"/>
          </w:tcPr>
          <w:p w14:paraId="1D68686C" w14:textId="12335AAA" w:rsidR="00EA6BBF" w:rsidRPr="00EA6BBF" w:rsidRDefault="00EA6BBF" w:rsidP="00EA6BBF">
            <w:pPr>
              <w:widowControl/>
              <w:spacing w:before="120" w:line="240" w:lineRule="atLeast"/>
              <w:rPr>
                <w:sz w:val="22"/>
                <w:szCs w:val="22"/>
              </w:rPr>
            </w:pPr>
            <w:r w:rsidRPr="00EA6BBF">
              <w:rPr>
                <w:sz w:val="22"/>
                <w:szCs w:val="22"/>
              </w:rPr>
              <w:t>KARTIT tl. 25 mm</w:t>
            </w:r>
          </w:p>
        </w:tc>
      </w:tr>
      <w:tr w:rsidR="00EA6BBF" w14:paraId="1F81A59F" w14:textId="77777777" w:rsidTr="00EA6BBF">
        <w:tc>
          <w:tcPr>
            <w:tcW w:w="3256" w:type="dxa"/>
          </w:tcPr>
          <w:p w14:paraId="023316F3" w14:textId="590FADB6" w:rsidR="00EA6BBF" w:rsidRPr="00EA6BBF" w:rsidRDefault="00EA6BBF" w:rsidP="00EA6BBF">
            <w:pPr>
              <w:widowControl/>
              <w:spacing w:before="120" w:line="240" w:lineRule="atLeast"/>
              <w:rPr>
                <w:b/>
                <w:bCs/>
                <w:sz w:val="22"/>
                <w:szCs w:val="22"/>
              </w:rPr>
            </w:pPr>
            <w:r w:rsidRPr="00EA6BBF">
              <w:rPr>
                <w:b/>
                <w:bCs/>
                <w:sz w:val="22"/>
                <w:szCs w:val="22"/>
              </w:rPr>
              <w:t>Min. průchod pod portálem</w:t>
            </w:r>
          </w:p>
        </w:tc>
        <w:tc>
          <w:tcPr>
            <w:tcW w:w="6094" w:type="dxa"/>
          </w:tcPr>
          <w:p w14:paraId="7D040D5D" w14:textId="0D95CCE5" w:rsidR="00EA6BBF" w:rsidRPr="00EA6BBF" w:rsidRDefault="00EA6BBF" w:rsidP="00EA6BBF">
            <w:pPr>
              <w:widowControl/>
              <w:spacing w:before="120" w:line="240" w:lineRule="atLeast"/>
              <w:rPr>
                <w:sz w:val="22"/>
                <w:szCs w:val="22"/>
              </w:rPr>
            </w:pPr>
            <w:r w:rsidRPr="00EA6BBF">
              <w:rPr>
                <w:sz w:val="22"/>
                <w:szCs w:val="22"/>
              </w:rPr>
              <w:t>170 mm</w:t>
            </w:r>
          </w:p>
        </w:tc>
      </w:tr>
      <w:tr w:rsidR="00EA6BBF" w14:paraId="7C8F7DBD" w14:textId="77777777" w:rsidTr="00EA6BBF">
        <w:tc>
          <w:tcPr>
            <w:tcW w:w="3256" w:type="dxa"/>
          </w:tcPr>
          <w:p w14:paraId="4BBB807B" w14:textId="191B1499" w:rsidR="00EA6BBF" w:rsidRPr="00EA6BBF" w:rsidRDefault="00EA6BBF" w:rsidP="00EA6BBF">
            <w:pPr>
              <w:widowControl/>
              <w:spacing w:before="120" w:line="240" w:lineRule="atLeast"/>
              <w:rPr>
                <w:b/>
                <w:bCs/>
                <w:sz w:val="22"/>
                <w:szCs w:val="22"/>
              </w:rPr>
            </w:pPr>
            <w:r w:rsidRPr="00EA6BBF">
              <w:rPr>
                <w:b/>
                <w:bCs/>
                <w:sz w:val="22"/>
                <w:szCs w:val="22"/>
              </w:rPr>
              <w:t>OSY X, Y, Z</w:t>
            </w:r>
          </w:p>
        </w:tc>
        <w:tc>
          <w:tcPr>
            <w:tcW w:w="6094" w:type="dxa"/>
          </w:tcPr>
          <w:p w14:paraId="733CBF9A" w14:textId="576F6A7C" w:rsidR="00EA6BBF" w:rsidRPr="00EA6BBF" w:rsidRDefault="00EA6BBF" w:rsidP="00EA6BBF">
            <w:pPr>
              <w:widowControl/>
              <w:spacing w:before="120" w:line="240" w:lineRule="atLeast"/>
              <w:rPr>
                <w:sz w:val="22"/>
                <w:szCs w:val="22"/>
              </w:rPr>
            </w:pPr>
            <w:r w:rsidRPr="00EA6BBF">
              <w:rPr>
                <w:sz w:val="22"/>
                <w:szCs w:val="22"/>
              </w:rPr>
              <w:t>lineární vedení s profilovou kolejnicí HIWIN + kuličkový šroub + servomotory</w:t>
            </w:r>
          </w:p>
        </w:tc>
      </w:tr>
      <w:tr w:rsidR="00EA6BBF" w14:paraId="66E71AF2" w14:textId="77777777" w:rsidTr="00EA6BBF">
        <w:tc>
          <w:tcPr>
            <w:tcW w:w="3256" w:type="dxa"/>
          </w:tcPr>
          <w:p w14:paraId="27D7B32C" w14:textId="59EDF709" w:rsidR="00EA6BBF" w:rsidRPr="00EA6BBF" w:rsidRDefault="00EA6BBF" w:rsidP="00EA6BBF">
            <w:pPr>
              <w:widowControl/>
              <w:spacing w:before="120" w:line="240" w:lineRule="atLeast"/>
              <w:rPr>
                <w:b/>
                <w:bCs/>
                <w:sz w:val="22"/>
                <w:szCs w:val="22"/>
              </w:rPr>
            </w:pPr>
            <w:r w:rsidRPr="00EA6BBF">
              <w:rPr>
                <w:b/>
                <w:bCs/>
                <w:sz w:val="22"/>
                <w:szCs w:val="22"/>
              </w:rPr>
              <w:t>Vřeteno</w:t>
            </w:r>
          </w:p>
        </w:tc>
        <w:tc>
          <w:tcPr>
            <w:tcW w:w="6094" w:type="dxa"/>
          </w:tcPr>
          <w:p w14:paraId="19016E09" w14:textId="6C91B79A" w:rsidR="00EA6BBF" w:rsidRPr="00EA6BBF" w:rsidRDefault="00EA6BBF" w:rsidP="00EA6BBF">
            <w:pPr>
              <w:widowControl/>
              <w:spacing w:before="120" w:line="240" w:lineRule="atLeast"/>
              <w:rPr>
                <w:sz w:val="22"/>
                <w:szCs w:val="22"/>
              </w:rPr>
            </w:pPr>
            <w:r w:rsidRPr="00EA6BBF">
              <w:rPr>
                <w:sz w:val="22"/>
                <w:szCs w:val="22"/>
              </w:rPr>
              <w:t>min. 2.1 kW, 24 000 ot./min (manuální výměna nástroje, kleštinový systém ER25) + frekvenční měnič</w:t>
            </w:r>
          </w:p>
        </w:tc>
      </w:tr>
      <w:tr w:rsidR="00EA6BBF" w14:paraId="4D14694B" w14:textId="77777777" w:rsidTr="00EA6BBF">
        <w:tc>
          <w:tcPr>
            <w:tcW w:w="3256" w:type="dxa"/>
          </w:tcPr>
          <w:p w14:paraId="230664A2" w14:textId="3D1D495E" w:rsidR="00EA6BBF" w:rsidRPr="00EA6BBF" w:rsidRDefault="00EA6BBF" w:rsidP="00EA6BBF">
            <w:pPr>
              <w:widowControl/>
              <w:spacing w:before="120" w:line="240" w:lineRule="atLeast"/>
              <w:rPr>
                <w:b/>
                <w:bCs/>
                <w:sz w:val="22"/>
                <w:szCs w:val="22"/>
              </w:rPr>
            </w:pPr>
            <w:r w:rsidRPr="00EA6BBF">
              <w:rPr>
                <w:b/>
                <w:bCs/>
                <w:sz w:val="22"/>
                <w:szCs w:val="22"/>
              </w:rPr>
              <w:t>Rychlost polohování</w:t>
            </w:r>
          </w:p>
        </w:tc>
        <w:tc>
          <w:tcPr>
            <w:tcW w:w="6094" w:type="dxa"/>
          </w:tcPr>
          <w:p w14:paraId="474F6CF9" w14:textId="22061513" w:rsidR="00EA6BBF" w:rsidRPr="00EA6BBF" w:rsidRDefault="00EA6BBF" w:rsidP="00EA6BBF">
            <w:pPr>
              <w:widowControl/>
              <w:spacing w:before="120" w:line="240" w:lineRule="atLeast"/>
              <w:rPr>
                <w:sz w:val="22"/>
                <w:szCs w:val="22"/>
              </w:rPr>
            </w:pPr>
            <w:r w:rsidRPr="00EA6BBF">
              <w:rPr>
                <w:sz w:val="22"/>
                <w:szCs w:val="22"/>
              </w:rPr>
              <w:t>až 30 m/min + přesnost alespoň (± 0,05 mm)</w:t>
            </w:r>
          </w:p>
        </w:tc>
      </w:tr>
      <w:tr w:rsidR="00EA6BBF" w14:paraId="5005591D" w14:textId="77777777" w:rsidTr="00EA6BBF">
        <w:tc>
          <w:tcPr>
            <w:tcW w:w="3256" w:type="dxa"/>
          </w:tcPr>
          <w:p w14:paraId="2717A485" w14:textId="730AF627" w:rsidR="00EA6BBF" w:rsidRPr="00EA6BBF" w:rsidRDefault="00EA6BBF" w:rsidP="00EA6BBF">
            <w:pPr>
              <w:widowControl/>
              <w:spacing w:before="120" w:line="240" w:lineRule="atLeast"/>
              <w:rPr>
                <w:b/>
                <w:bCs/>
                <w:sz w:val="22"/>
                <w:szCs w:val="22"/>
              </w:rPr>
            </w:pPr>
            <w:r w:rsidRPr="00EA6BBF">
              <w:rPr>
                <w:b/>
                <w:bCs/>
                <w:sz w:val="22"/>
                <w:szCs w:val="22"/>
              </w:rPr>
              <w:t>Vakuové upínání</w:t>
            </w:r>
          </w:p>
        </w:tc>
        <w:tc>
          <w:tcPr>
            <w:tcW w:w="6094" w:type="dxa"/>
          </w:tcPr>
          <w:p w14:paraId="510F38DD" w14:textId="516362B7" w:rsidR="00EA6BBF" w:rsidRPr="00EA6BBF" w:rsidRDefault="00EA6BBF" w:rsidP="00EA6BBF">
            <w:pPr>
              <w:widowControl/>
              <w:spacing w:before="120" w:line="240" w:lineRule="atLeast"/>
              <w:rPr>
                <w:sz w:val="22"/>
                <w:szCs w:val="22"/>
              </w:rPr>
            </w:pPr>
            <w:r w:rsidRPr="00EA6BBF">
              <w:rPr>
                <w:sz w:val="22"/>
                <w:szCs w:val="22"/>
              </w:rPr>
              <w:t>Příprava – bez vývěvy</w:t>
            </w:r>
          </w:p>
        </w:tc>
      </w:tr>
      <w:tr w:rsidR="00EA6BBF" w14:paraId="257695E8" w14:textId="77777777" w:rsidTr="00EA6BBF">
        <w:tc>
          <w:tcPr>
            <w:tcW w:w="3256" w:type="dxa"/>
          </w:tcPr>
          <w:p w14:paraId="377C4501" w14:textId="2941548B" w:rsidR="00EA6BBF" w:rsidRPr="00EA6BBF" w:rsidRDefault="00EA6BBF" w:rsidP="00EA6BBF">
            <w:pPr>
              <w:widowControl/>
              <w:spacing w:before="120" w:line="240" w:lineRule="atLeast"/>
              <w:rPr>
                <w:b/>
                <w:bCs/>
                <w:sz w:val="22"/>
                <w:szCs w:val="22"/>
              </w:rPr>
            </w:pPr>
            <w:r w:rsidRPr="00EA6BBF">
              <w:rPr>
                <w:b/>
                <w:bCs/>
                <w:sz w:val="22"/>
                <w:szCs w:val="22"/>
              </w:rPr>
              <w:t>Odsávání</w:t>
            </w:r>
          </w:p>
        </w:tc>
        <w:tc>
          <w:tcPr>
            <w:tcW w:w="6094" w:type="dxa"/>
          </w:tcPr>
          <w:p w14:paraId="357004D8" w14:textId="1584AECB" w:rsidR="00EA6BBF" w:rsidRPr="00EA6BBF" w:rsidRDefault="00EA6BBF" w:rsidP="00EA6BBF">
            <w:pPr>
              <w:widowControl/>
              <w:spacing w:before="120" w:line="240" w:lineRule="atLeast"/>
              <w:rPr>
                <w:sz w:val="22"/>
                <w:szCs w:val="22"/>
              </w:rPr>
            </w:pPr>
            <w:r w:rsidRPr="00EA6BBF">
              <w:rPr>
                <w:sz w:val="22"/>
                <w:szCs w:val="22"/>
              </w:rPr>
              <w:t>Přípravek pro odsávání – bez vysavače</w:t>
            </w:r>
          </w:p>
        </w:tc>
      </w:tr>
      <w:tr w:rsidR="00EA6BBF" w14:paraId="270957D2" w14:textId="77777777" w:rsidTr="00EA6BBF">
        <w:tc>
          <w:tcPr>
            <w:tcW w:w="3256" w:type="dxa"/>
          </w:tcPr>
          <w:p w14:paraId="5B1E900C" w14:textId="6BC73ACC" w:rsidR="00EA6BBF" w:rsidRPr="00EA6BBF" w:rsidRDefault="00EA6BBF" w:rsidP="00EA6BBF">
            <w:pPr>
              <w:widowControl/>
              <w:spacing w:before="120" w:line="240" w:lineRule="atLeast"/>
              <w:rPr>
                <w:b/>
                <w:bCs/>
                <w:sz w:val="22"/>
                <w:szCs w:val="22"/>
              </w:rPr>
            </w:pPr>
            <w:r w:rsidRPr="00EA6BBF">
              <w:rPr>
                <w:b/>
                <w:bCs/>
                <w:sz w:val="22"/>
                <w:szCs w:val="22"/>
              </w:rPr>
              <w:t>Chlazení</w:t>
            </w:r>
          </w:p>
        </w:tc>
        <w:tc>
          <w:tcPr>
            <w:tcW w:w="6094" w:type="dxa"/>
          </w:tcPr>
          <w:p w14:paraId="3E88F41A" w14:textId="41C52FDD" w:rsidR="00EA6BBF" w:rsidRPr="00EA6BBF" w:rsidRDefault="00EA6BBF" w:rsidP="00EA6BBF">
            <w:pPr>
              <w:widowControl/>
              <w:spacing w:before="120" w:line="240" w:lineRule="atLeast"/>
              <w:rPr>
                <w:sz w:val="22"/>
                <w:szCs w:val="22"/>
              </w:rPr>
            </w:pPr>
            <w:r w:rsidRPr="00EA6BBF">
              <w:rPr>
                <w:sz w:val="22"/>
                <w:szCs w:val="22"/>
              </w:rPr>
              <w:t>Sprejový chladící systém vč. chladící nevýbušné kapaliny</w:t>
            </w:r>
          </w:p>
        </w:tc>
      </w:tr>
      <w:tr w:rsidR="00EA6BBF" w14:paraId="28F938FB" w14:textId="77777777" w:rsidTr="00EA6BBF">
        <w:tc>
          <w:tcPr>
            <w:tcW w:w="3256" w:type="dxa"/>
          </w:tcPr>
          <w:p w14:paraId="325841CF" w14:textId="7AA29788" w:rsidR="00EA6BBF" w:rsidRPr="00EA6BBF" w:rsidRDefault="00EA6BBF" w:rsidP="00EA6BBF">
            <w:pPr>
              <w:widowControl/>
              <w:spacing w:before="120" w:line="240" w:lineRule="atLeast"/>
              <w:rPr>
                <w:b/>
                <w:bCs/>
                <w:sz w:val="22"/>
                <w:szCs w:val="22"/>
              </w:rPr>
            </w:pPr>
            <w:r w:rsidRPr="00EA6BBF">
              <w:rPr>
                <w:b/>
                <w:bCs/>
                <w:sz w:val="22"/>
                <w:szCs w:val="22"/>
              </w:rPr>
              <w:t>Řídící systém</w:t>
            </w:r>
          </w:p>
        </w:tc>
        <w:tc>
          <w:tcPr>
            <w:tcW w:w="6094" w:type="dxa"/>
          </w:tcPr>
          <w:p w14:paraId="7EE16C00" w14:textId="75175871" w:rsidR="00EA6BBF" w:rsidRPr="00EA6BBF" w:rsidRDefault="00EA6BBF" w:rsidP="00EA6BBF">
            <w:pPr>
              <w:widowControl/>
              <w:spacing w:before="120" w:line="240" w:lineRule="atLeast"/>
              <w:rPr>
                <w:sz w:val="22"/>
                <w:szCs w:val="22"/>
              </w:rPr>
            </w:pPr>
            <w:r w:rsidRPr="00EA6BBF">
              <w:rPr>
                <w:sz w:val="22"/>
                <w:szCs w:val="22"/>
              </w:rPr>
              <w:t>myCNC + průmyslový počítač, monitor a periferie</w:t>
            </w:r>
          </w:p>
        </w:tc>
      </w:tr>
      <w:tr w:rsidR="00EA6BBF" w14:paraId="0AD60437" w14:textId="77777777" w:rsidTr="00EA6BBF">
        <w:tc>
          <w:tcPr>
            <w:tcW w:w="3256" w:type="dxa"/>
          </w:tcPr>
          <w:p w14:paraId="2C1A6885" w14:textId="587295B7" w:rsidR="00EA6BBF" w:rsidRPr="00EA6BBF" w:rsidRDefault="00EA6BBF" w:rsidP="00EA6BBF">
            <w:pPr>
              <w:widowControl/>
              <w:spacing w:before="120" w:line="240" w:lineRule="atLeast"/>
              <w:rPr>
                <w:b/>
                <w:bCs/>
                <w:sz w:val="22"/>
                <w:szCs w:val="22"/>
              </w:rPr>
            </w:pPr>
            <w:r w:rsidRPr="00EA6BBF">
              <w:rPr>
                <w:b/>
                <w:bCs/>
                <w:sz w:val="22"/>
                <w:szCs w:val="22"/>
              </w:rPr>
              <w:t>Ostatní</w:t>
            </w:r>
          </w:p>
        </w:tc>
        <w:tc>
          <w:tcPr>
            <w:tcW w:w="6094" w:type="dxa"/>
          </w:tcPr>
          <w:p w14:paraId="50FDF0EA" w14:textId="77777777" w:rsidR="00EA6BBF" w:rsidRPr="00EA6BBF" w:rsidRDefault="00EA6BBF" w:rsidP="00EA6BBF">
            <w:pPr>
              <w:widowControl/>
              <w:spacing w:before="120" w:line="240" w:lineRule="atLeast"/>
              <w:rPr>
                <w:sz w:val="22"/>
                <w:szCs w:val="22"/>
              </w:rPr>
            </w:pPr>
            <w:r w:rsidRPr="00EA6BBF">
              <w:rPr>
                <w:sz w:val="22"/>
                <w:szCs w:val="22"/>
              </w:rPr>
              <w:t>Výškový senzor</w:t>
            </w:r>
          </w:p>
          <w:p w14:paraId="39102C9B" w14:textId="12757AA0" w:rsidR="00EA6BBF" w:rsidRPr="00EA6BBF" w:rsidRDefault="00EA6BBF" w:rsidP="00EA6BBF">
            <w:pPr>
              <w:widowControl/>
              <w:spacing w:before="120" w:line="240" w:lineRule="atLeast"/>
              <w:rPr>
                <w:sz w:val="22"/>
                <w:szCs w:val="22"/>
              </w:rPr>
            </w:pPr>
            <w:r w:rsidRPr="00EA6BBF">
              <w:rPr>
                <w:sz w:val="22"/>
                <w:szCs w:val="22"/>
              </w:rPr>
              <w:t>Bezdrátový MPG ovladač</w:t>
            </w:r>
          </w:p>
          <w:p w14:paraId="3C8C09DB" w14:textId="2B42284A" w:rsidR="00EA6BBF" w:rsidRPr="00EA6BBF" w:rsidRDefault="00EA6BBF" w:rsidP="00EA6BBF">
            <w:pPr>
              <w:widowControl/>
              <w:spacing w:before="120" w:line="240" w:lineRule="atLeast"/>
              <w:rPr>
                <w:sz w:val="22"/>
                <w:szCs w:val="22"/>
              </w:rPr>
            </w:pPr>
            <w:r w:rsidRPr="00EA6BBF">
              <w:rPr>
                <w:sz w:val="22"/>
                <w:szCs w:val="22"/>
              </w:rPr>
              <w:t>Vyrovnání, seřízení a uvedení stroje do chodu + zaškolení</w:t>
            </w:r>
          </w:p>
          <w:p w14:paraId="0C288DD6" w14:textId="21F7DC4D" w:rsidR="00EA6BBF" w:rsidRPr="00EA6BBF" w:rsidRDefault="00EA6BBF" w:rsidP="00EA6BBF">
            <w:pPr>
              <w:widowControl/>
              <w:spacing w:before="120" w:line="240" w:lineRule="atLeast"/>
              <w:rPr>
                <w:sz w:val="22"/>
                <w:szCs w:val="22"/>
              </w:rPr>
            </w:pPr>
            <w:r w:rsidRPr="00EA6BBF">
              <w:rPr>
                <w:sz w:val="22"/>
                <w:szCs w:val="22"/>
              </w:rPr>
              <w:t>Konstrukce stroje – obrobená</w:t>
            </w:r>
          </w:p>
        </w:tc>
      </w:tr>
      <w:tr w:rsidR="00EA6BBF" w14:paraId="63A28191" w14:textId="77777777" w:rsidTr="00EA6BBF">
        <w:tc>
          <w:tcPr>
            <w:tcW w:w="3256" w:type="dxa"/>
          </w:tcPr>
          <w:p w14:paraId="6CE630D5" w14:textId="2668D23D" w:rsidR="00EA6BBF" w:rsidRPr="00EA6BBF" w:rsidRDefault="00EA6BBF" w:rsidP="00EA6BBF">
            <w:pPr>
              <w:widowControl/>
              <w:spacing w:before="120" w:line="240" w:lineRule="atLeast"/>
              <w:rPr>
                <w:b/>
                <w:bCs/>
                <w:sz w:val="22"/>
                <w:szCs w:val="22"/>
              </w:rPr>
            </w:pPr>
            <w:r w:rsidRPr="00EA6BBF">
              <w:rPr>
                <w:b/>
                <w:bCs/>
                <w:sz w:val="22"/>
                <w:szCs w:val="22"/>
              </w:rPr>
              <w:t>Omezení</w:t>
            </w:r>
          </w:p>
        </w:tc>
        <w:tc>
          <w:tcPr>
            <w:tcW w:w="6094" w:type="dxa"/>
          </w:tcPr>
          <w:p w14:paraId="55EC41BB" w14:textId="731904E4" w:rsidR="00EA6BBF" w:rsidRPr="00EA6BBF" w:rsidRDefault="00EA6BBF" w:rsidP="00EA6BBF">
            <w:pPr>
              <w:widowControl/>
              <w:spacing w:before="120" w:line="240" w:lineRule="atLeast"/>
              <w:rPr>
                <w:sz w:val="22"/>
                <w:szCs w:val="22"/>
              </w:rPr>
            </w:pPr>
            <w:r w:rsidRPr="00EA6BBF">
              <w:rPr>
                <w:sz w:val="22"/>
                <w:szCs w:val="22"/>
              </w:rPr>
              <w:t>maximální šířka 140 cm (je myšlena maximální šířka stavebního otvoru, kterým je třeba stroj dostat do místnosti)</w:t>
            </w:r>
          </w:p>
        </w:tc>
      </w:tr>
    </w:tbl>
    <w:p w14:paraId="6C92637A" w14:textId="77777777" w:rsidR="00EA6BBF" w:rsidRDefault="00EA6BBF" w:rsidP="00EA6BBF">
      <w:pPr>
        <w:widowControl/>
        <w:spacing w:after="160" w:line="278" w:lineRule="auto"/>
        <w:rPr>
          <w:b/>
          <w:bCs/>
          <w:sz w:val="22"/>
          <w:szCs w:val="22"/>
        </w:rPr>
      </w:pPr>
    </w:p>
    <w:p w14:paraId="487CD1B4" w14:textId="77777777" w:rsidR="00EA6BBF" w:rsidRDefault="00EA6BBF" w:rsidP="00EA6BBF">
      <w:pPr>
        <w:widowControl/>
        <w:spacing w:after="160" w:line="278" w:lineRule="auto"/>
        <w:rPr>
          <w:b/>
          <w:bCs/>
          <w:sz w:val="22"/>
          <w:szCs w:val="22"/>
        </w:rPr>
      </w:pPr>
    </w:p>
    <w:p w14:paraId="616E8621" w14:textId="77777777" w:rsidR="00EA6BBF" w:rsidRDefault="00EA6BBF" w:rsidP="00EA6BBF">
      <w:pPr>
        <w:widowControl/>
        <w:spacing w:after="160" w:line="278" w:lineRule="auto"/>
        <w:rPr>
          <w:b/>
          <w:bCs/>
          <w:sz w:val="22"/>
          <w:szCs w:val="22"/>
        </w:rPr>
      </w:pPr>
    </w:p>
    <w:p w14:paraId="3BF3EBB8" w14:textId="6D118B9D" w:rsidR="00A274C5" w:rsidRPr="00671B50" w:rsidRDefault="00A274C5" w:rsidP="00671B50">
      <w:pPr>
        <w:spacing w:after="160" w:line="259" w:lineRule="auto"/>
        <w:contextualSpacing/>
        <w:rPr>
          <w:rFonts w:cs="Arial"/>
          <w:sz w:val="22"/>
          <w:szCs w:val="22"/>
        </w:rPr>
      </w:pPr>
    </w:p>
    <w:sectPr w:rsidR="00A274C5" w:rsidRPr="00671B50"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521F0ED5"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5C33C0BD" w:rsidR="00477132" w:rsidRPr="001442C5" w:rsidRDefault="00D11B58" w:rsidP="009E518E">
    <w:pPr>
      <w:pStyle w:val="Zhlav"/>
      <w:jc w:val="right"/>
    </w:pPr>
    <w:r>
      <w:t xml:space="preserve">Číslo smlouvy: </w:t>
    </w:r>
    <w:r w:rsidR="00DB18F9">
      <w:t>1125000855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02AAD"/>
    <w:multiLevelType w:val="hybridMultilevel"/>
    <w:tmpl w:val="B2CCC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3"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4"/>
  </w:num>
  <w:num w:numId="2" w16cid:durableId="645742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8"/>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40"/>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2"/>
    <w:lvlOverride w:ilvl="0">
      <w:startOverride w:val="1"/>
    </w:lvlOverride>
  </w:num>
  <w:num w:numId="15" w16cid:durableId="1166751716">
    <w:abstractNumId w:val="31"/>
    <w:lvlOverride w:ilvl="0">
      <w:startOverride w:val="1"/>
    </w:lvlOverride>
  </w:num>
  <w:num w:numId="16" w16cid:durableId="1088692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1"/>
  </w:num>
  <w:num w:numId="22" w16cid:durableId="1125853987">
    <w:abstractNumId w:val="43"/>
  </w:num>
  <w:num w:numId="23" w16cid:durableId="83036111">
    <w:abstractNumId w:val="44"/>
  </w:num>
  <w:num w:numId="24" w16cid:durableId="998733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4"/>
  </w:num>
  <w:num w:numId="27" w16cid:durableId="2032144878">
    <w:abstractNumId w:val="10"/>
  </w:num>
  <w:num w:numId="28" w16cid:durableId="1138913384">
    <w:abstractNumId w:val="42"/>
  </w:num>
  <w:num w:numId="29" w16cid:durableId="1820078045">
    <w:abstractNumId w:val="25"/>
  </w:num>
  <w:num w:numId="30" w16cid:durableId="1160581193">
    <w:abstractNumId w:val="33"/>
  </w:num>
  <w:num w:numId="31" w16cid:durableId="1508058196">
    <w:abstractNumId w:val="9"/>
  </w:num>
  <w:num w:numId="32" w16cid:durableId="1041126680">
    <w:abstractNumId w:val="38"/>
  </w:num>
  <w:num w:numId="33" w16cid:durableId="1496258243">
    <w:abstractNumId w:val="30"/>
  </w:num>
  <w:num w:numId="34" w16cid:durableId="1706055363">
    <w:abstractNumId w:val="41"/>
  </w:num>
  <w:num w:numId="35" w16cid:durableId="1334602894">
    <w:abstractNumId w:val="8"/>
  </w:num>
  <w:num w:numId="36" w16cid:durableId="2053268676">
    <w:abstractNumId w:val="6"/>
  </w:num>
  <w:num w:numId="37" w16cid:durableId="1499879917">
    <w:abstractNumId w:val="14"/>
  </w:num>
  <w:num w:numId="38" w16cid:durableId="442384966">
    <w:abstractNumId w:val="22"/>
  </w:num>
  <w:num w:numId="39" w16cid:durableId="1605922032">
    <w:abstractNumId w:val="17"/>
  </w:num>
  <w:num w:numId="40" w16cid:durableId="504250110">
    <w:abstractNumId w:val="37"/>
  </w:num>
  <w:num w:numId="41" w16cid:durableId="737753464">
    <w:abstractNumId w:val="26"/>
  </w:num>
  <w:num w:numId="42" w16cid:durableId="2130468385">
    <w:abstractNumId w:val="1"/>
  </w:num>
  <w:num w:numId="43" w16cid:durableId="1174760778">
    <w:abstractNumId w:val="45"/>
  </w:num>
  <w:num w:numId="44" w16cid:durableId="1233925082">
    <w:abstractNumId w:val="39"/>
  </w:num>
  <w:num w:numId="45" w16cid:durableId="1256086777">
    <w:abstractNumId w:val="0"/>
  </w:num>
  <w:num w:numId="46" w16cid:durableId="457333479">
    <w:abstractNumId w:val="4"/>
  </w:num>
  <w:num w:numId="47" w16cid:durableId="595023242">
    <w:abstractNumId w:val="2"/>
  </w:num>
  <w:num w:numId="48" w16cid:durableId="41172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4E98"/>
    <w:rsid w:val="001D6EFA"/>
    <w:rsid w:val="001E6A87"/>
    <w:rsid w:val="00214B7A"/>
    <w:rsid w:val="002222BF"/>
    <w:rsid w:val="00224018"/>
    <w:rsid w:val="0022682C"/>
    <w:rsid w:val="00247379"/>
    <w:rsid w:val="00287FCC"/>
    <w:rsid w:val="00297CB8"/>
    <w:rsid w:val="002C35E3"/>
    <w:rsid w:val="002C5F00"/>
    <w:rsid w:val="002E6870"/>
    <w:rsid w:val="002F166B"/>
    <w:rsid w:val="002F40A4"/>
    <w:rsid w:val="00346C1A"/>
    <w:rsid w:val="00361595"/>
    <w:rsid w:val="00362CEF"/>
    <w:rsid w:val="00365638"/>
    <w:rsid w:val="003703A2"/>
    <w:rsid w:val="003829EA"/>
    <w:rsid w:val="00385540"/>
    <w:rsid w:val="00387CAD"/>
    <w:rsid w:val="003A768B"/>
    <w:rsid w:val="003B3C44"/>
    <w:rsid w:val="003D3B62"/>
    <w:rsid w:val="003E77CC"/>
    <w:rsid w:val="00400F34"/>
    <w:rsid w:val="0040417F"/>
    <w:rsid w:val="0040546C"/>
    <w:rsid w:val="004175CC"/>
    <w:rsid w:val="00427F23"/>
    <w:rsid w:val="004301E1"/>
    <w:rsid w:val="0044185C"/>
    <w:rsid w:val="004511E7"/>
    <w:rsid w:val="004529D4"/>
    <w:rsid w:val="0046496F"/>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3283D"/>
    <w:rsid w:val="0053518B"/>
    <w:rsid w:val="00547DC5"/>
    <w:rsid w:val="00553EBE"/>
    <w:rsid w:val="00556723"/>
    <w:rsid w:val="00566042"/>
    <w:rsid w:val="0058340F"/>
    <w:rsid w:val="005846C0"/>
    <w:rsid w:val="00585CDE"/>
    <w:rsid w:val="00587AAC"/>
    <w:rsid w:val="005A5B6F"/>
    <w:rsid w:val="005A6219"/>
    <w:rsid w:val="005C5BE6"/>
    <w:rsid w:val="005C7781"/>
    <w:rsid w:val="005D5122"/>
    <w:rsid w:val="005E7081"/>
    <w:rsid w:val="005E759D"/>
    <w:rsid w:val="00600BF9"/>
    <w:rsid w:val="00601112"/>
    <w:rsid w:val="00643D86"/>
    <w:rsid w:val="00651AF8"/>
    <w:rsid w:val="00652444"/>
    <w:rsid w:val="00654FEF"/>
    <w:rsid w:val="006631FD"/>
    <w:rsid w:val="00671B50"/>
    <w:rsid w:val="00686375"/>
    <w:rsid w:val="00692D7D"/>
    <w:rsid w:val="00697974"/>
    <w:rsid w:val="006B3B80"/>
    <w:rsid w:val="006B3FB7"/>
    <w:rsid w:val="006C2FDE"/>
    <w:rsid w:val="00724BC5"/>
    <w:rsid w:val="0074322B"/>
    <w:rsid w:val="007536D8"/>
    <w:rsid w:val="00775FC7"/>
    <w:rsid w:val="00783EC4"/>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73936"/>
    <w:rsid w:val="00892FF3"/>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7AE"/>
    <w:rsid w:val="00AB7078"/>
    <w:rsid w:val="00AC295B"/>
    <w:rsid w:val="00AF1961"/>
    <w:rsid w:val="00AF37FE"/>
    <w:rsid w:val="00B047DE"/>
    <w:rsid w:val="00B168FE"/>
    <w:rsid w:val="00B41CE7"/>
    <w:rsid w:val="00B53A01"/>
    <w:rsid w:val="00B56B94"/>
    <w:rsid w:val="00B62D10"/>
    <w:rsid w:val="00B9046E"/>
    <w:rsid w:val="00B91C41"/>
    <w:rsid w:val="00B97E76"/>
    <w:rsid w:val="00BA2EDC"/>
    <w:rsid w:val="00BB3D53"/>
    <w:rsid w:val="00BC518B"/>
    <w:rsid w:val="00BC7921"/>
    <w:rsid w:val="00BD26E3"/>
    <w:rsid w:val="00BD713C"/>
    <w:rsid w:val="00BE3A4A"/>
    <w:rsid w:val="00BE3F5B"/>
    <w:rsid w:val="00C009EB"/>
    <w:rsid w:val="00C352B5"/>
    <w:rsid w:val="00C379A4"/>
    <w:rsid w:val="00C5512C"/>
    <w:rsid w:val="00C566D5"/>
    <w:rsid w:val="00C65816"/>
    <w:rsid w:val="00C73158"/>
    <w:rsid w:val="00C809F0"/>
    <w:rsid w:val="00C91CEA"/>
    <w:rsid w:val="00CA52C1"/>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A704A"/>
    <w:rsid w:val="00DB18F9"/>
    <w:rsid w:val="00DC662C"/>
    <w:rsid w:val="00DD6343"/>
    <w:rsid w:val="00DE3B26"/>
    <w:rsid w:val="00DE6392"/>
    <w:rsid w:val="00E000C0"/>
    <w:rsid w:val="00E05356"/>
    <w:rsid w:val="00E054B3"/>
    <w:rsid w:val="00E31A05"/>
    <w:rsid w:val="00E50DAA"/>
    <w:rsid w:val="00E55267"/>
    <w:rsid w:val="00E552C7"/>
    <w:rsid w:val="00E61620"/>
    <w:rsid w:val="00E65017"/>
    <w:rsid w:val="00E704F3"/>
    <w:rsid w:val="00E7485F"/>
    <w:rsid w:val="00E83E4F"/>
    <w:rsid w:val="00E863DF"/>
    <w:rsid w:val="00E877E1"/>
    <w:rsid w:val="00EA1365"/>
    <w:rsid w:val="00EA5316"/>
    <w:rsid w:val="00EA6BBF"/>
    <w:rsid w:val="00EA70D6"/>
    <w:rsid w:val="00EB66DF"/>
    <w:rsid w:val="00EC0FD6"/>
    <w:rsid w:val="00EC2A8D"/>
    <w:rsid w:val="00EE7D21"/>
    <w:rsid w:val="00EF3AFA"/>
    <w:rsid w:val="00F107B0"/>
    <w:rsid w:val="00F11829"/>
    <w:rsid w:val="00F154F8"/>
    <w:rsid w:val="00F211A0"/>
    <w:rsid w:val="00F23D38"/>
    <w:rsid w:val="00F251EB"/>
    <w:rsid w:val="00F37F60"/>
    <w:rsid w:val="00F45273"/>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2508</Words>
  <Characters>14803</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17277</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48</cp:revision>
  <cp:lastPrinted>2019-01-25T09:12:00Z</cp:lastPrinted>
  <dcterms:created xsi:type="dcterms:W3CDTF">2024-01-16T15:35:00Z</dcterms:created>
  <dcterms:modified xsi:type="dcterms:W3CDTF">2025-12-15T10:30:00Z</dcterms:modified>
  <dc:language>en-US</dc:language>
</cp:coreProperties>
</file>