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29B1B011" w14:textId="77777777" w:rsidR="00BE3F9C" w:rsidRPr="007C17B9" w:rsidRDefault="00BE3F9C" w:rsidP="00BE3F9C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BIOMEDICA ČS, s.r.o.</w:t>
      </w:r>
    </w:p>
    <w:p w14:paraId="20BC515F" w14:textId="77777777" w:rsidR="00BE3F9C" w:rsidRPr="007C17B9" w:rsidRDefault="00BE3F9C" w:rsidP="00BE3F9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zapsaná v obchodním rejstříku vedením </w:t>
      </w:r>
      <w:r>
        <w:rPr>
          <w:rFonts w:ascii="Tahoma" w:hAnsi="Tahoma" w:cs="Tahoma"/>
          <w:sz w:val="16"/>
          <w:szCs w:val="16"/>
        </w:rPr>
        <w:t>Městským</w:t>
      </w:r>
      <w:r w:rsidRPr="007C17B9">
        <w:rPr>
          <w:rFonts w:ascii="Tahoma" w:hAnsi="Tahoma" w:cs="Tahoma"/>
          <w:sz w:val="16"/>
          <w:szCs w:val="16"/>
        </w:rPr>
        <w:t xml:space="preserve"> soudem v </w:t>
      </w:r>
      <w:r>
        <w:rPr>
          <w:rFonts w:ascii="Tahoma" w:hAnsi="Tahoma" w:cs="Tahoma"/>
          <w:sz w:val="16"/>
          <w:szCs w:val="16"/>
        </w:rPr>
        <w:t>Praze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sp. zn. C 52908</w:t>
      </w:r>
    </w:p>
    <w:p w14:paraId="738A7124" w14:textId="77777777" w:rsidR="00BE3F9C" w:rsidRPr="007C17B9" w:rsidRDefault="00BE3F9C" w:rsidP="00BE3F9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Pr="007C17B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Radlická 740/113d, Jinonice, 158 00 Praha 5</w:t>
      </w:r>
    </w:p>
    <w:p w14:paraId="212364CC" w14:textId="0B313831" w:rsidR="00BE3F9C" w:rsidRPr="007C17B9" w:rsidRDefault="00BE3F9C" w:rsidP="00BE3F9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463</w:t>
      </w:r>
      <w:r w:rsidR="007D1FD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42</w:t>
      </w:r>
      <w:r w:rsidR="007D1FD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907</w:t>
      </w:r>
      <w:r w:rsidRPr="007C17B9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CZ46342907</w:t>
      </w:r>
    </w:p>
    <w:p w14:paraId="65DE9D2E" w14:textId="77777777" w:rsidR="00BE3F9C" w:rsidRPr="007C17B9" w:rsidRDefault="00BE3F9C" w:rsidP="00BE3F9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zastoupená:</w:t>
      </w:r>
      <w:r w:rsidRPr="007C17B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Alešem Donátem, jednatelem</w:t>
      </w:r>
    </w:p>
    <w:p w14:paraId="2840DAF5" w14:textId="77777777" w:rsidR="00BE3F9C" w:rsidRPr="007C17B9" w:rsidRDefault="00BE3F9C" w:rsidP="00BE3F9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Pr="007C17B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Raiffeisenbank a.s.</w:t>
      </w:r>
    </w:p>
    <w:p w14:paraId="5B1CBC66" w14:textId="77777777" w:rsidR="00BE3F9C" w:rsidRPr="007C17B9" w:rsidRDefault="00BE3F9C" w:rsidP="00BE3F9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Pr="007C17B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1021018730/5500</w:t>
      </w:r>
    </w:p>
    <w:p w14:paraId="78747542" w14:textId="77777777" w:rsidR="00BE3F9C" w:rsidRPr="007C17B9" w:rsidRDefault="00BE3F9C" w:rsidP="00BE3F9C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3D6E1D5" w14:textId="5C5E5362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3B125FFA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7C17B9">
        <w:rPr>
          <w:rFonts w:ascii="Tahoma" w:hAnsi="Tahoma" w:cs="Tahoma"/>
          <w:b/>
          <w:sz w:val="16"/>
          <w:szCs w:val="16"/>
        </w:rPr>
        <w:t>„</w:t>
      </w:r>
      <w:bookmarkStart w:id="0" w:name="_Hlk107566113"/>
      <w:r w:rsidR="0012548C" w:rsidRPr="00403AD5">
        <w:rPr>
          <w:rFonts w:ascii="Tahoma" w:hAnsi="Tahoma" w:cs="Tahoma"/>
          <w:b/>
          <w:sz w:val="16"/>
          <w:szCs w:val="16"/>
        </w:rPr>
        <w:t>D</w:t>
      </w:r>
      <w:r w:rsidR="0012548C" w:rsidRPr="00006815">
        <w:rPr>
          <w:rFonts w:ascii="Tahoma" w:hAnsi="Tahoma" w:cs="Tahoma"/>
          <w:b/>
          <w:bCs/>
          <w:sz w:val="16"/>
          <w:szCs w:val="16"/>
        </w:rPr>
        <w:t>odávky spotřebního materiálu pro vybraná imunochemická vyšetření metodou  CLIA s výpůjčkou analytického systému 202</w:t>
      </w:r>
      <w:r w:rsidR="009C3888">
        <w:rPr>
          <w:rFonts w:ascii="Tahoma" w:hAnsi="Tahoma" w:cs="Tahoma"/>
          <w:b/>
          <w:bCs/>
          <w:sz w:val="16"/>
          <w:szCs w:val="16"/>
        </w:rPr>
        <w:t>5</w:t>
      </w:r>
      <w:bookmarkEnd w:id="0"/>
      <w:r w:rsidR="00DD2772" w:rsidRPr="00006815">
        <w:rPr>
          <w:rFonts w:ascii="Tahoma" w:hAnsi="Tahoma" w:cs="Tahoma"/>
          <w:b/>
          <w:sz w:val="16"/>
          <w:szCs w:val="16"/>
        </w:rPr>
        <w:t>“</w:t>
      </w:r>
      <w:r w:rsidR="00F72B14" w:rsidRPr="00006815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CD2AAB" w:rsidRPr="00CD2AAB">
        <w:rPr>
          <w:rFonts w:ascii="Tahoma" w:hAnsi="Tahoma" w:cs="Tahoma"/>
          <w:sz w:val="16"/>
          <w:szCs w:val="16"/>
        </w:rPr>
        <w:t>Z2025-035415</w:t>
      </w:r>
      <w:r w:rsidR="00312B7E" w:rsidRPr="007C17B9">
        <w:rPr>
          <w:rFonts w:ascii="Tahoma" w:hAnsi="Tahoma" w:cs="Tahoma"/>
          <w:sz w:val="16"/>
          <w:szCs w:val="16"/>
        </w:rPr>
        <w:t xml:space="preserve"> ze dn</w:t>
      </w:r>
      <w:r w:rsidR="0040728E" w:rsidRPr="007C17B9">
        <w:rPr>
          <w:rFonts w:ascii="Tahoma" w:hAnsi="Tahoma" w:cs="Tahoma"/>
          <w:sz w:val="16"/>
          <w:szCs w:val="16"/>
        </w:rPr>
        <w:t xml:space="preserve">e </w:t>
      </w:r>
      <w:r w:rsidR="00DA09D2">
        <w:rPr>
          <w:rFonts w:ascii="Tahoma" w:hAnsi="Tahoma" w:cs="Tahoma"/>
          <w:sz w:val="16"/>
          <w:szCs w:val="16"/>
        </w:rPr>
        <w:t>30. 6. 2025</w:t>
      </w:r>
      <w:r w:rsidR="00312B7E" w:rsidRPr="007C17B9">
        <w:rPr>
          <w:rFonts w:ascii="Tahoma" w:hAnsi="Tahoma" w:cs="Tahoma"/>
          <w:sz w:val="16"/>
          <w:szCs w:val="16"/>
        </w:rPr>
        <w:t xml:space="preserve"> a </w:t>
      </w:r>
      <w:r w:rsidR="003F7B87" w:rsidRPr="003F7B87">
        <w:rPr>
          <w:rFonts w:ascii="Tahoma" w:hAnsi="Tahoma" w:cs="Tahoma"/>
          <w:sz w:val="16"/>
          <w:szCs w:val="16"/>
        </w:rPr>
        <w:t>ID veřejné zakázky na profilu Zadavatele</w:t>
      </w:r>
      <w:r w:rsidR="00EB085E">
        <w:rPr>
          <w:rFonts w:ascii="Tahoma" w:hAnsi="Tahoma" w:cs="Tahoma"/>
          <w:sz w:val="16"/>
          <w:szCs w:val="16"/>
        </w:rPr>
        <w:t xml:space="preserve"> </w:t>
      </w:r>
      <w:r w:rsidR="00DA09D2" w:rsidRPr="00DA09D2">
        <w:rPr>
          <w:rFonts w:ascii="Tahoma" w:hAnsi="Tahoma" w:cs="Tahoma"/>
          <w:sz w:val="16"/>
          <w:szCs w:val="16"/>
        </w:rPr>
        <w:t>VZ0223011</w:t>
      </w:r>
      <w:r w:rsidR="00395219" w:rsidRPr="007C17B9">
        <w:rPr>
          <w:rFonts w:ascii="Tahoma" w:hAnsi="Tahoma" w:cs="Tahoma"/>
          <w:sz w:val="16"/>
          <w:szCs w:val="16"/>
        </w:rPr>
        <w:t xml:space="preserve"> 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1"/>
    </w:p>
    <w:p w14:paraId="0CE312CD" w14:textId="1CC0BF28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 xml:space="preserve">spotřebního materiálu pro </w:t>
      </w:r>
      <w:r w:rsidR="00853C19">
        <w:rPr>
          <w:rFonts w:ascii="Tahoma" w:hAnsi="Tahoma" w:cs="Tahoma"/>
          <w:b/>
          <w:sz w:val="16"/>
          <w:szCs w:val="16"/>
        </w:rPr>
        <w:t>vybraná imunochemická vyšetření metodou CLIA</w:t>
      </w:r>
      <w:r w:rsidR="00853C19" w:rsidRPr="007C17B9">
        <w:rPr>
          <w:rFonts w:ascii="Tahoma" w:hAnsi="Tahoma" w:cs="Tahoma"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č. </w:t>
      </w:r>
      <w:r w:rsidR="00BE3F9C" w:rsidRPr="00C7741A">
        <w:rPr>
          <w:rFonts w:ascii="Tahoma" w:hAnsi="Tahoma" w:cs="Tahoma"/>
          <w:sz w:val="16"/>
          <w:szCs w:val="16"/>
        </w:rPr>
        <w:t>Z2025-035415</w:t>
      </w:r>
      <w:r w:rsidR="00BE3F9C">
        <w:rPr>
          <w:rFonts w:ascii="Tahoma" w:hAnsi="Tahoma" w:cs="Tahoma"/>
          <w:sz w:val="16"/>
          <w:szCs w:val="16"/>
        </w:rPr>
        <w:t xml:space="preserve"> (ev.</w:t>
      </w:r>
      <w:r w:rsidR="008748B5">
        <w:rPr>
          <w:rFonts w:ascii="Tahoma" w:hAnsi="Tahoma" w:cs="Tahoma"/>
          <w:sz w:val="16"/>
          <w:szCs w:val="16"/>
        </w:rPr>
        <w:t xml:space="preserve"> </w:t>
      </w:r>
      <w:r w:rsidR="00BE3F9C">
        <w:rPr>
          <w:rFonts w:ascii="Tahoma" w:hAnsi="Tahoma" w:cs="Tahoma"/>
          <w:sz w:val="16"/>
          <w:szCs w:val="16"/>
        </w:rPr>
        <w:t xml:space="preserve">č. ve </w:t>
      </w:r>
      <w:r w:rsidR="00BE3F9C" w:rsidRPr="00C7741A">
        <w:rPr>
          <w:rFonts w:ascii="Tahoma" w:hAnsi="Tahoma" w:cs="Tahoma"/>
          <w:sz w:val="16"/>
          <w:szCs w:val="16"/>
        </w:rPr>
        <w:t>Věstníku veřejných zakázek</w:t>
      </w:r>
      <w:r w:rsidR="00BE3F9C">
        <w:rPr>
          <w:rFonts w:ascii="Tahoma" w:hAnsi="Tahoma" w:cs="Tahoma"/>
          <w:sz w:val="16"/>
          <w:szCs w:val="16"/>
        </w:rPr>
        <w:t>)</w:t>
      </w:r>
      <w:r w:rsidRPr="007C17B9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7C17B9">
        <w:rPr>
          <w:rFonts w:ascii="Tahoma" w:hAnsi="Tahoma" w:cs="Tahoma"/>
          <w:sz w:val="16"/>
          <w:szCs w:val="16"/>
        </w:rPr>
        <w:t>kterým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25C73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2"/>
    </w:p>
    <w:p w14:paraId="3F2F1A89" w14:textId="705144EF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47565965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732956"/>
      <w:r w:rsidRPr="007C17B9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1.</w:t>
      </w:r>
      <w:r w:rsidR="003D49DB">
        <w:rPr>
          <w:rFonts w:ascii="Tahoma" w:hAnsi="Tahoma" w:cs="Tahoma"/>
          <w:sz w:val="16"/>
          <w:szCs w:val="16"/>
        </w:rPr>
        <w:t> </w:t>
      </w:r>
      <w:r w:rsidR="001602C6" w:rsidRPr="007C17B9">
        <w:rPr>
          <w:rFonts w:ascii="Tahoma" w:hAnsi="Tahoma" w:cs="Tahoma"/>
          <w:sz w:val="16"/>
          <w:szCs w:val="16"/>
        </w:rPr>
        <w:t>202</w:t>
      </w:r>
      <w:r w:rsidR="00485D9E">
        <w:rPr>
          <w:rFonts w:ascii="Tahoma" w:hAnsi="Tahoma" w:cs="Tahoma"/>
          <w:sz w:val="16"/>
          <w:szCs w:val="16"/>
        </w:rPr>
        <w:t>7</w:t>
      </w:r>
      <w:r w:rsidR="001602C6">
        <w:rPr>
          <w:rFonts w:ascii="Tahoma" w:hAnsi="Tahoma" w:cs="Tahoma"/>
          <w:sz w:val="16"/>
          <w:szCs w:val="16"/>
        </w:rPr>
        <w:t>.</w:t>
      </w:r>
      <w:r w:rsidR="00D71B70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je povinen tento nárůst inflace kupujícímu prokázat</w:t>
      </w:r>
      <w:r w:rsidR="00276A50" w:rsidRPr="007C17B9">
        <w:rPr>
          <w:rFonts w:ascii="Tahoma" w:hAnsi="Tahoma" w:cs="Tahoma"/>
          <w:sz w:val="16"/>
          <w:szCs w:val="16"/>
        </w:rPr>
        <w:t xml:space="preserve">, </w:t>
      </w:r>
      <w:r w:rsidRPr="007C17B9">
        <w:rPr>
          <w:rFonts w:ascii="Tahoma" w:hAnsi="Tahoma" w:cs="Tahoma"/>
          <w:sz w:val="16"/>
          <w:szCs w:val="16"/>
        </w:rPr>
        <w:t>ke zvýšení</w:t>
      </w:r>
      <w:r w:rsidR="001A2FB9" w:rsidRPr="007C17B9">
        <w:rPr>
          <w:rFonts w:ascii="Tahoma" w:hAnsi="Tahoma" w:cs="Tahoma"/>
          <w:sz w:val="16"/>
          <w:szCs w:val="16"/>
        </w:rPr>
        <w:t xml:space="preserve"> kupní</w:t>
      </w:r>
      <w:r w:rsidRPr="007C17B9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07C17B9">
        <w:rPr>
          <w:rFonts w:ascii="Tahoma" w:hAnsi="Tahoma" w:cs="Tahoma"/>
          <w:sz w:val="16"/>
          <w:szCs w:val="16"/>
        </w:rPr>
        <w:t>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7F017B" w:rsidRPr="007C17B9">
        <w:rPr>
          <w:rFonts w:ascii="Tahoma" w:hAnsi="Tahoma" w:cs="Tahoma"/>
          <w:sz w:val="16"/>
          <w:szCs w:val="16"/>
        </w:rPr>
        <w:t>Zvýšení kupní ceny</w:t>
      </w:r>
      <w:r w:rsidRPr="007C17B9">
        <w:rPr>
          <w:rFonts w:ascii="Tahoma" w:hAnsi="Tahoma" w:cs="Tahoma"/>
          <w:sz w:val="16"/>
          <w:szCs w:val="16"/>
        </w:rPr>
        <w:t xml:space="preserve"> je účinn</w:t>
      </w:r>
      <w:r w:rsidR="007F017B" w:rsidRPr="007C17B9">
        <w:rPr>
          <w:rFonts w:ascii="Tahoma" w:hAnsi="Tahoma" w:cs="Tahoma"/>
          <w:sz w:val="16"/>
          <w:szCs w:val="16"/>
        </w:rPr>
        <w:t>é</w:t>
      </w:r>
      <w:r w:rsidRPr="007C17B9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07C17B9">
        <w:rPr>
          <w:rFonts w:ascii="Tahoma" w:hAnsi="Tahoma" w:cs="Tahoma"/>
          <w:sz w:val="16"/>
          <w:szCs w:val="16"/>
        </w:rPr>
        <w:t>podepsaného oběma smluvními stranami</w:t>
      </w:r>
      <w:r w:rsidRPr="007C17B9">
        <w:rPr>
          <w:rFonts w:ascii="Tahoma" w:hAnsi="Tahoma" w:cs="Tahoma"/>
          <w:sz w:val="16"/>
          <w:szCs w:val="16"/>
        </w:rPr>
        <w:t>.</w:t>
      </w:r>
      <w:bookmarkEnd w:id="3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49CBDF46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>Fakturu prodávající zašle ve formátu PDF na adresu:</w:t>
      </w:r>
      <w:r w:rsidR="00CD06C5">
        <w:rPr>
          <w:rFonts w:ascii="Tahoma" w:hAnsi="Tahoma" w:cs="Tahoma"/>
          <w:sz w:val="16"/>
          <w:szCs w:val="16"/>
        </w:rPr>
        <w:t xml:space="preserve"> xxxxx</w:t>
      </w:r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>prodávající je 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4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4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EA071B9" w14:textId="77777777" w:rsidR="0048188E" w:rsidRDefault="0048188E" w:rsidP="00A4372A">
      <w:pPr>
        <w:jc w:val="both"/>
        <w:rPr>
          <w:rFonts w:ascii="Tahoma" w:hAnsi="Tahoma" w:cs="Tahoma"/>
          <w:sz w:val="16"/>
          <w:szCs w:val="16"/>
        </w:rPr>
      </w:pP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5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5"/>
    </w:p>
    <w:p w14:paraId="6A631C4B" w14:textId="1499704E" w:rsidR="00AA6A57" w:rsidRPr="00BE3F9C" w:rsidRDefault="00AA6A57" w:rsidP="00BE3F9C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BE3F9C">
        <w:rPr>
          <w:rFonts w:ascii="Tahoma" w:hAnsi="Tahoma" w:cs="Tahoma"/>
          <w:sz w:val="16"/>
          <w:szCs w:val="16"/>
        </w:rPr>
        <w:t xml:space="preserve">Objednávka bude doručena na adresu </w:t>
      </w:r>
      <w:r w:rsidR="005C24D7" w:rsidRPr="00BE3F9C">
        <w:rPr>
          <w:rFonts w:ascii="Tahoma" w:hAnsi="Tahoma" w:cs="Tahoma"/>
          <w:sz w:val="16"/>
          <w:szCs w:val="16"/>
        </w:rPr>
        <w:t xml:space="preserve">prodávajícího </w:t>
      </w:r>
      <w:r w:rsidR="00BE3F9C" w:rsidRPr="00BE3F9C">
        <w:rPr>
          <w:rFonts w:ascii="Tahoma" w:hAnsi="Tahoma" w:cs="Tahoma"/>
          <w:sz w:val="16"/>
          <w:szCs w:val="16"/>
        </w:rPr>
        <w:t>BIOMEDICA ČS, s.r.o.</w:t>
      </w:r>
      <w:r w:rsidR="00BE3F9C">
        <w:rPr>
          <w:rFonts w:ascii="Tahoma" w:hAnsi="Tahoma" w:cs="Tahoma"/>
          <w:sz w:val="16"/>
          <w:szCs w:val="16"/>
        </w:rPr>
        <w:t xml:space="preserve">, </w:t>
      </w:r>
      <w:r w:rsidR="00BE3F9C" w:rsidRPr="00BE3F9C">
        <w:rPr>
          <w:rFonts w:ascii="Tahoma" w:hAnsi="Tahoma" w:cs="Tahoma"/>
          <w:sz w:val="16"/>
          <w:szCs w:val="16"/>
        </w:rPr>
        <w:t>Podnásepní 375/1</w:t>
      </w:r>
      <w:r w:rsidR="00BE3F9C">
        <w:rPr>
          <w:rFonts w:ascii="Tahoma" w:hAnsi="Tahoma" w:cs="Tahoma"/>
          <w:sz w:val="16"/>
          <w:szCs w:val="16"/>
        </w:rPr>
        <w:t>,</w:t>
      </w:r>
      <w:r w:rsidR="00BE3F9C" w:rsidRPr="00BE3F9C">
        <w:rPr>
          <w:rFonts w:ascii="Tahoma" w:hAnsi="Tahoma" w:cs="Tahoma"/>
          <w:sz w:val="16"/>
          <w:szCs w:val="16"/>
        </w:rPr>
        <w:t xml:space="preserve"> 602</w:t>
      </w:r>
      <w:r w:rsidR="00BE3F9C">
        <w:rPr>
          <w:rFonts w:ascii="Tahoma" w:hAnsi="Tahoma" w:cs="Tahoma"/>
          <w:sz w:val="16"/>
          <w:szCs w:val="16"/>
        </w:rPr>
        <w:t> </w:t>
      </w:r>
      <w:r w:rsidR="00BE3F9C" w:rsidRPr="00BE3F9C">
        <w:rPr>
          <w:rFonts w:ascii="Tahoma" w:hAnsi="Tahoma" w:cs="Tahoma"/>
          <w:sz w:val="16"/>
          <w:szCs w:val="16"/>
        </w:rPr>
        <w:t>00 Brno</w:t>
      </w:r>
      <w:r w:rsidR="00D74CEE">
        <w:rPr>
          <w:rFonts w:ascii="Tahoma" w:hAnsi="Tahoma" w:cs="Tahoma"/>
          <w:sz w:val="16"/>
          <w:szCs w:val="16"/>
        </w:rPr>
        <w:t xml:space="preserve"> </w:t>
      </w:r>
      <w:r w:rsidRPr="00BE3F9C">
        <w:rPr>
          <w:rFonts w:ascii="Tahoma" w:hAnsi="Tahoma" w:cs="Tahoma"/>
          <w:sz w:val="16"/>
          <w:szCs w:val="16"/>
        </w:rPr>
        <w:t>nebo</w:t>
      </w:r>
      <w:r w:rsidR="00022818" w:rsidRPr="00BE3F9C">
        <w:rPr>
          <w:rFonts w:ascii="Tahoma" w:hAnsi="Tahoma" w:cs="Tahoma"/>
          <w:sz w:val="16"/>
          <w:szCs w:val="16"/>
        </w:rPr>
        <w:t> </w:t>
      </w:r>
      <w:r w:rsidRPr="00BE3F9C">
        <w:rPr>
          <w:rFonts w:ascii="Tahoma" w:hAnsi="Tahoma" w:cs="Tahoma"/>
          <w:sz w:val="16"/>
          <w:szCs w:val="16"/>
        </w:rPr>
        <w:t>na</w:t>
      </w:r>
      <w:r w:rsidR="009178B7" w:rsidRPr="00BE3F9C">
        <w:rPr>
          <w:rFonts w:ascii="Tahoma" w:hAnsi="Tahoma" w:cs="Tahoma"/>
          <w:sz w:val="16"/>
          <w:szCs w:val="16"/>
        </w:rPr>
        <w:t> </w:t>
      </w:r>
      <w:r w:rsidRPr="00BE3F9C">
        <w:rPr>
          <w:rFonts w:ascii="Tahoma" w:hAnsi="Tahoma" w:cs="Tahoma"/>
          <w:sz w:val="16"/>
          <w:szCs w:val="16"/>
        </w:rPr>
        <w:t>emailovou adresu</w:t>
      </w:r>
      <w:r w:rsidR="008E1A24">
        <w:rPr>
          <w:rFonts w:ascii="Tahoma" w:hAnsi="Tahoma" w:cs="Tahoma"/>
          <w:sz w:val="16"/>
          <w:szCs w:val="16"/>
        </w:rPr>
        <w:t xml:space="preserve"> xxxxx</w:t>
      </w:r>
      <w:r w:rsidR="00BE3F9C" w:rsidRPr="00A01C46">
        <w:rPr>
          <w:rFonts w:ascii="Tahoma" w:hAnsi="Tahoma" w:cs="Tahoma"/>
          <w:sz w:val="16"/>
          <w:szCs w:val="16"/>
        </w:rPr>
        <w:t>.</w:t>
      </w:r>
      <w:r w:rsidR="00BE3F9C" w:rsidRPr="007C17B9">
        <w:rPr>
          <w:rFonts w:ascii="Tahoma" w:hAnsi="Tahoma" w:cs="Tahoma"/>
          <w:sz w:val="16"/>
          <w:szCs w:val="16"/>
        </w:rPr>
        <w:t xml:space="preserve"> </w:t>
      </w:r>
      <w:r w:rsidRPr="00BE3F9C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BE3F9C">
        <w:rPr>
          <w:rFonts w:ascii="Tahoma" w:hAnsi="Tahoma" w:cs="Tahoma"/>
          <w:sz w:val="16"/>
          <w:szCs w:val="16"/>
        </w:rPr>
        <w:t> </w:t>
      </w:r>
      <w:r w:rsidRPr="00BE3F9C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 w:rsidRPr="00BE3F9C">
        <w:rPr>
          <w:rFonts w:ascii="Tahoma" w:hAnsi="Tahoma" w:cs="Tahoma"/>
          <w:sz w:val="16"/>
          <w:szCs w:val="16"/>
        </w:rPr>
        <w:fldChar w:fldCharType="begin"/>
      </w:r>
      <w:r w:rsidR="008E2670" w:rsidRPr="00BE3F9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 w:rsidRPr="00BE3F9C">
        <w:rPr>
          <w:rFonts w:ascii="Tahoma" w:hAnsi="Tahoma" w:cs="Tahoma"/>
          <w:sz w:val="16"/>
          <w:szCs w:val="16"/>
        </w:rPr>
      </w:r>
      <w:r w:rsidR="008E2670" w:rsidRPr="00BE3F9C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VIII</w:t>
      </w:r>
      <w:r w:rsidR="008E2670" w:rsidRPr="00BE3F9C">
        <w:rPr>
          <w:rFonts w:ascii="Tahoma" w:hAnsi="Tahoma" w:cs="Tahoma"/>
          <w:sz w:val="16"/>
          <w:szCs w:val="16"/>
        </w:rPr>
        <w:fldChar w:fldCharType="end"/>
      </w:r>
      <w:r w:rsidRPr="00BE3F9C">
        <w:rPr>
          <w:rFonts w:ascii="Tahoma" w:hAnsi="Tahoma" w:cs="Tahoma"/>
          <w:sz w:val="16"/>
          <w:szCs w:val="16"/>
        </w:rPr>
        <w:t xml:space="preserve"> </w:t>
      </w:r>
      <w:r w:rsidR="004E2BD7" w:rsidRPr="00BE3F9C">
        <w:rPr>
          <w:rFonts w:ascii="Tahoma" w:hAnsi="Tahoma" w:cs="Tahoma"/>
          <w:sz w:val="16"/>
          <w:szCs w:val="16"/>
        </w:rPr>
        <w:t>odst.</w:t>
      </w:r>
      <w:r w:rsidRPr="00BE3F9C">
        <w:rPr>
          <w:rFonts w:ascii="Tahoma" w:hAnsi="Tahoma" w:cs="Tahoma"/>
          <w:sz w:val="16"/>
          <w:szCs w:val="16"/>
        </w:rPr>
        <w:t xml:space="preserve"> </w:t>
      </w:r>
      <w:r w:rsidR="008E2670" w:rsidRPr="00BE3F9C">
        <w:rPr>
          <w:rFonts w:ascii="Tahoma" w:hAnsi="Tahoma" w:cs="Tahoma"/>
          <w:sz w:val="16"/>
          <w:szCs w:val="16"/>
        </w:rPr>
        <w:fldChar w:fldCharType="begin"/>
      </w:r>
      <w:r w:rsidR="008E2670" w:rsidRPr="00BE3F9C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 w:rsidRPr="00BE3F9C">
        <w:rPr>
          <w:rFonts w:ascii="Tahoma" w:hAnsi="Tahoma" w:cs="Tahoma"/>
          <w:sz w:val="16"/>
          <w:szCs w:val="16"/>
        </w:rPr>
      </w:r>
      <w:r w:rsidR="008E2670" w:rsidRPr="00BE3F9C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8E2670" w:rsidRPr="00BE3F9C">
        <w:rPr>
          <w:rFonts w:ascii="Tahoma" w:hAnsi="Tahoma" w:cs="Tahoma"/>
          <w:sz w:val="16"/>
          <w:szCs w:val="16"/>
        </w:rPr>
        <w:fldChar w:fldCharType="end"/>
      </w:r>
      <w:r w:rsidRPr="00BE3F9C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BE3F9C">
        <w:rPr>
          <w:rFonts w:ascii="Tahoma" w:hAnsi="Tahoma" w:cs="Tahoma"/>
          <w:sz w:val="16"/>
          <w:szCs w:val="16"/>
        </w:rPr>
        <w:t>m</w:t>
      </w:r>
      <w:r w:rsidRPr="00BE3F9C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47A97F84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6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5B34A8">
        <w:rPr>
          <w:rFonts w:ascii="Tahoma" w:hAnsi="Tahoma" w:cs="Tahoma"/>
          <w:sz w:val="16"/>
          <w:szCs w:val="16"/>
          <w:lang w:bidi="en-US"/>
        </w:rPr>
        <w:t xml:space="preserve">15 </w:t>
      </w:r>
      <w:r w:rsidR="005F356C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C17B9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6B5862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6B5862">
        <w:rPr>
          <w:rFonts w:ascii="Tahoma" w:hAnsi="Tahoma" w:cs="Tahoma"/>
          <w:sz w:val="16"/>
          <w:szCs w:val="16"/>
          <w:lang w:bidi="en-US"/>
        </w:rPr>
        <w:t>dodání do</w:t>
      </w:r>
      <w:r w:rsidR="005B34A8" w:rsidRPr="006B5862">
        <w:rPr>
          <w:rFonts w:ascii="Tahoma" w:hAnsi="Tahoma" w:cs="Tahoma"/>
          <w:sz w:val="16"/>
          <w:szCs w:val="16"/>
          <w:lang w:bidi="en-US"/>
        </w:rPr>
        <w:t xml:space="preserve"> 5 </w:t>
      </w:r>
      <w:r w:rsidR="005F356C" w:rsidRPr="006B5862">
        <w:rPr>
          <w:rFonts w:ascii="Tahoma" w:hAnsi="Tahoma" w:cs="Tahoma"/>
          <w:sz w:val="16"/>
          <w:szCs w:val="16"/>
          <w:lang w:bidi="en-US"/>
        </w:rPr>
        <w:t>pracovních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dnů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2171639D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6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7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8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8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7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38C4AA94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9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9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0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0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2EC7C2BF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230DA9B" w14:textId="6F146745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1" w:name="_Ref163729130"/>
      <w:bookmarkStart w:id="12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1"/>
    </w:p>
    <w:p w14:paraId="33E8754E" w14:textId="078BF9D6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3" w:name="_Ref165879922"/>
      <w:bookmarkEnd w:id="12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vyžadován </w:t>
      </w:r>
      <w:r w:rsidR="007757BD" w:rsidRPr="007C17B9">
        <w:rPr>
          <w:rFonts w:ascii="Tahoma" w:hAnsi="Tahoma" w:cs="Tahoma"/>
          <w:sz w:val="16"/>
          <w:szCs w:val="16"/>
        </w:rPr>
        <w:t>zašle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3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75466B2D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29A1A1A5" w14:textId="40CDB21C" w:rsidR="006C65B8" w:rsidRDefault="00CF56CC" w:rsidP="00485D9E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 xml:space="preserve">Kupující si v souladu s ustanovením § 100 odst. 2 ZZVZ, vyhrazuje změnu </w:t>
      </w:r>
      <w:r w:rsidR="00FE5A59" w:rsidRPr="006C65B8">
        <w:rPr>
          <w:rFonts w:ascii="Tahoma" w:hAnsi="Tahoma" w:cs="Tahoma"/>
          <w:sz w:val="16"/>
          <w:szCs w:val="16"/>
        </w:rPr>
        <w:t>p</w:t>
      </w:r>
      <w:r w:rsidRPr="006C65B8">
        <w:rPr>
          <w:rFonts w:ascii="Tahoma" w:hAnsi="Tahoma" w:cs="Tahoma"/>
          <w:sz w:val="16"/>
          <w:szCs w:val="16"/>
        </w:rPr>
        <w:t xml:space="preserve">rodávajícího v průběhu </w:t>
      </w:r>
      <w:r w:rsidR="00FE5A59" w:rsidRPr="006C65B8">
        <w:rPr>
          <w:rFonts w:ascii="Tahoma" w:hAnsi="Tahoma" w:cs="Tahoma"/>
          <w:sz w:val="16"/>
          <w:szCs w:val="16"/>
        </w:rPr>
        <w:t>trvání smlouvy</w:t>
      </w:r>
      <w:r w:rsidRPr="006C65B8">
        <w:rPr>
          <w:rFonts w:ascii="Tahoma" w:hAnsi="Tahoma" w:cs="Tahoma"/>
          <w:sz w:val="16"/>
          <w:szCs w:val="16"/>
        </w:rPr>
        <w:t xml:space="preserve">, a to v případě, kdy </w:t>
      </w:r>
      <w:r w:rsidR="00FE4D08" w:rsidRPr="006C65B8">
        <w:rPr>
          <w:rFonts w:ascii="Tahoma" w:hAnsi="Tahoma" w:cs="Tahoma"/>
          <w:sz w:val="16"/>
          <w:szCs w:val="16"/>
        </w:rPr>
        <w:t>s</w:t>
      </w:r>
      <w:r w:rsidRPr="006C65B8">
        <w:rPr>
          <w:rFonts w:ascii="Tahoma" w:hAnsi="Tahoma" w:cs="Tahoma"/>
          <w:sz w:val="16"/>
          <w:szCs w:val="16"/>
        </w:rPr>
        <w:t>mlouva bude ukončena</w:t>
      </w:r>
      <w:r w:rsidR="006D2BDF" w:rsidRPr="006C65B8">
        <w:rPr>
          <w:rFonts w:ascii="Tahoma" w:hAnsi="Tahoma" w:cs="Tahoma"/>
          <w:sz w:val="16"/>
          <w:szCs w:val="16"/>
        </w:rPr>
        <w:t xml:space="preserve"> </w:t>
      </w:r>
      <w:r w:rsidR="00FE1C82" w:rsidRPr="00854607">
        <w:rPr>
          <w:rFonts w:ascii="Tahoma" w:hAnsi="Tahoma" w:cs="Tahoma"/>
          <w:sz w:val="16"/>
          <w:szCs w:val="16"/>
        </w:rPr>
        <w:t xml:space="preserve">z důvodu odstoupení </w:t>
      </w:r>
      <w:r w:rsidR="005F3B07" w:rsidRPr="00854607">
        <w:rPr>
          <w:rFonts w:ascii="Tahoma" w:hAnsi="Tahoma" w:cs="Tahoma"/>
          <w:sz w:val="16"/>
          <w:szCs w:val="16"/>
        </w:rPr>
        <w:t>kupujícího</w:t>
      </w:r>
      <w:r w:rsidR="00FE1C82" w:rsidRPr="00854607">
        <w:rPr>
          <w:rFonts w:ascii="Tahoma" w:hAnsi="Tahoma" w:cs="Tahoma"/>
          <w:sz w:val="16"/>
          <w:szCs w:val="16"/>
        </w:rPr>
        <w:t xml:space="preserve"> od </w:t>
      </w:r>
      <w:r w:rsidR="005F3B07" w:rsidRPr="00854607">
        <w:rPr>
          <w:rFonts w:ascii="Tahoma" w:hAnsi="Tahoma" w:cs="Tahoma"/>
          <w:sz w:val="16"/>
          <w:szCs w:val="16"/>
        </w:rPr>
        <w:t>smlouvy</w:t>
      </w:r>
      <w:r w:rsidR="00FE1C82" w:rsidRPr="00854607">
        <w:rPr>
          <w:rFonts w:ascii="Tahoma" w:hAnsi="Tahoma" w:cs="Tahoma"/>
          <w:sz w:val="16"/>
          <w:szCs w:val="16"/>
        </w:rPr>
        <w:t xml:space="preserve"> pro její podstatné porušení ze strany </w:t>
      </w:r>
      <w:r w:rsidR="005F3B07" w:rsidRPr="00854607">
        <w:rPr>
          <w:rFonts w:ascii="Tahoma" w:hAnsi="Tahoma" w:cs="Tahoma"/>
          <w:sz w:val="16"/>
          <w:szCs w:val="16"/>
        </w:rPr>
        <w:t xml:space="preserve">prodávajícího </w:t>
      </w:r>
      <w:r w:rsidR="00FE1C82" w:rsidRPr="00854607">
        <w:rPr>
          <w:rFonts w:ascii="Tahoma" w:hAnsi="Tahoma" w:cs="Tahoma"/>
          <w:sz w:val="16"/>
          <w:szCs w:val="16"/>
        </w:rPr>
        <w:t xml:space="preserve">nebo v případě odstoupení od smlouvy </w:t>
      </w:r>
      <w:r w:rsidR="00925A93">
        <w:rPr>
          <w:rFonts w:ascii="Tahoma" w:hAnsi="Tahoma" w:cs="Tahoma"/>
          <w:sz w:val="16"/>
          <w:szCs w:val="16"/>
        </w:rPr>
        <w:t xml:space="preserve">prodávajícího </w:t>
      </w:r>
      <w:r w:rsidR="00FE1C82" w:rsidRPr="00854607">
        <w:rPr>
          <w:rFonts w:ascii="Tahoma" w:hAnsi="Tahoma" w:cs="Tahoma"/>
          <w:sz w:val="16"/>
          <w:szCs w:val="16"/>
        </w:rPr>
        <w:t xml:space="preserve">či výpovědi smlouvy </w:t>
      </w:r>
      <w:r w:rsidR="00925A93">
        <w:rPr>
          <w:rFonts w:ascii="Tahoma" w:hAnsi="Tahoma" w:cs="Tahoma"/>
          <w:sz w:val="16"/>
          <w:szCs w:val="16"/>
        </w:rPr>
        <w:t>některou smluvní stranou</w:t>
      </w:r>
      <w:r w:rsidR="00FE5A59" w:rsidRPr="006C65B8">
        <w:rPr>
          <w:rFonts w:ascii="Tahoma" w:hAnsi="Tahoma" w:cs="Tahoma"/>
          <w:sz w:val="16"/>
          <w:szCs w:val="16"/>
        </w:rPr>
        <w:t xml:space="preserve"> </w:t>
      </w:r>
      <w:r w:rsidR="00FE1C82" w:rsidRPr="00854607">
        <w:rPr>
          <w:rFonts w:ascii="Tahoma" w:hAnsi="Tahoma" w:cs="Tahoma"/>
          <w:sz w:val="16"/>
          <w:szCs w:val="16"/>
        </w:rPr>
        <w:t>v průběhu plnění</w:t>
      </w:r>
      <w:r w:rsidR="00080E22" w:rsidRPr="00854607">
        <w:rPr>
          <w:rFonts w:ascii="Tahoma" w:hAnsi="Tahoma" w:cs="Tahoma"/>
          <w:sz w:val="16"/>
          <w:szCs w:val="16"/>
        </w:rPr>
        <w:t xml:space="preserve">. </w:t>
      </w:r>
      <w:r w:rsidRPr="006C65B8">
        <w:rPr>
          <w:rFonts w:ascii="Tahoma" w:hAnsi="Tahoma" w:cs="Tahoma"/>
          <w:sz w:val="16"/>
          <w:szCs w:val="16"/>
        </w:rPr>
        <w:t xml:space="preserve">Kupující </w:t>
      </w:r>
      <w:r w:rsidR="00EE4CA7" w:rsidRPr="006C65B8">
        <w:rPr>
          <w:rFonts w:ascii="Tahoma" w:hAnsi="Tahoma" w:cs="Tahoma"/>
          <w:sz w:val="16"/>
          <w:szCs w:val="16"/>
        </w:rPr>
        <w:t xml:space="preserve">je v tomto případě </w:t>
      </w:r>
      <w:r w:rsidRPr="006C65B8">
        <w:rPr>
          <w:rFonts w:ascii="Tahoma" w:hAnsi="Tahoma" w:cs="Tahoma"/>
          <w:sz w:val="16"/>
          <w:szCs w:val="16"/>
        </w:rPr>
        <w:t xml:space="preserve">oprávněn </w:t>
      </w:r>
      <w:r w:rsidR="000F732C" w:rsidRPr="006C65B8">
        <w:rPr>
          <w:rFonts w:ascii="Tahoma" w:hAnsi="Tahoma" w:cs="Tahoma"/>
          <w:sz w:val="16"/>
          <w:szCs w:val="16"/>
        </w:rPr>
        <w:t xml:space="preserve">uzavřít novou smlouvu </w:t>
      </w:r>
      <w:r w:rsidR="005507BD" w:rsidRPr="00854607">
        <w:rPr>
          <w:rFonts w:ascii="Tahoma" w:hAnsi="Tahoma" w:cs="Tahoma"/>
          <w:sz w:val="16"/>
          <w:szCs w:val="16"/>
        </w:rPr>
        <w:t xml:space="preserve">odpovídající znění </w:t>
      </w:r>
      <w:r w:rsidR="001E75DB" w:rsidRPr="00854607">
        <w:rPr>
          <w:rFonts w:ascii="Tahoma" w:hAnsi="Tahoma" w:cs="Tahoma"/>
          <w:sz w:val="16"/>
          <w:szCs w:val="16"/>
        </w:rPr>
        <w:t>zadávacích podmínek veřejné zakázky</w:t>
      </w:r>
      <w:r w:rsidR="005507BD" w:rsidRPr="00854607">
        <w:rPr>
          <w:rFonts w:ascii="Tahoma" w:hAnsi="Tahoma" w:cs="Tahoma"/>
          <w:sz w:val="16"/>
          <w:szCs w:val="16"/>
        </w:rPr>
        <w:t xml:space="preserve"> s dodavatelem (účastníkem) tohoto zadávacího řízení, který se umístil jako další v pořadí dle původních výsledků zadávacího řízení na uzavření </w:t>
      </w:r>
      <w:r w:rsidR="008C73FD" w:rsidRPr="00854607">
        <w:rPr>
          <w:rFonts w:ascii="Tahoma" w:hAnsi="Tahoma" w:cs="Tahoma"/>
          <w:sz w:val="16"/>
          <w:szCs w:val="16"/>
        </w:rPr>
        <w:t>smlouvy</w:t>
      </w:r>
      <w:r w:rsidR="005507BD" w:rsidRPr="00854607">
        <w:rPr>
          <w:rFonts w:ascii="Tahoma" w:hAnsi="Tahoma" w:cs="Tahoma"/>
          <w:sz w:val="16"/>
          <w:szCs w:val="16"/>
        </w:rPr>
        <w:t xml:space="preserve"> za </w:t>
      </w:r>
      <w:r w:rsidR="006C65B8" w:rsidRPr="006C65B8">
        <w:rPr>
          <w:rFonts w:ascii="Tahoma" w:hAnsi="Tahoma" w:cs="Tahoma"/>
          <w:sz w:val="16"/>
          <w:szCs w:val="16"/>
        </w:rPr>
        <w:t>prodávajícím</w:t>
      </w:r>
      <w:r w:rsidR="005507BD" w:rsidRPr="00854607">
        <w:rPr>
          <w:rFonts w:ascii="Tahoma" w:hAnsi="Tahoma" w:cs="Tahoma"/>
          <w:sz w:val="16"/>
          <w:szCs w:val="16"/>
        </w:rPr>
        <w:t xml:space="preserve"> (dále jen „oslovený účastník“).</w:t>
      </w:r>
      <w:r w:rsidR="00080E22" w:rsidRPr="00854607">
        <w:rPr>
          <w:rFonts w:ascii="Tahoma" w:hAnsi="Tahoma" w:cs="Tahoma"/>
          <w:sz w:val="16"/>
          <w:szCs w:val="16"/>
        </w:rPr>
        <w:t xml:space="preserve"> V</w:t>
      </w:r>
      <w:r w:rsidR="00080E22" w:rsidRPr="006C65B8">
        <w:rPr>
          <w:rFonts w:ascii="Tahoma" w:hAnsi="Tahoma" w:cs="Tahoma"/>
          <w:sz w:val="16"/>
          <w:szCs w:val="16"/>
        </w:rPr>
        <w:t xml:space="preserve"> takovém případě </w:t>
      </w:r>
      <w:r w:rsidR="006C65B8" w:rsidRPr="006C65B8">
        <w:rPr>
          <w:rFonts w:ascii="Tahoma" w:hAnsi="Tahoma" w:cs="Tahoma"/>
          <w:sz w:val="16"/>
          <w:szCs w:val="16"/>
        </w:rPr>
        <w:t>k</w:t>
      </w:r>
      <w:r w:rsidR="00080E22" w:rsidRPr="006C65B8">
        <w:rPr>
          <w:rFonts w:ascii="Tahoma" w:hAnsi="Tahoma" w:cs="Tahoma"/>
          <w:sz w:val="16"/>
          <w:szCs w:val="16"/>
        </w:rPr>
        <w:t xml:space="preserve">upující nebude provádět nové hodnocení nabídek, ale bude vycházet z pořadí nabídek v proběhlém zadávacím řízení na </w:t>
      </w:r>
      <w:r w:rsidR="006C65B8" w:rsidRPr="006C65B8">
        <w:rPr>
          <w:rFonts w:ascii="Tahoma" w:hAnsi="Tahoma" w:cs="Tahoma"/>
          <w:sz w:val="16"/>
          <w:szCs w:val="16"/>
        </w:rPr>
        <w:t>v</w:t>
      </w:r>
      <w:r w:rsidR="00080E22" w:rsidRPr="006C65B8">
        <w:rPr>
          <w:rFonts w:ascii="Tahoma" w:hAnsi="Tahoma" w:cs="Tahoma"/>
          <w:sz w:val="16"/>
          <w:szCs w:val="16"/>
        </w:rPr>
        <w:t xml:space="preserve">eřejnou zakázku. Ve vztahu k celkové kupní ceně tato nesmí být vyšší, než byla nabídková cena obsažena v nabídce </w:t>
      </w:r>
      <w:r w:rsidR="006C65B8" w:rsidRPr="006C65B8">
        <w:rPr>
          <w:rFonts w:ascii="Tahoma" w:hAnsi="Tahoma" w:cs="Tahoma"/>
          <w:sz w:val="16"/>
          <w:szCs w:val="16"/>
        </w:rPr>
        <w:t>k</w:t>
      </w:r>
      <w:r w:rsidR="00080E22" w:rsidRPr="006C65B8">
        <w:rPr>
          <w:rFonts w:ascii="Tahoma" w:hAnsi="Tahoma" w:cs="Tahoma"/>
          <w:sz w:val="16"/>
          <w:szCs w:val="16"/>
        </w:rPr>
        <w:t xml:space="preserve">upujícím osloveného dalšího účastníka zadávacího řízení na </w:t>
      </w:r>
      <w:r w:rsidR="006C65B8" w:rsidRPr="006C65B8">
        <w:rPr>
          <w:rFonts w:ascii="Tahoma" w:hAnsi="Tahoma" w:cs="Tahoma"/>
          <w:sz w:val="16"/>
          <w:szCs w:val="16"/>
        </w:rPr>
        <w:t>v</w:t>
      </w:r>
      <w:r w:rsidR="00080E22" w:rsidRPr="006C65B8">
        <w:rPr>
          <w:rFonts w:ascii="Tahoma" w:hAnsi="Tahoma" w:cs="Tahoma"/>
          <w:sz w:val="16"/>
          <w:szCs w:val="16"/>
        </w:rPr>
        <w:t xml:space="preserve">eřejnou zakázku. </w:t>
      </w:r>
      <w:bookmarkStart w:id="15" w:name="_Ref163737263"/>
      <w:bookmarkStart w:id="16" w:name="_Hlk163736114"/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7" w:name="_Ref165879323"/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5"/>
      <w:bookmarkEnd w:id="17"/>
    </w:p>
    <w:bookmarkEnd w:id="14"/>
    <w:bookmarkEnd w:id="16"/>
    <w:p w14:paraId="3853BE44" w14:textId="77777777" w:rsidR="0059200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8DBE69E" w14:textId="77777777" w:rsidR="003E74F4" w:rsidRPr="007C17B9" w:rsidRDefault="003E74F4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8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8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1AEC2CE7" w:rsidR="00A42B4E" w:rsidRPr="007C17B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8E1A24">
        <w:rPr>
          <w:rFonts w:ascii="Tahoma" w:hAnsi="Tahoma" w:cs="Tahoma"/>
          <w:sz w:val="16"/>
          <w:szCs w:val="16"/>
        </w:rPr>
        <w:t xml:space="preserve"> xxxxx</w:t>
      </w:r>
      <w:r w:rsidR="00BE3F9C" w:rsidRPr="00A01C46">
        <w:rPr>
          <w:rFonts w:ascii="Tahoma" w:hAnsi="Tahoma" w:cs="Tahoma"/>
          <w:sz w:val="16"/>
          <w:szCs w:val="16"/>
        </w:rPr>
        <w:t>.</w:t>
      </w:r>
      <w:r w:rsidR="00BE3F9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Kupující je oprávněn vybrat si způsob uplatnění vad a</w:t>
      </w:r>
      <w:r w:rsidR="005D715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19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19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0" w:name="_Ref165881090"/>
      <w:bookmarkStart w:id="21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2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2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223A49FC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3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2766B1">
        <w:rPr>
          <w:rFonts w:ascii="Tahoma" w:hAnsi="Tahoma" w:cs="Tahoma"/>
          <w:sz w:val="16"/>
          <w:szCs w:val="16"/>
        </w:rPr>
        <w:fldChar w:fldCharType="begin"/>
      </w:r>
      <w:r w:rsidR="002766B1">
        <w:rPr>
          <w:rFonts w:ascii="Tahoma" w:hAnsi="Tahoma" w:cs="Tahoma"/>
          <w:sz w:val="16"/>
          <w:szCs w:val="16"/>
        </w:rPr>
        <w:instrText xml:space="preserve"> REF _Ref165879323 \r \h </w:instrText>
      </w:r>
      <w:r w:rsidR="002766B1">
        <w:rPr>
          <w:rFonts w:ascii="Tahoma" w:hAnsi="Tahoma" w:cs="Tahoma"/>
          <w:sz w:val="16"/>
          <w:szCs w:val="16"/>
        </w:rPr>
      </w:r>
      <w:r w:rsidR="002766B1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20</w:t>
      </w:r>
      <w:r w:rsidR="002766B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1"/>
    <w:bookmarkEnd w:id="23"/>
    <w:p w14:paraId="34842683" w14:textId="5277565D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</w:t>
      </w:r>
      <w:r w:rsidR="00FE0A07" w:rsidRPr="007C17B9">
        <w:rPr>
          <w:rFonts w:ascii="Tahoma" w:hAnsi="Tahoma" w:cs="Tahoma"/>
          <w:sz w:val="16"/>
          <w:szCs w:val="16"/>
        </w:rPr>
        <w:t>10.000, -</w:t>
      </w:r>
      <w:r w:rsidR="00213687" w:rsidRPr="007C17B9">
        <w:rPr>
          <w:rFonts w:ascii="Tahoma" w:hAnsi="Tahoma" w:cs="Tahoma"/>
          <w:sz w:val="16"/>
          <w:szCs w:val="16"/>
        </w:rPr>
        <w:t xml:space="preserve">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6E185F4F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4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4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4B35DB4" w14:textId="77777777" w:rsidR="003E74F4" w:rsidRPr="007C17B9" w:rsidRDefault="003E74F4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EA4520">
        <w:rPr>
          <w:rFonts w:ascii="Tahoma" w:hAnsi="Tahoma" w:cs="Tahoma"/>
          <w:sz w:val="16"/>
          <w:szCs w:val="16"/>
        </w:rPr>
        <w:t>4</w:t>
      </w:r>
      <w:r w:rsidR="00FC482E" w:rsidRPr="00EA4520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3C9F434F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A9574C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0879EAD" w14:textId="77777777" w:rsidR="003E74F4" w:rsidRDefault="003E74F4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5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5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08DC39A8" w14:textId="56047E4D" w:rsidR="00BE3F9C" w:rsidRPr="00812023" w:rsidRDefault="00BE3F9C" w:rsidP="00BE3F9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845F2C">
        <w:rPr>
          <w:rFonts w:ascii="Tahoma" w:hAnsi="Tahoma" w:cs="Tahoma"/>
          <w:sz w:val="16"/>
          <w:szCs w:val="16"/>
        </w:rPr>
        <w:t>xxxxx</w:t>
      </w:r>
      <w:r w:rsidRPr="00812023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039C9FB4" w14:textId="6B4A5248" w:rsidR="00BE3F9C" w:rsidRPr="00812023" w:rsidRDefault="00BE3F9C" w:rsidP="00BE3F9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12023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845F2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337DEDEE" w14:textId="1D967E17" w:rsidR="00852DFE" w:rsidRPr="007C17B9" w:rsidRDefault="00BE3F9C" w:rsidP="003E74F4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12023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845F2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6" w:name="_Ref163733815"/>
      <w:bookmarkStart w:id="27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6"/>
    </w:p>
    <w:p w14:paraId="670611B4" w14:textId="030DA8A9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r w:rsidR="00845F2C">
        <w:rPr>
          <w:rFonts w:ascii="Tahoma" w:hAnsi="Tahoma" w:cs="Tahoma"/>
          <w:sz w:val="16"/>
          <w:szCs w:val="16"/>
        </w:rPr>
        <w:t>xxxxx</w:t>
      </w:r>
    </w:p>
    <w:p w14:paraId="6EE2205F" w14:textId="7DC284B6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845F2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bookmarkEnd w:id="27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8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8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9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29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8123EDD" w14:textId="77777777" w:rsidR="00AD2E9E" w:rsidRDefault="00AD2E9E" w:rsidP="00AD2E9E">
      <w:pPr>
        <w:jc w:val="both"/>
        <w:rPr>
          <w:rFonts w:ascii="Tahoma" w:hAnsi="Tahoma" w:cs="Tahoma"/>
          <w:sz w:val="16"/>
          <w:szCs w:val="16"/>
        </w:rPr>
      </w:pPr>
      <w:bookmarkStart w:id="30" w:name="_Hlk205409383"/>
      <w:r w:rsidRPr="007C17B9">
        <w:rPr>
          <w:rFonts w:ascii="Tahoma" w:hAnsi="Tahoma" w:cs="Tahoma"/>
          <w:sz w:val="16"/>
          <w:szCs w:val="16"/>
        </w:rPr>
        <w:t xml:space="preserve">Příloha č. 1: Ceník zboží dle výsledků VZ </w:t>
      </w:r>
    </w:p>
    <w:bookmarkEnd w:id="30"/>
    <w:p w14:paraId="5F026D30" w14:textId="272E2980" w:rsidR="00AD2E9E" w:rsidRPr="007C17B9" w:rsidRDefault="00AD2E9E" w:rsidP="00AD2E9E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</w:t>
      </w:r>
      <w:r>
        <w:rPr>
          <w:rFonts w:ascii="Tahoma" w:hAnsi="Tahoma" w:cs="Tahoma"/>
          <w:sz w:val="16"/>
          <w:szCs w:val="16"/>
        </w:rPr>
        <w:t>Praze</w:t>
      </w:r>
      <w:r w:rsidRPr="007C17B9">
        <w:rPr>
          <w:rFonts w:ascii="Tahoma" w:hAnsi="Tahoma" w:cs="Tahoma"/>
          <w:sz w:val="16"/>
          <w:szCs w:val="16"/>
        </w:rPr>
        <w:t xml:space="preserve"> dne</w:t>
      </w:r>
      <w:r w:rsidR="003E74F4">
        <w:rPr>
          <w:rFonts w:ascii="Tahoma" w:hAnsi="Tahoma" w:cs="Tahoma"/>
          <w:sz w:val="16"/>
          <w:szCs w:val="16"/>
        </w:rPr>
        <w:t xml:space="preserve"> dle el. podpisu</w:t>
      </w:r>
      <w:r w:rsidRPr="007C17B9">
        <w:rPr>
          <w:rFonts w:ascii="Tahoma" w:hAnsi="Tahoma" w:cs="Tahoma"/>
          <w:sz w:val="16"/>
          <w:szCs w:val="16"/>
        </w:rPr>
        <w:tab/>
        <w:t>V Praze dne</w:t>
      </w:r>
      <w:r w:rsidR="003E74F4">
        <w:rPr>
          <w:rFonts w:ascii="Tahoma" w:hAnsi="Tahoma" w:cs="Tahoma"/>
          <w:sz w:val="16"/>
          <w:szCs w:val="16"/>
        </w:rPr>
        <w:t xml:space="preserve"> dle el. podpisu</w:t>
      </w:r>
    </w:p>
    <w:p w14:paraId="7B23C085" w14:textId="77777777" w:rsidR="00AD2E9E" w:rsidRPr="007C17B9" w:rsidRDefault="00AD2E9E" w:rsidP="00AD2E9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259DB8B6" w14:textId="77777777" w:rsidR="00AD2E9E" w:rsidRPr="007C17B9" w:rsidRDefault="00AD2E9E" w:rsidP="00AD2E9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Aleš Donát</w:t>
      </w:r>
      <w:r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EC3E47A" w14:textId="77777777" w:rsidR="00AD2E9E" w:rsidRPr="007C17B9" w:rsidRDefault="00AD2E9E" w:rsidP="00AD2E9E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BIOMEDICA ČS, s.r.o.</w:t>
      </w:r>
      <w:r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5E4C2A6D" w:rsidR="00A93186" w:rsidRDefault="00AD2E9E" w:rsidP="00AD2E9E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71BCD2CD" w14:textId="77777777" w:rsidR="00AD2E9E" w:rsidRDefault="00AD2E9E" w:rsidP="00AD2E9E">
      <w:pPr>
        <w:jc w:val="both"/>
        <w:rPr>
          <w:rFonts w:ascii="Arial" w:hAnsi="Arial" w:cs="Arial"/>
          <w:b/>
          <w:sz w:val="16"/>
          <w:szCs w:val="16"/>
        </w:rPr>
      </w:pPr>
      <w:r w:rsidRPr="001C525D">
        <w:rPr>
          <w:rFonts w:ascii="Arial" w:hAnsi="Arial" w:cs="Arial"/>
          <w:b/>
          <w:sz w:val="16"/>
          <w:szCs w:val="16"/>
        </w:rPr>
        <w:t>Příloha č. 1: Ceník zboží dle výsledků VZ</w:t>
      </w:r>
    </w:p>
    <w:p w14:paraId="73EFF8C8" w14:textId="77777777" w:rsidR="00AD2E9E" w:rsidRDefault="00AD2E9E" w:rsidP="00AD2E9E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156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985"/>
        <w:gridCol w:w="567"/>
        <w:gridCol w:w="992"/>
        <w:gridCol w:w="709"/>
        <w:gridCol w:w="910"/>
        <w:gridCol w:w="767"/>
        <w:gridCol w:w="733"/>
        <w:gridCol w:w="708"/>
        <w:gridCol w:w="567"/>
        <w:gridCol w:w="567"/>
        <w:gridCol w:w="709"/>
        <w:gridCol w:w="709"/>
        <w:gridCol w:w="567"/>
        <w:gridCol w:w="1162"/>
        <w:gridCol w:w="651"/>
        <w:gridCol w:w="1185"/>
      </w:tblGrid>
      <w:tr w:rsidR="00267E44" w:rsidRPr="00860BEA" w14:paraId="2B9656A7" w14:textId="77777777" w:rsidTr="00024E5A">
        <w:trPr>
          <w:cantSplit/>
          <w:trHeight w:val="1170"/>
          <w:tblHeader/>
        </w:trPr>
        <w:tc>
          <w:tcPr>
            <w:tcW w:w="1135" w:type="dxa"/>
            <w:hideMark/>
          </w:tcPr>
          <w:p w14:paraId="582809A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REF</w:t>
            </w: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br/>
              <w:t xml:space="preserve">Katalogové / objednací </w:t>
            </w: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br/>
              <w:t>číslo</w:t>
            </w:r>
          </w:p>
        </w:tc>
        <w:tc>
          <w:tcPr>
            <w:tcW w:w="992" w:type="dxa"/>
            <w:hideMark/>
          </w:tcPr>
          <w:p w14:paraId="1307A61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Obchodní název dle prohlášení o shodě</w:t>
            </w:r>
          </w:p>
        </w:tc>
        <w:tc>
          <w:tcPr>
            <w:tcW w:w="1985" w:type="dxa"/>
            <w:hideMark/>
          </w:tcPr>
          <w:p w14:paraId="277B5FF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Druh zboží - popis</w:t>
            </w: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br/>
              <w:t xml:space="preserve"> (v českém jazyce)</w:t>
            </w:r>
          </w:p>
        </w:tc>
        <w:tc>
          <w:tcPr>
            <w:tcW w:w="567" w:type="dxa"/>
            <w:hideMark/>
          </w:tcPr>
          <w:p w14:paraId="431DC65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UDI-DI</w:t>
            </w:r>
          </w:p>
        </w:tc>
        <w:tc>
          <w:tcPr>
            <w:tcW w:w="992" w:type="dxa"/>
            <w:hideMark/>
          </w:tcPr>
          <w:p w14:paraId="684E231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Kód dle EMDN</w:t>
            </w:r>
          </w:p>
        </w:tc>
        <w:tc>
          <w:tcPr>
            <w:tcW w:w="709" w:type="dxa"/>
            <w:hideMark/>
          </w:tcPr>
          <w:p w14:paraId="18A4E10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Třída rizika zdravotnického prostředku*</w:t>
            </w:r>
          </w:p>
        </w:tc>
        <w:tc>
          <w:tcPr>
            <w:tcW w:w="910" w:type="dxa"/>
            <w:hideMark/>
          </w:tcPr>
          <w:p w14:paraId="0859A1D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Měrná jednotka (počet testů v balení)</w:t>
            </w:r>
          </w:p>
        </w:tc>
        <w:tc>
          <w:tcPr>
            <w:tcW w:w="767" w:type="dxa"/>
            <w:hideMark/>
          </w:tcPr>
          <w:p w14:paraId="71A15AF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Pořizovací cena za test bez DPH v Kč</w:t>
            </w:r>
          </w:p>
        </w:tc>
        <w:tc>
          <w:tcPr>
            <w:tcW w:w="733" w:type="dxa"/>
            <w:hideMark/>
          </w:tcPr>
          <w:p w14:paraId="562C7F1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Sazba DPH</w:t>
            </w:r>
          </w:p>
        </w:tc>
        <w:tc>
          <w:tcPr>
            <w:tcW w:w="708" w:type="dxa"/>
            <w:hideMark/>
          </w:tcPr>
          <w:p w14:paraId="0415684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Cena za balení bez DPH v Kč</w:t>
            </w:r>
          </w:p>
        </w:tc>
        <w:tc>
          <w:tcPr>
            <w:tcW w:w="567" w:type="dxa"/>
            <w:hideMark/>
          </w:tcPr>
          <w:p w14:paraId="444D74F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Kód VZP (ZUM)</w:t>
            </w:r>
          </w:p>
        </w:tc>
        <w:tc>
          <w:tcPr>
            <w:tcW w:w="567" w:type="dxa"/>
            <w:hideMark/>
          </w:tcPr>
          <w:p w14:paraId="6A8CB1B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Maximálně vykazovatelná úhrada</w:t>
            </w:r>
          </w:p>
        </w:tc>
        <w:tc>
          <w:tcPr>
            <w:tcW w:w="709" w:type="dxa"/>
            <w:hideMark/>
          </w:tcPr>
          <w:p w14:paraId="3289D99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Právní režim**</w:t>
            </w:r>
          </w:p>
        </w:tc>
        <w:tc>
          <w:tcPr>
            <w:tcW w:w="709" w:type="dxa"/>
            <w:hideMark/>
          </w:tcPr>
          <w:p w14:paraId="6D6CA30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Povinnost instruktáže</w:t>
            </w: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br/>
              <w:t>ANO / NE</w:t>
            </w:r>
          </w:p>
        </w:tc>
        <w:tc>
          <w:tcPr>
            <w:tcW w:w="567" w:type="dxa"/>
            <w:hideMark/>
          </w:tcPr>
          <w:p w14:paraId="7BB85B4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Povinnost BTK</w:t>
            </w: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br/>
              <w:t>ANO / NE</w:t>
            </w:r>
          </w:p>
        </w:tc>
        <w:tc>
          <w:tcPr>
            <w:tcW w:w="1162" w:type="dxa"/>
            <w:hideMark/>
          </w:tcPr>
          <w:p w14:paraId="6A9385B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Opakované / jednorázové použití</w:t>
            </w:r>
          </w:p>
        </w:tc>
        <w:tc>
          <w:tcPr>
            <w:tcW w:w="651" w:type="dxa"/>
            <w:hideMark/>
          </w:tcPr>
          <w:p w14:paraId="387CC6B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Výrobce</w:t>
            </w:r>
          </w:p>
        </w:tc>
        <w:tc>
          <w:tcPr>
            <w:tcW w:w="1185" w:type="dxa"/>
            <w:hideMark/>
          </w:tcPr>
          <w:p w14:paraId="25E05E8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bCs/>
                <w:sz w:val="11"/>
                <w:szCs w:val="11"/>
              </w:rPr>
              <w:t>Termolabilita / skladovací / přepravní teplota</w:t>
            </w:r>
          </w:p>
        </w:tc>
      </w:tr>
      <w:tr w:rsidR="00267E44" w:rsidRPr="00860BEA" w14:paraId="76833B09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41870BB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ZN-130270004M</w:t>
            </w:r>
          </w:p>
        </w:tc>
        <w:tc>
          <w:tcPr>
            <w:tcW w:w="992" w:type="dxa"/>
            <w:noWrap/>
            <w:hideMark/>
          </w:tcPr>
          <w:p w14:paraId="74D8B35B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17α-OH Progesterone (CLIA)</w:t>
            </w:r>
          </w:p>
        </w:tc>
        <w:tc>
          <w:tcPr>
            <w:tcW w:w="1985" w:type="dxa"/>
            <w:noWrap/>
            <w:hideMark/>
          </w:tcPr>
          <w:p w14:paraId="3865A86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- 17-OH-Progesteron </w:t>
            </w:r>
          </w:p>
        </w:tc>
        <w:tc>
          <w:tcPr>
            <w:tcW w:w="567" w:type="dxa"/>
            <w:noWrap/>
            <w:hideMark/>
          </w:tcPr>
          <w:p w14:paraId="2EF9C16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69471455293WJ</w:t>
            </w:r>
          </w:p>
        </w:tc>
        <w:tc>
          <w:tcPr>
            <w:tcW w:w="992" w:type="dxa"/>
            <w:noWrap/>
            <w:hideMark/>
          </w:tcPr>
          <w:p w14:paraId="3E7D1AF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W0102050107</w:t>
            </w:r>
          </w:p>
        </w:tc>
        <w:tc>
          <w:tcPr>
            <w:tcW w:w="709" w:type="dxa"/>
            <w:noWrap/>
            <w:hideMark/>
          </w:tcPr>
          <w:p w14:paraId="607FE59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2598DC9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7452EF1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60,95</w:t>
            </w:r>
          </w:p>
        </w:tc>
        <w:tc>
          <w:tcPr>
            <w:tcW w:w="733" w:type="dxa"/>
            <w:noWrap/>
            <w:hideMark/>
          </w:tcPr>
          <w:p w14:paraId="2CABDAB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57F36F4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6095,00</w:t>
            </w:r>
          </w:p>
        </w:tc>
        <w:tc>
          <w:tcPr>
            <w:tcW w:w="567" w:type="dxa"/>
            <w:noWrap/>
            <w:hideMark/>
          </w:tcPr>
          <w:p w14:paraId="3101093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CAE6E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608418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35C667D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178AFCA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4A0A453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070E269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44EA95D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4A65EC5F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237CB19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ZN-130655005M</w:t>
            </w:r>
          </w:p>
        </w:tc>
        <w:tc>
          <w:tcPr>
            <w:tcW w:w="992" w:type="dxa"/>
            <w:noWrap/>
            <w:hideMark/>
          </w:tcPr>
          <w:p w14:paraId="01B6E33A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Anti-GAD (CLIA)</w:t>
            </w:r>
          </w:p>
        </w:tc>
        <w:tc>
          <w:tcPr>
            <w:tcW w:w="1985" w:type="dxa"/>
            <w:noWrap/>
            <w:hideMark/>
          </w:tcPr>
          <w:p w14:paraId="6037DFF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GAD </w:t>
            </w:r>
          </w:p>
        </w:tc>
        <w:tc>
          <w:tcPr>
            <w:tcW w:w="567" w:type="dxa"/>
            <w:noWrap/>
            <w:hideMark/>
          </w:tcPr>
          <w:p w14:paraId="5A97F3E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69471455470WG</w:t>
            </w:r>
          </w:p>
        </w:tc>
        <w:tc>
          <w:tcPr>
            <w:tcW w:w="992" w:type="dxa"/>
            <w:noWrap/>
            <w:hideMark/>
          </w:tcPr>
          <w:p w14:paraId="1274C85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W0102060105</w:t>
            </w:r>
          </w:p>
        </w:tc>
        <w:tc>
          <w:tcPr>
            <w:tcW w:w="709" w:type="dxa"/>
            <w:noWrap/>
            <w:hideMark/>
          </w:tcPr>
          <w:p w14:paraId="2536D99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44467F3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5F8A9F5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79,23</w:t>
            </w:r>
          </w:p>
        </w:tc>
        <w:tc>
          <w:tcPr>
            <w:tcW w:w="733" w:type="dxa"/>
            <w:noWrap/>
            <w:hideMark/>
          </w:tcPr>
          <w:p w14:paraId="640FC84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4C847AA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3961,50</w:t>
            </w:r>
          </w:p>
        </w:tc>
        <w:tc>
          <w:tcPr>
            <w:tcW w:w="567" w:type="dxa"/>
            <w:noWrap/>
            <w:hideMark/>
          </w:tcPr>
          <w:p w14:paraId="11615CF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F38277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84F528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661EE64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4A742F3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6643540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3FFA5EB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0311513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3451C215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4329CB3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ZN-130605508M</w:t>
            </w:r>
          </w:p>
        </w:tc>
        <w:tc>
          <w:tcPr>
            <w:tcW w:w="992" w:type="dxa"/>
            <w:noWrap/>
            <w:hideMark/>
          </w:tcPr>
          <w:p w14:paraId="35669BA8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Anti-lA2 (CLIA)</w:t>
            </w:r>
          </w:p>
        </w:tc>
        <w:tc>
          <w:tcPr>
            <w:tcW w:w="1985" w:type="dxa"/>
            <w:noWrap/>
            <w:hideMark/>
          </w:tcPr>
          <w:p w14:paraId="3C6E543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IA-2 </w:t>
            </w:r>
          </w:p>
        </w:tc>
        <w:tc>
          <w:tcPr>
            <w:tcW w:w="567" w:type="dxa"/>
            <w:noWrap/>
            <w:hideMark/>
          </w:tcPr>
          <w:p w14:paraId="6FA1E08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69471455431W6</w:t>
            </w:r>
          </w:p>
        </w:tc>
        <w:tc>
          <w:tcPr>
            <w:tcW w:w="992" w:type="dxa"/>
            <w:noWrap/>
            <w:hideMark/>
          </w:tcPr>
          <w:p w14:paraId="302F825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W0102060106</w:t>
            </w:r>
          </w:p>
        </w:tc>
        <w:tc>
          <w:tcPr>
            <w:tcW w:w="709" w:type="dxa"/>
            <w:noWrap/>
            <w:hideMark/>
          </w:tcPr>
          <w:p w14:paraId="29A93C9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5C85808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089FE26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79,23</w:t>
            </w:r>
          </w:p>
        </w:tc>
        <w:tc>
          <w:tcPr>
            <w:tcW w:w="733" w:type="dxa"/>
            <w:noWrap/>
            <w:hideMark/>
          </w:tcPr>
          <w:p w14:paraId="78BD67D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154504C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3961,50</w:t>
            </w:r>
          </w:p>
        </w:tc>
        <w:tc>
          <w:tcPr>
            <w:tcW w:w="567" w:type="dxa"/>
            <w:noWrap/>
            <w:hideMark/>
          </w:tcPr>
          <w:p w14:paraId="13D4711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03B82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1BBA0F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361B929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5AD3FA7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113D270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720F62C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534C61D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4068F32E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3F8F5EB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ZN-130655003M</w:t>
            </w:r>
          </w:p>
        </w:tc>
        <w:tc>
          <w:tcPr>
            <w:tcW w:w="992" w:type="dxa"/>
            <w:noWrap/>
            <w:hideMark/>
          </w:tcPr>
          <w:p w14:paraId="7A31906F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IAA (CLIA)</w:t>
            </w:r>
          </w:p>
        </w:tc>
        <w:tc>
          <w:tcPr>
            <w:tcW w:w="1985" w:type="dxa"/>
            <w:noWrap/>
            <w:hideMark/>
          </w:tcPr>
          <w:p w14:paraId="5A7ED92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IAA (Anti insulin) </w:t>
            </w:r>
          </w:p>
        </w:tc>
        <w:tc>
          <w:tcPr>
            <w:tcW w:w="567" w:type="dxa"/>
            <w:noWrap/>
            <w:hideMark/>
          </w:tcPr>
          <w:p w14:paraId="4F5C828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69471455469WX</w:t>
            </w:r>
          </w:p>
        </w:tc>
        <w:tc>
          <w:tcPr>
            <w:tcW w:w="992" w:type="dxa"/>
            <w:noWrap/>
            <w:hideMark/>
          </w:tcPr>
          <w:p w14:paraId="2B096AF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W0102060104</w:t>
            </w:r>
          </w:p>
        </w:tc>
        <w:tc>
          <w:tcPr>
            <w:tcW w:w="709" w:type="dxa"/>
            <w:noWrap/>
            <w:hideMark/>
          </w:tcPr>
          <w:p w14:paraId="23583B8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0AEF6DD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1E5506B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79,23</w:t>
            </w:r>
          </w:p>
        </w:tc>
        <w:tc>
          <w:tcPr>
            <w:tcW w:w="733" w:type="dxa"/>
            <w:noWrap/>
            <w:hideMark/>
          </w:tcPr>
          <w:p w14:paraId="3EEEF31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6FEFBE8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3961,50</w:t>
            </w:r>
          </w:p>
        </w:tc>
        <w:tc>
          <w:tcPr>
            <w:tcW w:w="567" w:type="dxa"/>
            <w:noWrap/>
            <w:hideMark/>
          </w:tcPr>
          <w:p w14:paraId="5B6DE5D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18236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3140C2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0322075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4B7F39D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6AD9D1C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4151C1B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7882790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0603FA68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1546010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ZN-130201522M</w:t>
            </w:r>
          </w:p>
        </w:tc>
        <w:tc>
          <w:tcPr>
            <w:tcW w:w="992" w:type="dxa"/>
            <w:noWrap/>
            <w:hideMark/>
          </w:tcPr>
          <w:p w14:paraId="39A34BA8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Gastrin-17 (CLIA) </w:t>
            </w:r>
          </w:p>
        </w:tc>
        <w:tc>
          <w:tcPr>
            <w:tcW w:w="1985" w:type="dxa"/>
            <w:noWrap/>
            <w:hideMark/>
          </w:tcPr>
          <w:p w14:paraId="489A302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Hormonální a endokrinologické diagnostické testy - Gastrin</w:t>
            </w:r>
          </w:p>
        </w:tc>
        <w:tc>
          <w:tcPr>
            <w:tcW w:w="567" w:type="dxa"/>
            <w:noWrap/>
            <w:hideMark/>
          </w:tcPr>
          <w:p w14:paraId="5E35B33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69471455426WD</w:t>
            </w:r>
          </w:p>
        </w:tc>
        <w:tc>
          <w:tcPr>
            <w:tcW w:w="992" w:type="dxa"/>
            <w:noWrap/>
            <w:hideMark/>
          </w:tcPr>
          <w:p w14:paraId="4D2817A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W0102069001</w:t>
            </w:r>
          </w:p>
        </w:tc>
        <w:tc>
          <w:tcPr>
            <w:tcW w:w="709" w:type="dxa"/>
            <w:noWrap/>
            <w:hideMark/>
          </w:tcPr>
          <w:p w14:paraId="1620F62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099019C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78389D9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83,40</w:t>
            </w:r>
          </w:p>
        </w:tc>
        <w:tc>
          <w:tcPr>
            <w:tcW w:w="733" w:type="dxa"/>
            <w:noWrap/>
            <w:hideMark/>
          </w:tcPr>
          <w:p w14:paraId="2F025E3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08E5D61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8340,00</w:t>
            </w:r>
          </w:p>
        </w:tc>
        <w:tc>
          <w:tcPr>
            <w:tcW w:w="567" w:type="dxa"/>
            <w:noWrap/>
            <w:hideMark/>
          </w:tcPr>
          <w:p w14:paraId="74526C2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0CA29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4C61CC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0F4BA2D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63B1E43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3A8C3BD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30DF78C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08281D9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74FC5096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61AA255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ZN-130298505M</w:t>
            </w:r>
          </w:p>
        </w:tc>
        <w:tc>
          <w:tcPr>
            <w:tcW w:w="992" w:type="dxa"/>
            <w:noWrap/>
            <w:hideMark/>
          </w:tcPr>
          <w:p w14:paraId="57689330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IGFBP-3 (CLIA) </w:t>
            </w:r>
          </w:p>
        </w:tc>
        <w:tc>
          <w:tcPr>
            <w:tcW w:w="1985" w:type="dxa"/>
            <w:noWrap/>
            <w:hideMark/>
          </w:tcPr>
          <w:p w14:paraId="61E384E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Hormonální a endokrinologické diagnostické testy -  IGFBP-3</w:t>
            </w:r>
          </w:p>
        </w:tc>
        <w:tc>
          <w:tcPr>
            <w:tcW w:w="567" w:type="dxa"/>
            <w:noWrap/>
            <w:hideMark/>
          </w:tcPr>
          <w:p w14:paraId="706F9F4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69471455429WK</w:t>
            </w:r>
          </w:p>
        </w:tc>
        <w:tc>
          <w:tcPr>
            <w:tcW w:w="992" w:type="dxa"/>
            <w:noWrap/>
            <w:hideMark/>
          </w:tcPr>
          <w:p w14:paraId="053DB06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W0102060406</w:t>
            </w:r>
          </w:p>
        </w:tc>
        <w:tc>
          <w:tcPr>
            <w:tcW w:w="709" w:type="dxa"/>
            <w:noWrap/>
            <w:hideMark/>
          </w:tcPr>
          <w:p w14:paraId="2AA4F1A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14D6664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001ECC3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54,94</w:t>
            </w:r>
          </w:p>
        </w:tc>
        <w:tc>
          <w:tcPr>
            <w:tcW w:w="733" w:type="dxa"/>
            <w:noWrap/>
            <w:hideMark/>
          </w:tcPr>
          <w:p w14:paraId="388D680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23DD56D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5494,00</w:t>
            </w:r>
          </w:p>
        </w:tc>
        <w:tc>
          <w:tcPr>
            <w:tcW w:w="567" w:type="dxa"/>
            <w:noWrap/>
            <w:hideMark/>
          </w:tcPr>
          <w:p w14:paraId="7D58A2E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6F933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F6EE66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0C8A570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3238D42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492F894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3FB2299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30F2FDB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29A1577A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0EAC750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ZN-130252011M</w:t>
            </w:r>
          </w:p>
        </w:tc>
        <w:tc>
          <w:tcPr>
            <w:tcW w:w="992" w:type="dxa"/>
            <w:noWrap/>
            <w:hideMark/>
          </w:tcPr>
          <w:p w14:paraId="0912E5DD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Free-Testosterone (CLIA)</w:t>
            </w:r>
          </w:p>
        </w:tc>
        <w:tc>
          <w:tcPr>
            <w:tcW w:w="1985" w:type="dxa"/>
            <w:noWrap/>
            <w:hideMark/>
          </w:tcPr>
          <w:p w14:paraId="350911F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Free testosteron </w:t>
            </w:r>
          </w:p>
        </w:tc>
        <w:tc>
          <w:tcPr>
            <w:tcW w:w="567" w:type="dxa"/>
            <w:noWrap/>
            <w:hideMark/>
          </w:tcPr>
          <w:p w14:paraId="38034A4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69471455258WG</w:t>
            </w:r>
          </w:p>
        </w:tc>
        <w:tc>
          <w:tcPr>
            <w:tcW w:w="992" w:type="dxa"/>
            <w:noWrap/>
            <w:hideMark/>
          </w:tcPr>
          <w:p w14:paraId="7144A6C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W0102050110</w:t>
            </w:r>
          </w:p>
        </w:tc>
        <w:tc>
          <w:tcPr>
            <w:tcW w:w="709" w:type="dxa"/>
            <w:noWrap/>
            <w:hideMark/>
          </w:tcPr>
          <w:p w14:paraId="71BF3A9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5036CCE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615EA57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40,90</w:t>
            </w:r>
          </w:p>
        </w:tc>
        <w:tc>
          <w:tcPr>
            <w:tcW w:w="733" w:type="dxa"/>
            <w:noWrap/>
            <w:hideMark/>
          </w:tcPr>
          <w:p w14:paraId="06FF666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0F086DE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4090,00</w:t>
            </w:r>
          </w:p>
        </w:tc>
        <w:tc>
          <w:tcPr>
            <w:tcW w:w="567" w:type="dxa"/>
            <w:noWrap/>
            <w:hideMark/>
          </w:tcPr>
          <w:p w14:paraId="516C699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1BB4A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CEF1D2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4C3D2B0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61A822D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0A4DDC5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680AB29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7D726BD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3C2394ED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2DA5BAC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ZN-130270003M</w:t>
            </w:r>
          </w:p>
        </w:tc>
        <w:tc>
          <w:tcPr>
            <w:tcW w:w="992" w:type="dxa"/>
            <w:noWrap/>
            <w:hideMark/>
          </w:tcPr>
          <w:p w14:paraId="49FAA3B4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ACTH (CLIA)</w:t>
            </w:r>
          </w:p>
        </w:tc>
        <w:tc>
          <w:tcPr>
            <w:tcW w:w="1985" w:type="dxa"/>
            <w:noWrap/>
            <w:hideMark/>
          </w:tcPr>
          <w:p w14:paraId="2F671A9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ACTH </w:t>
            </w:r>
          </w:p>
        </w:tc>
        <w:tc>
          <w:tcPr>
            <w:tcW w:w="567" w:type="dxa"/>
            <w:noWrap/>
            <w:hideMark/>
          </w:tcPr>
          <w:p w14:paraId="2172EEE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69471455473WN</w:t>
            </w:r>
          </w:p>
        </w:tc>
        <w:tc>
          <w:tcPr>
            <w:tcW w:w="992" w:type="dxa"/>
            <w:noWrap/>
            <w:hideMark/>
          </w:tcPr>
          <w:p w14:paraId="5144505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W0102060401</w:t>
            </w:r>
          </w:p>
        </w:tc>
        <w:tc>
          <w:tcPr>
            <w:tcW w:w="709" w:type="dxa"/>
            <w:noWrap/>
            <w:hideMark/>
          </w:tcPr>
          <w:p w14:paraId="44CBD2F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5A68CC4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0172BB3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55,74</w:t>
            </w:r>
          </w:p>
        </w:tc>
        <w:tc>
          <w:tcPr>
            <w:tcW w:w="733" w:type="dxa"/>
            <w:noWrap/>
            <w:hideMark/>
          </w:tcPr>
          <w:p w14:paraId="298599A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05657A7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5574,00</w:t>
            </w:r>
          </w:p>
        </w:tc>
        <w:tc>
          <w:tcPr>
            <w:tcW w:w="567" w:type="dxa"/>
            <w:noWrap/>
            <w:hideMark/>
          </w:tcPr>
          <w:p w14:paraId="2118B6F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2FB74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D96C79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7C73D53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02C7149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2A6CCF1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2B50E1E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58F7F94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7B233D28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3C152A6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ZN-130651019M</w:t>
            </w:r>
          </w:p>
        </w:tc>
        <w:tc>
          <w:tcPr>
            <w:tcW w:w="992" w:type="dxa"/>
            <w:noWrap/>
            <w:hideMark/>
          </w:tcPr>
          <w:p w14:paraId="13089740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Pepsinogen I (CLIA)</w:t>
            </w:r>
          </w:p>
        </w:tc>
        <w:tc>
          <w:tcPr>
            <w:tcW w:w="1985" w:type="dxa"/>
            <w:noWrap/>
            <w:hideMark/>
          </w:tcPr>
          <w:p w14:paraId="4B9F1FF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Pepsinogen 1 </w:t>
            </w:r>
          </w:p>
        </w:tc>
        <w:tc>
          <w:tcPr>
            <w:tcW w:w="567" w:type="dxa"/>
            <w:noWrap/>
            <w:hideMark/>
          </w:tcPr>
          <w:p w14:paraId="3299CC3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69471455457WQ</w:t>
            </w:r>
          </w:p>
        </w:tc>
        <w:tc>
          <w:tcPr>
            <w:tcW w:w="992" w:type="dxa"/>
            <w:noWrap/>
            <w:hideMark/>
          </w:tcPr>
          <w:p w14:paraId="513BA45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W0102069006</w:t>
            </w:r>
          </w:p>
        </w:tc>
        <w:tc>
          <w:tcPr>
            <w:tcW w:w="709" w:type="dxa"/>
            <w:noWrap/>
            <w:hideMark/>
          </w:tcPr>
          <w:p w14:paraId="781C289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6B4F2A2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57105A8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84,45</w:t>
            </w:r>
          </w:p>
        </w:tc>
        <w:tc>
          <w:tcPr>
            <w:tcW w:w="733" w:type="dxa"/>
            <w:noWrap/>
            <w:hideMark/>
          </w:tcPr>
          <w:p w14:paraId="296ECB5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1A7B5C3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4222,50</w:t>
            </w:r>
          </w:p>
        </w:tc>
        <w:tc>
          <w:tcPr>
            <w:tcW w:w="567" w:type="dxa"/>
            <w:noWrap/>
            <w:hideMark/>
          </w:tcPr>
          <w:p w14:paraId="098E5A4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29AED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B24E9D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722B830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0A4E2D3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742934B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6BD8A1A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70BF6F7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699E85B0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11EE122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ZN-130651020M</w:t>
            </w:r>
          </w:p>
        </w:tc>
        <w:tc>
          <w:tcPr>
            <w:tcW w:w="992" w:type="dxa"/>
            <w:noWrap/>
            <w:hideMark/>
          </w:tcPr>
          <w:p w14:paraId="753B4E49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Pepsinogen II (CLIA)</w:t>
            </w:r>
          </w:p>
        </w:tc>
        <w:tc>
          <w:tcPr>
            <w:tcW w:w="1985" w:type="dxa"/>
            <w:noWrap/>
            <w:hideMark/>
          </w:tcPr>
          <w:p w14:paraId="7F374AD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Pepsinogen 2 </w:t>
            </w:r>
          </w:p>
        </w:tc>
        <w:tc>
          <w:tcPr>
            <w:tcW w:w="567" w:type="dxa"/>
            <w:noWrap/>
            <w:hideMark/>
          </w:tcPr>
          <w:p w14:paraId="073F11E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69471455458WS</w:t>
            </w:r>
          </w:p>
        </w:tc>
        <w:tc>
          <w:tcPr>
            <w:tcW w:w="992" w:type="dxa"/>
            <w:noWrap/>
            <w:hideMark/>
          </w:tcPr>
          <w:p w14:paraId="199F28E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W0102069006</w:t>
            </w:r>
          </w:p>
        </w:tc>
        <w:tc>
          <w:tcPr>
            <w:tcW w:w="709" w:type="dxa"/>
            <w:noWrap/>
            <w:hideMark/>
          </w:tcPr>
          <w:p w14:paraId="09F2140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26F6CA5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64BCA91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84,45</w:t>
            </w:r>
          </w:p>
        </w:tc>
        <w:tc>
          <w:tcPr>
            <w:tcW w:w="733" w:type="dxa"/>
            <w:noWrap/>
            <w:hideMark/>
          </w:tcPr>
          <w:p w14:paraId="34AEE5F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34B9FB9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4222,50</w:t>
            </w:r>
          </w:p>
        </w:tc>
        <w:tc>
          <w:tcPr>
            <w:tcW w:w="567" w:type="dxa"/>
            <w:noWrap/>
            <w:hideMark/>
          </w:tcPr>
          <w:p w14:paraId="5DF4CFA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CF1BA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B6585C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50CAEE0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141A533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50F83D0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5E4AF92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7D4560C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1E7538A9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017B913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ZN-130655004M</w:t>
            </w:r>
          </w:p>
        </w:tc>
        <w:tc>
          <w:tcPr>
            <w:tcW w:w="992" w:type="dxa"/>
            <w:noWrap/>
            <w:hideMark/>
          </w:tcPr>
          <w:p w14:paraId="7C7EFAD7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Proinsulin (CLIA)</w:t>
            </w:r>
          </w:p>
        </w:tc>
        <w:tc>
          <w:tcPr>
            <w:tcW w:w="1985" w:type="dxa"/>
            <w:noWrap/>
            <w:hideMark/>
          </w:tcPr>
          <w:p w14:paraId="2E6A00B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Proinsulin </w:t>
            </w:r>
          </w:p>
        </w:tc>
        <w:tc>
          <w:tcPr>
            <w:tcW w:w="567" w:type="dxa"/>
            <w:noWrap/>
            <w:hideMark/>
          </w:tcPr>
          <w:p w14:paraId="33AA668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69471455472WL</w:t>
            </w:r>
          </w:p>
        </w:tc>
        <w:tc>
          <w:tcPr>
            <w:tcW w:w="992" w:type="dxa"/>
            <w:noWrap/>
            <w:hideMark/>
          </w:tcPr>
          <w:p w14:paraId="2B2C91D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W0102060107</w:t>
            </w:r>
          </w:p>
        </w:tc>
        <w:tc>
          <w:tcPr>
            <w:tcW w:w="709" w:type="dxa"/>
            <w:noWrap/>
            <w:hideMark/>
          </w:tcPr>
          <w:p w14:paraId="67E42A3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3735626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160C765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79,23</w:t>
            </w:r>
          </w:p>
        </w:tc>
        <w:tc>
          <w:tcPr>
            <w:tcW w:w="733" w:type="dxa"/>
            <w:noWrap/>
            <w:hideMark/>
          </w:tcPr>
          <w:p w14:paraId="7723A8A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2E0B48A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3961,50</w:t>
            </w:r>
          </w:p>
        </w:tc>
        <w:tc>
          <w:tcPr>
            <w:tcW w:w="567" w:type="dxa"/>
            <w:noWrap/>
            <w:hideMark/>
          </w:tcPr>
          <w:p w14:paraId="01EFB52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4050AE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081390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6875E05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0D2B594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530D723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45E40F0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5922932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1BCE0F0E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120B62E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ZN-130206515M</w:t>
            </w:r>
          </w:p>
        </w:tc>
        <w:tc>
          <w:tcPr>
            <w:tcW w:w="992" w:type="dxa"/>
            <w:noWrap/>
            <w:hideMark/>
          </w:tcPr>
          <w:p w14:paraId="59DE9BB3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Lp-PLA2 (CLIA)</w:t>
            </w:r>
          </w:p>
        </w:tc>
        <w:tc>
          <w:tcPr>
            <w:tcW w:w="1985" w:type="dxa"/>
            <w:noWrap/>
            <w:hideMark/>
          </w:tcPr>
          <w:p w14:paraId="4C08030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Hormonální a endokrinologické diagnostické testy - Lp-PLA2</w:t>
            </w:r>
          </w:p>
        </w:tc>
        <w:tc>
          <w:tcPr>
            <w:tcW w:w="567" w:type="dxa"/>
            <w:noWrap/>
            <w:hideMark/>
          </w:tcPr>
          <w:p w14:paraId="6A6A38E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69471455419WG</w:t>
            </w:r>
          </w:p>
        </w:tc>
        <w:tc>
          <w:tcPr>
            <w:tcW w:w="992" w:type="dxa"/>
            <w:noWrap/>
            <w:hideMark/>
          </w:tcPr>
          <w:p w14:paraId="0815E9B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W01021312</w:t>
            </w:r>
          </w:p>
        </w:tc>
        <w:tc>
          <w:tcPr>
            <w:tcW w:w="709" w:type="dxa"/>
            <w:noWrap/>
            <w:hideMark/>
          </w:tcPr>
          <w:p w14:paraId="4BB2AA6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2040045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52F4408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109,06</w:t>
            </w:r>
          </w:p>
        </w:tc>
        <w:tc>
          <w:tcPr>
            <w:tcW w:w="733" w:type="dxa"/>
            <w:noWrap/>
            <w:hideMark/>
          </w:tcPr>
          <w:p w14:paraId="7F5D0FC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3032313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10906,00</w:t>
            </w:r>
          </w:p>
        </w:tc>
        <w:tc>
          <w:tcPr>
            <w:tcW w:w="567" w:type="dxa"/>
            <w:noWrap/>
            <w:hideMark/>
          </w:tcPr>
          <w:p w14:paraId="1097A7A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06CDB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10EB37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7C0852E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6660F38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306B883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2856723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17686A9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0970DA15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4B244AA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ZN-130201036M</w:t>
            </w:r>
          </w:p>
        </w:tc>
        <w:tc>
          <w:tcPr>
            <w:tcW w:w="992" w:type="dxa"/>
            <w:noWrap/>
            <w:hideMark/>
          </w:tcPr>
          <w:p w14:paraId="4A50B5D8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CA 50 (CLIA)</w:t>
            </w:r>
          </w:p>
        </w:tc>
        <w:tc>
          <w:tcPr>
            <w:tcW w:w="1985" w:type="dxa"/>
            <w:noWrap/>
            <w:hideMark/>
          </w:tcPr>
          <w:p w14:paraId="155CFCC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Ca 50 </w:t>
            </w:r>
          </w:p>
        </w:tc>
        <w:tc>
          <w:tcPr>
            <w:tcW w:w="567" w:type="dxa"/>
            <w:noWrap/>
            <w:hideMark/>
          </w:tcPr>
          <w:p w14:paraId="2B59576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69471455223VV</w:t>
            </w:r>
          </w:p>
        </w:tc>
        <w:tc>
          <w:tcPr>
            <w:tcW w:w="992" w:type="dxa"/>
            <w:noWrap/>
            <w:hideMark/>
          </w:tcPr>
          <w:p w14:paraId="1D7BA5E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W0102030104</w:t>
            </w:r>
          </w:p>
        </w:tc>
        <w:tc>
          <w:tcPr>
            <w:tcW w:w="709" w:type="dxa"/>
            <w:noWrap/>
            <w:hideMark/>
          </w:tcPr>
          <w:p w14:paraId="2B973B7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63D1542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7096CCD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58,94</w:t>
            </w:r>
          </w:p>
        </w:tc>
        <w:tc>
          <w:tcPr>
            <w:tcW w:w="733" w:type="dxa"/>
            <w:noWrap/>
            <w:hideMark/>
          </w:tcPr>
          <w:p w14:paraId="643D181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16D1146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5894,00</w:t>
            </w:r>
          </w:p>
        </w:tc>
        <w:tc>
          <w:tcPr>
            <w:tcW w:w="567" w:type="dxa"/>
            <w:noWrap/>
            <w:hideMark/>
          </w:tcPr>
          <w:p w14:paraId="6E0961A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8F5200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ED9D7C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36389CA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34DF848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7DEBBCD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57B7FB0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4826895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03FEDC5F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496AFF9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ZN-130201039M</w:t>
            </w:r>
          </w:p>
        </w:tc>
        <w:tc>
          <w:tcPr>
            <w:tcW w:w="992" w:type="dxa"/>
            <w:noWrap/>
            <w:hideMark/>
          </w:tcPr>
          <w:p w14:paraId="28DB3066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CA 242 (CLIA)</w:t>
            </w:r>
          </w:p>
        </w:tc>
        <w:tc>
          <w:tcPr>
            <w:tcW w:w="1985" w:type="dxa"/>
            <w:noWrap/>
            <w:hideMark/>
          </w:tcPr>
          <w:p w14:paraId="7BDC80E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Ca242 </w:t>
            </w:r>
          </w:p>
        </w:tc>
        <w:tc>
          <w:tcPr>
            <w:tcW w:w="567" w:type="dxa"/>
            <w:noWrap/>
            <w:hideMark/>
          </w:tcPr>
          <w:p w14:paraId="554A4BE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69471455226W3</w:t>
            </w:r>
          </w:p>
        </w:tc>
        <w:tc>
          <w:tcPr>
            <w:tcW w:w="992" w:type="dxa"/>
            <w:noWrap/>
            <w:hideMark/>
          </w:tcPr>
          <w:p w14:paraId="1E4EAE1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W0102030108</w:t>
            </w:r>
          </w:p>
        </w:tc>
        <w:tc>
          <w:tcPr>
            <w:tcW w:w="709" w:type="dxa"/>
            <w:noWrap/>
            <w:hideMark/>
          </w:tcPr>
          <w:p w14:paraId="4B78912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C</w:t>
            </w:r>
          </w:p>
        </w:tc>
        <w:tc>
          <w:tcPr>
            <w:tcW w:w="910" w:type="dxa"/>
            <w:noWrap/>
            <w:hideMark/>
          </w:tcPr>
          <w:p w14:paraId="6B6549E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27D005D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62,15</w:t>
            </w:r>
          </w:p>
        </w:tc>
        <w:tc>
          <w:tcPr>
            <w:tcW w:w="733" w:type="dxa"/>
            <w:noWrap/>
            <w:hideMark/>
          </w:tcPr>
          <w:p w14:paraId="727DFA4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65F74D7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6215,00</w:t>
            </w:r>
          </w:p>
        </w:tc>
        <w:tc>
          <w:tcPr>
            <w:tcW w:w="567" w:type="dxa"/>
            <w:noWrap/>
            <w:hideMark/>
          </w:tcPr>
          <w:p w14:paraId="5B636F6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0B66DF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1A617A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1BE6BAA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7D93C06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284A306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412F9D6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5AB59AC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45B8BCFF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6358DE7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ZN-130270002M</w:t>
            </w:r>
          </w:p>
        </w:tc>
        <w:tc>
          <w:tcPr>
            <w:tcW w:w="992" w:type="dxa"/>
            <w:noWrap/>
            <w:hideMark/>
          </w:tcPr>
          <w:p w14:paraId="635B2650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Cortisol (CLIA) </w:t>
            </w:r>
          </w:p>
        </w:tc>
        <w:tc>
          <w:tcPr>
            <w:tcW w:w="1985" w:type="dxa"/>
            <w:noWrap/>
            <w:hideMark/>
          </w:tcPr>
          <w:p w14:paraId="3AD9B5E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Hormonální a endokrinologické diagnostické testy - Cortisol v moči</w:t>
            </w:r>
          </w:p>
        </w:tc>
        <w:tc>
          <w:tcPr>
            <w:tcW w:w="567" w:type="dxa"/>
            <w:noWrap/>
            <w:hideMark/>
          </w:tcPr>
          <w:p w14:paraId="4D24863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69471455468WV</w:t>
            </w:r>
          </w:p>
        </w:tc>
        <w:tc>
          <w:tcPr>
            <w:tcW w:w="992" w:type="dxa"/>
            <w:noWrap/>
            <w:hideMark/>
          </w:tcPr>
          <w:p w14:paraId="0D3E766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W0102060203</w:t>
            </w:r>
          </w:p>
        </w:tc>
        <w:tc>
          <w:tcPr>
            <w:tcW w:w="709" w:type="dxa"/>
            <w:noWrap/>
            <w:hideMark/>
          </w:tcPr>
          <w:p w14:paraId="30520A2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B</w:t>
            </w:r>
          </w:p>
        </w:tc>
        <w:tc>
          <w:tcPr>
            <w:tcW w:w="910" w:type="dxa"/>
            <w:noWrap/>
            <w:hideMark/>
          </w:tcPr>
          <w:p w14:paraId="565BD90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100</w:t>
            </w:r>
          </w:p>
        </w:tc>
        <w:tc>
          <w:tcPr>
            <w:tcW w:w="767" w:type="dxa"/>
            <w:noWrap/>
            <w:hideMark/>
          </w:tcPr>
          <w:p w14:paraId="1CA296A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26,87</w:t>
            </w:r>
          </w:p>
        </w:tc>
        <w:tc>
          <w:tcPr>
            <w:tcW w:w="733" w:type="dxa"/>
            <w:noWrap/>
            <w:hideMark/>
          </w:tcPr>
          <w:p w14:paraId="247935D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591452E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2687,00</w:t>
            </w:r>
          </w:p>
        </w:tc>
        <w:tc>
          <w:tcPr>
            <w:tcW w:w="567" w:type="dxa"/>
            <w:noWrap/>
            <w:hideMark/>
          </w:tcPr>
          <w:p w14:paraId="7BBD25C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60516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41F1F0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18F718A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5A78A95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620521B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79EAF1F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4550BEE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47D6FFEE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5B375FF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ZN-130605009M</w:t>
            </w:r>
          </w:p>
        </w:tc>
        <w:tc>
          <w:tcPr>
            <w:tcW w:w="992" w:type="dxa"/>
            <w:noWrap/>
            <w:hideMark/>
          </w:tcPr>
          <w:p w14:paraId="766A9FE9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Anti-ZnT8 (CLIA)</w:t>
            </w:r>
          </w:p>
        </w:tc>
        <w:tc>
          <w:tcPr>
            <w:tcW w:w="1985" w:type="dxa"/>
            <w:noWrap/>
            <w:hideMark/>
          </w:tcPr>
          <w:p w14:paraId="7385AB8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 xml:space="preserve">Hormonální a endokrinologické diagnostické testy - ZnT8 </w:t>
            </w:r>
          </w:p>
        </w:tc>
        <w:tc>
          <w:tcPr>
            <w:tcW w:w="567" w:type="dxa"/>
            <w:noWrap/>
            <w:hideMark/>
          </w:tcPr>
          <w:p w14:paraId="6A12138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2836EB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W01021499</w:t>
            </w:r>
          </w:p>
        </w:tc>
        <w:tc>
          <w:tcPr>
            <w:tcW w:w="709" w:type="dxa"/>
            <w:noWrap/>
            <w:hideMark/>
          </w:tcPr>
          <w:p w14:paraId="173B526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IVDD - ostatní</w:t>
            </w:r>
          </w:p>
        </w:tc>
        <w:tc>
          <w:tcPr>
            <w:tcW w:w="910" w:type="dxa"/>
            <w:noWrap/>
            <w:hideMark/>
          </w:tcPr>
          <w:p w14:paraId="59D5E14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50</w:t>
            </w:r>
          </w:p>
        </w:tc>
        <w:tc>
          <w:tcPr>
            <w:tcW w:w="767" w:type="dxa"/>
            <w:noWrap/>
            <w:hideMark/>
          </w:tcPr>
          <w:p w14:paraId="7D31790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166,00</w:t>
            </w:r>
          </w:p>
        </w:tc>
        <w:tc>
          <w:tcPr>
            <w:tcW w:w="733" w:type="dxa"/>
            <w:noWrap/>
            <w:hideMark/>
          </w:tcPr>
          <w:p w14:paraId="6DFBE50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738DB99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8300,00</w:t>
            </w:r>
          </w:p>
        </w:tc>
        <w:tc>
          <w:tcPr>
            <w:tcW w:w="567" w:type="dxa"/>
            <w:noWrap/>
            <w:hideMark/>
          </w:tcPr>
          <w:p w14:paraId="1F14FE4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6B43A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50F4C6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IVDD</w:t>
            </w:r>
          </w:p>
        </w:tc>
        <w:tc>
          <w:tcPr>
            <w:tcW w:w="709" w:type="dxa"/>
            <w:noWrap/>
            <w:hideMark/>
          </w:tcPr>
          <w:p w14:paraId="76F343D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6D7D837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032849B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3BA0A5D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1D079B2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601CD9F8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1E25171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ZN-130299005M</w:t>
            </w:r>
          </w:p>
        </w:tc>
        <w:tc>
          <w:tcPr>
            <w:tcW w:w="992" w:type="dxa"/>
            <w:noWrap/>
            <w:hideMark/>
          </w:tcPr>
          <w:p w14:paraId="0FF4A295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Wash Concentrate</w:t>
            </w:r>
          </w:p>
        </w:tc>
        <w:tc>
          <w:tcPr>
            <w:tcW w:w="1985" w:type="dxa"/>
            <w:noWrap/>
            <w:hideMark/>
          </w:tcPr>
          <w:p w14:paraId="370DE8F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Spotřební materiál - promývací koncentrát</w:t>
            </w:r>
          </w:p>
        </w:tc>
        <w:tc>
          <w:tcPr>
            <w:tcW w:w="567" w:type="dxa"/>
            <w:noWrap/>
            <w:hideMark/>
          </w:tcPr>
          <w:p w14:paraId="2BAE7C4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69471455303VU</w:t>
            </w:r>
          </w:p>
        </w:tc>
        <w:tc>
          <w:tcPr>
            <w:tcW w:w="992" w:type="dxa"/>
            <w:noWrap/>
            <w:hideMark/>
          </w:tcPr>
          <w:p w14:paraId="5FE3A7D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W0599</w:t>
            </w:r>
          </w:p>
        </w:tc>
        <w:tc>
          <w:tcPr>
            <w:tcW w:w="709" w:type="dxa"/>
            <w:noWrap/>
            <w:hideMark/>
          </w:tcPr>
          <w:p w14:paraId="3BAB6F8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</w:tc>
        <w:tc>
          <w:tcPr>
            <w:tcW w:w="910" w:type="dxa"/>
            <w:noWrap/>
            <w:hideMark/>
          </w:tcPr>
          <w:p w14:paraId="3AE14D6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 x 230 ml</w:t>
            </w:r>
          </w:p>
        </w:tc>
        <w:tc>
          <w:tcPr>
            <w:tcW w:w="767" w:type="dxa"/>
            <w:noWrap/>
            <w:hideMark/>
          </w:tcPr>
          <w:p w14:paraId="7063425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1,31</w:t>
            </w:r>
          </w:p>
        </w:tc>
        <w:tc>
          <w:tcPr>
            <w:tcW w:w="733" w:type="dxa"/>
            <w:noWrap/>
            <w:hideMark/>
          </w:tcPr>
          <w:p w14:paraId="2AF48F8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0332B6A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707,00</w:t>
            </w:r>
          </w:p>
        </w:tc>
        <w:tc>
          <w:tcPr>
            <w:tcW w:w="567" w:type="dxa"/>
            <w:noWrap/>
            <w:hideMark/>
          </w:tcPr>
          <w:p w14:paraId="4B9646F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F2D35D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4776E3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54CC308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386DE71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6B46F42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1C109E9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44A0991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STR:RT/TR:RT</w:t>
            </w:r>
          </w:p>
        </w:tc>
      </w:tr>
      <w:tr w:rsidR="00267E44" w:rsidRPr="00860BEA" w14:paraId="1EF99962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4DE2F32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ZN-130299004M</w:t>
            </w:r>
          </w:p>
        </w:tc>
        <w:tc>
          <w:tcPr>
            <w:tcW w:w="992" w:type="dxa"/>
            <w:noWrap/>
            <w:hideMark/>
          </w:tcPr>
          <w:p w14:paraId="16972D3C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Starter 1+2</w:t>
            </w:r>
          </w:p>
        </w:tc>
        <w:tc>
          <w:tcPr>
            <w:tcW w:w="1985" w:type="dxa"/>
            <w:noWrap/>
            <w:hideMark/>
          </w:tcPr>
          <w:p w14:paraId="40AF194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Spotřební materiál - roztok startér 1 + 2</w:t>
            </w:r>
          </w:p>
        </w:tc>
        <w:tc>
          <w:tcPr>
            <w:tcW w:w="567" w:type="dxa"/>
            <w:noWrap/>
            <w:hideMark/>
          </w:tcPr>
          <w:p w14:paraId="1868D73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69471455302VS</w:t>
            </w:r>
          </w:p>
        </w:tc>
        <w:tc>
          <w:tcPr>
            <w:tcW w:w="992" w:type="dxa"/>
            <w:noWrap/>
            <w:hideMark/>
          </w:tcPr>
          <w:p w14:paraId="091605F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W0599</w:t>
            </w:r>
          </w:p>
        </w:tc>
        <w:tc>
          <w:tcPr>
            <w:tcW w:w="709" w:type="dxa"/>
            <w:noWrap/>
            <w:hideMark/>
          </w:tcPr>
          <w:p w14:paraId="2CEFC78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</w:tc>
        <w:tc>
          <w:tcPr>
            <w:tcW w:w="910" w:type="dxa"/>
            <w:noWrap/>
            <w:hideMark/>
          </w:tcPr>
          <w:p w14:paraId="05C61DA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714 ml</w:t>
            </w:r>
          </w:p>
        </w:tc>
        <w:tc>
          <w:tcPr>
            <w:tcW w:w="767" w:type="dxa"/>
            <w:noWrap/>
            <w:hideMark/>
          </w:tcPr>
          <w:p w14:paraId="1C6C251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1,48</w:t>
            </w:r>
          </w:p>
        </w:tc>
        <w:tc>
          <w:tcPr>
            <w:tcW w:w="733" w:type="dxa"/>
            <w:noWrap/>
            <w:hideMark/>
          </w:tcPr>
          <w:p w14:paraId="7BD807F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29B6B7C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1347,00</w:t>
            </w:r>
          </w:p>
        </w:tc>
        <w:tc>
          <w:tcPr>
            <w:tcW w:w="567" w:type="dxa"/>
            <w:noWrap/>
            <w:hideMark/>
          </w:tcPr>
          <w:p w14:paraId="61B4D20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E9A7E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DC7CC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7BABA8F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037F1C2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3E67ABA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2A311B4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38F15FE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STR:RT/TR:RT</w:t>
            </w:r>
          </w:p>
        </w:tc>
      </w:tr>
      <w:tr w:rsidR="00267E44" w:rsidRPr="00860BEA" w14:paraId="4148CD31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687E045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ZN-130105000101</w:t>
            </w:r>
          </w:p>
        </w:tc>
        <w:tc>
          <w:tcPr>
            <w:tcW w:w="992" w:type="dxa"/>
            <w:noWrap/>
            <w:hideMark/>
          </w:tcPr>
          <w:p w14:paraId="457A53BA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Reaction Cup</w:t>
            </w:r>
          </w:p>
        </w:tc>
        <w:tc>
          <w:tcPr>
            <w:tcW w:w="1985" w:type="dxa"/>
            <w:noWrap/>
            <w:hideMark/>
          </w:tcPr>
          <w:p w14:paraId="00EAEEA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Spotřební materiál - reakční kyveta</w:t>
            </w:r>
          </w:p>
        </w:tc>
        <w:tc>
          <w:tcPr>
            <w:tcW w:w="567" w:type="dxa"/>
            <w:noWrap/>
            <w:hideMark/>
          </w:tcPr>
          <w:p w14:paraId="4FD2153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69471455306W2</w:t>
            </w:r>
          </w:p>
        </w:tc>
        <w:tc>
          <w:tcPr>
            <w:tcW w:w="992" w:type="dxa"/>
            <w:noWrap/>
            <w:hideMark/>
          </w:tcPr>
          <w:p w14:paraId="4985DB8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W0580</w:t>
            </w:r>
          </w:p>
        </w:tc>
        <w:tc>
          <w:tcPr>
            <w:tcW w:w="709" w:type="dxa"/>
            <w:noWrap/>
            <w:hideMark/>
          </w:tcPr>
          <w:p w14:paraId="2F4437A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</w:tc>
        <w:tc>
          <w:tcPr>
            <w:tcW w:w="910" w:type="dxa"/>
            <w:noWrap/>
            <w:hideMark/>
          </w:tcPr>
          <w:p w14:paraId="671767B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182x3 Cuvettes</w:t>
            </w:r>
          </w:p>
        </w:tc>
        <w:tc>
          <w:tcPr>
            <w:tcW w:w="767" w:type="dxa"/>
            <w:noWrap/>
            <w:hideMark/>
          </w:tcPr>
          <w:p w14:paraId="07F3C3B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1,74</w:t>
            </w:r>
          </w:p>
        </w:tc>
        <w:tc>
          <w:tcPr>
            <w:tcW w:w="733" w:type="dxa"/>
            <w:noWrap/>
            <w:hideMark/>
          </w:tcPr>
          <w:p w14:paraId="2DA7CED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12</w:t>
            </w:r>
          </w:p>
        </w:tc>
        <w:tc>
          <w:tcPr>
            <w:tcW w:w="708" w:type="dxa"/>
            <w:noWrap/>
            <w:hideMark/>
          </w:tcPr>
          <w:p w14:paraId="19B80BD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819,00</w:t>
            </w:r>
          </w:p>
        </w:tc>
        <w:tc>
          <w:tcPr>
            <w:tcW w:w="567" w:type="dxa"/>
            <w:noWrap/>
            <w:hideMark/>
          </w:tcPr>
          <w:p w14:paraId="44AC08B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D7D9E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1CF694D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3D07AEE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6ACCA39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47AD888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Jednorázové</w:t>
            </w:r>
          </w:p>
        </w:tc>
        <w:tc>
          <w:tcPr>
            <w:tcW w:w="651" w:type="dxa"/>
            <w:noWrap/>
            <w:hideMark/>
          </w:tcPr>
          <w:p w14:paraId="675AF8B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28041FE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STR:RT/TR:RT</w:t>
            </w:r>
          </w:p>
        </w:tc>
      </w:tr>
      <w:tr w:rsidR="00267E44" w:rsidRPr="00860BEA" w14:paraId="315343AF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20F4965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lastRenderedPageBreak/>
              <w:t>ZN-130299006M</w:t>
            </w:r>
          </w:p>
        </w:tc>
        <w:tc>
          <w:tcPr>
            <w:tcW w:w="992" w:type="dxa"/>
            <w:noWrap/>
            <w:hideMark/>
          </w:tcPr>
          <w:p w14:paraId="62382A4C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Light Check</w:t>
            </w:r>
          </w:p>
        </w:tc>
        <w:tc>
          <w:tcPr>
            <w:tcW w:w="1985" w:type="dxa"/>
            <w:noWrap/>
            <w:hideMark/>
          </w:tcPr>
          <w:p w14:paraId="1FBB834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Spotřební materiál - kapalina pro kontrolu světla</w:t>
            </w:r>
          </w:p>
        </w:tc>
        <w:tc>
          <w:tcPr>
            <w:tcW w:w="567" w:type="dxa"/>
            <w:noWrap/>
            <w:hideMark/>
          </w:tcPr>
          <w:p w14:paraId="77A7C9D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69471455314VZ</w:t>
            </w:r>
          </w:p>
        </w:tc>
        <w:tc>
          <w:tcPr>
            <w:tcW w:w="992" w:type="dxa"/>
            <w:noWrap/>
            <w:hideMark/>
          </w:tcPr>
          <w:p w14:paraId="7AF79D9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W0599</w:t>
            </w:r>
          </w:p>
        </w:tc>
        <w:tc>
          <w:tcPr>
            <w:tcW w:w="709" w:type="dxa"/>
            <w:noWrap/>
            <w:hideMark/>
          </w:tcPr>
          <w:p w14:paraId="08658B31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</w:tc>
        <w:tc>
          <w:tcPr>
            <w:tcW w:w="910" w:type="dxa"/>
            <w:noWrap/>
            <w:hideMark/>
          </w:tcPr>
          <w:p w14:paraId="3A99887B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5 x 2ml</w:t>
            </w:r>
          </w:p>
        </w:tc>
        <w:tc>
          <w:tcPr>
            <w:tcW w:w="767" w:type="dxa"/>
            <w:noWrap/>
            <w:hideMark/>
          </w:tcPr>
          <w:p w14:paraId="2F159A9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0,17</w:t>
            </w:r>
          </w:p>
        </w:tc>
        <w:tc>
          <w:tcPr>
            <w:tcW w:w="733" w:type="dxa"/>
            <w:noWrap/>
            <w:hideMark/>
          </w:tcPr>
          <w:p w14:paraId="6AD79C3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6C91E21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1248,00</w:t>
            </w:r>
          </w:p>
        </w:tc>
        <w:tc>
          <w:tcPr>
            <w:tcW w:w="567" w:type="dxa"/>
            <w:noWrap/>
            <w:hideMark/>
          </w:tcPr>
          <w:p w14:paraId="339C92C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B8D70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61F155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7182A1F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3B8C682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1483AD4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1A9C51B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79F7C52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STR:+4°C/TR:+4°C</w:t>
            </w:r>
          </w:p>
        </w:tc>
      </w:tr>
      <w:tr w:rsidR="00267E44" w:rsidRPr="00860BEA" w14:paraId="62ED8C7D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6258543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ZN-130299007M</w:t>
            </w:r>
          </w:p>
        </w:tc>
        <w:tc>
          <w:tcPr>
            <w:tcW w:w="992" w:type="dxa"/>
            <w:noWrap/>
            <w:hideMark/>
          </w:tcPr>
          <w:p w14:paraId="71A45C75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System Tubing Cleaning Solution</w:t>
            </w:r>
          </w:p>
        </w:tc>
        <w:tc>
          <w:tcPr>
            <w:tcW w:w="1985" w:type="dxa"/>
            <w:noWrap/>
            <w:hideMark/>
          </w:tcPr>
          <w:p w14:paraId="497BEC7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Spotřební materiál - systémová promývací kapalina</w:t>
            </w:r>
          </w:p>
        </w:tc>
        <w:tc>
          <w:tcPr>
            <w:tcW w:w="567" w:type="dxa"/>
            <w:noWrap/>
            <w:hideMark/>
          </w:tcPr>
          <w:p w14:paraId="322B63BA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69471455305VY</w:t>
            </w:r>
          </w:p>
        </w:tc>
        <w:tc>
          <w:tcPr>
            <w:tcW w:w="992" w:type="dxa"/>
            <w:noWrap/>
            <w:hideMark/>
          </w:tcPr>
          <w:p w14:paraId="459DAFE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W0599</w:t>
            </w:r>
          </w:p>
        </w:tc>
        <w:tc>
          <w:tcPr>
            <w:tcW w:w="709" w:type="dxa"/>
            <w:noWrap/>
            <w:hideMark/>
          </w:tcPr>
          <w:p w14:paraId="4D715EB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</w:tc>
        <w:tc>
          <w:tcPr>
            <w:tcW w:w="910" w:type="dxa"/>
            <w:noWrap/>
            <w:hideMark/>
          </w:tcPr>
          <w:p w14:paraId="114BAF15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1Bottle=500ml</w:t>
            </w:r>
          </w:p>
        </w:tc>
        <w:tc>
          <w:tcPr>
            <w:tcW w:w="767" w:type="dxa"/>
            <w:noWrap/>
            <w:hideMark/>
          </w:tcPr>
          <w:p w14:paraId="1F88843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0,11</w:t>
            </w:r>
          </w:p>
        </w:tc>
        <w:tc>
          <w:tcPr>
            <w:tcW w:w="733" w:type="dxa"/>
            <w:noWrap/>
            <w:hideMark/>
          </w:tcPr>
          <w:p w14:paraId="5345AFD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33778DD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3208,00</w:t>
            </w:r>
          </w:p>
        </w:tc>
        <w:tc>
          <w:tcPr>
            <w:tcW w:w="567" w:type="dxa"/>
            <w:noWrap/>
            <w:hideMark/>
          </w:tcPr>
          <w:p w14:paraId="0C8A516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62528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40605E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161C389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53B4E1D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5D49944E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Opakované</w:t>
            </w:r>
          </w:p>
        </w:tc>
        <w:tc>
          <w:tcPr>
            <w:tcW w:w="651" w:type="dxa"/>
            <w:noWrap/>
            <w:hideMark/>
          </w:tcPr>
          <w:p w14:paraId="6ACB56F0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15D336E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STR:RT/TR:RT</w:t>
            </w:r>
          </w:p>
        </w:tc>
      </w:tr>
      <w:tr w:rsidR="00267E44" w:rsidRPr="00860BEA" w14:paraId="2AD6012F" w14:textId="77777777" w:rsidTr="00024E5A">
        <w:trPr>
          <w:trHeight w:val="290"/>
        </w:trPr>
        <w:tc>
          <w:tcPr>
            <w:tcW w:w="1135" w:type="dxa"/>
            <w:noWrap/>
            <w:hideMark/>
          </w:tcPr>
          <w:p w14:paraId="4E337213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ZN-130210000201</w:t>
            </w:r>
          </w:p>
        </w:tc>
        <w:tc>
          <w:tcPr>
            <w:tcW w:w="992" w:type="dxa"/>
            <w:noWrap/>
            <w:hideMark/>
          </w:tcPr>
          <w:p w14:paraId="26AC1480" w14:textId="77777777" w:rsidR="00AD2E9E" w:rsidRPr="00860BEA" w:rsidRDefault="00AD2E9E" w:rsidP="00AD2E9E">
            <w:pPr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Waste bag</w:t>
            </w:r>
          </w:p>
        </w:tc>
        <w:tc>
          <w:tcPr>
            <w:tcW w:w="1985" w:type="dxa"/>
            <w:noWrap/>
            <w:hideMark/>
          </w:tcPr>
          <w:p w14:paraId="329B44E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Spotřební materiál - odpadní sáček</w:t>
            </w:r>
          </w:p>
        </w:tc>
        <w:tc>
          <w:tcPr>
            <w:tcW w:w="567" w:type="dxa"/>
            <w:noWrap/>
            <w:hideMark/>
          </w:tcPr>
          <w:p w14:paraId="09AFE41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69471455322VY</w:t>
            </w:r>
          </w:p>
        </w:tc>
        <w:tc>
          <w:tcPr>
            <w:tcW w:w="992" w:type="dxa"/>
            <w:noWrap/>
            <w:hideMark/>
          </w:tcPr>
          <w:p w14:paraId="3BCDC50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W0580</w:t>
            </w:r>
          </w:p>
        </w:tc>
        <w:tc>
          <w:tcPr>
            <w:tcW w:w="709" w:type="dxa"/>
            <w:noWrap/>
            <w:hideMark/>
          </w:tcPr>
          <w:p w14:paraId="600BAD3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</w:tc>
        <w:tc>
          <w:tcPr>
            <w:tcW w:w="910" w:type="dxa"/>
            <w:noWrap/>
            <w:hideMark/>
          </w:tcPr>
          <w:p w14:paraId="3B015932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1Box=50 Pieces</w:t>
            </w:r>
          </w:p>
        </w:tc>
        <w:tc>
          <w:tcPr>
            <w:tcW w:w="767" w:type="dxa"/>
            <w:noWrap/>
            <w:hideMark/>
          </w:tcPr>
          <w:p w14:paraId="3DC7A5CF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0,01</w:t>
            </w:r>
          </w:p>
        </w:tc>
        <w:tc>
          <w:tcPr>
            <w:tcW w:w="733" w:type="dxa"/>
            <w:noWrap/>
            <w:hideMark/>
          </w:tcPr>
          <w:p w14:paraId="2F30DD74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12</w:t>
            </w:r>
          </w:p>
        </w:tc>
        <w:tc>
          <w:tcPr>
            <w:tcW w:w="708" w:type="dxa"/>
            <w:noWrap/>
            <w:hideMark/>
          </w:tcPr>
          <w:p w14:paraId="00AC6A29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226,00</w:t>
            </w:r>
          </w:p>
        </w:tc>
        <w:tc>
          <w:tcPr>
            <w:tcW w:w="567" w:type="dxa"/>
            <w:noWrap/>
            <w:hideMark/>
          </w:tcPr>
          <w:p w14:paraId="7171512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3433018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398CF86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IVDR</w:t>
            </w:r>
          </w:p>
        </w:tc>
        <w:tc>
          <w:tcPr>
            <w:tcW w:w="709" w:type="dxa"/>
            <w:noWrap/>
            <w:hideMark/>
          </w:tcPr>
          <w:p w14:paraId="785E3A7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567" w:type="dxa"/>
            <w:noWrap/>
            <w:hideMark/>
          </w:tcPr>
          <w:p w14:paraId="51F5F1E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NE</w:t>
            </w:r>
          </w:p>
        </w:tc>
        <w:tc>
          <w:tcPr>
            <w:tcW w:w="1162" w:type="dxa"/>
            <w:noWrap/>
            <w:hideMark/>
          </w:tcPr>
          <w:p w14:paraId="634ECCF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Jednorázové</w:t>
            </w:r>
          </w:p>
        </w:tc>
        <w:tc>
          <w:tcPr>
            <w:tcW w:w="651" w:type="dxa"/>
            <w:noWrap/>
            <w:hideMark/>
          </w:tcPr>
          <w:p w14:paraId="6119FE97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SNIBE Co., Ltd.</w:t>
            </w:r>
          </w:p>
        </w:tc>
        <w:tc>
          <w:tcPr>
            <w:tcW w:w="1185" w:type="dxa"/>
            <w:noWrap/>
            <w:hideMark/>
          </w:tcPr>
          <w:p w14:paraId="3D48BF0C" w14:textId="77777777" w:rsidR="00AD2E9E" w:rsidRPr="00860BEA" w:rsidRDefault="00AD2E9E" w:rsidP="00542C53">
            <w:pPr>
              <w:jc w:val="both"/>
              <w:rPr>
                <w:rFonts w:ascii="Arial" w:hAnsi="Arial" w:cs="Arial"/>
                <w:b/>
                <w:sz w:val="11"/>
                <w:szCs w:val="11"/>
              </w:rPr>
            </w:pPr>
            <w:r w:rsidRPr="00860BEA">
              <w:rPr>
                <w:rFonts w:ascii="Arial" w:hAnsi="Arial" w:cs="Arial"/>
                <w:b/>
                <w:sz w:val="11"/>
                <w:szCs w:val="11"/>
              </w:rPr>
              <w:t>STR:RT/TR:RT</w:t>
            </w:r>
          </w:p>
        </w:tc>
      </w:tr>
    </w:tbl>
    <w:p w14:paraId="6EF82909" w14:textId="77777777" w:rsidR="00AD2E9E" w:rsidRPr="0079513F" w:rsidRDefault="00AD2E9E" w:rsidP="00AD2E9E">
      <w:pPr>
        <w:jc w:val="both"/>
        <w:rPr>
          <w:rFonts w:ascii="Arial" w:hAnsi="Arial" w:cs="Arial"/>
          <w:b/>
          <w:sz w:val="16"/>
          <w:szCs w:val="16"/>
        </w:rPr>
      </w:pPr>
    </w:p>
    <w:p w14:paraId="414B2A9E" w14:textId="77777777" w:rsidR="00AD2E9E" w:rsidRDefault="00AD2E9E" w:rsidP="00AD2E9E">
      <w:pPr>
        <w:jc w:val="center"/>
        <w:rPr>
          <w:rFonts w:ascii="Arial" w:hAnsi="Arial" w:cs="Arial"/>
          <w:b/>
          <w:sz w:val="16"/>
          <w:szCs w:val="16"/>
        </w:rPr>
      </w:pPr>
    </w:p>
    <w:p w14:paraId="7BAEBC0C" w14:textId="77777777" w:rsidR="00AD2E9E" w:rsidRDefault="00AD2E9E" w:rsidP="00AD2E9E">
      <w:pPr>
        <w:jc w:val="center"/>
        <w:rPr>
          <w:rFonts w:ascii="Arial" w:hAnsi="Arial" w:cs="Arial"/>
          <w:b/>
          <w:sz w:val="16"/>
          <w:szCs w:val="16"/>
        </w:rPr>
      </w:pPr>
    </w:p>
    <w:p w14:paraId="79711197" w14:textId="77777777" w:rsidR="00AD2E9E" w:rsidRPr="008019A2" w:rsidRDefault="00AD2E9E" w:rsidP="00AD2E9E">
      <w:pPr>
        <w:jc w:val="center"/>
        <w:rPr>
          <w:rFonts w:ascii="Tahoma" w:hAnsi="Tahoma" w:cs="Tahoma"/>
          <w:sz w:val="16"/>
          <w:szCs w:val="16"/>
        </w:rPr>
      </w:pPr>
    </w:p>
    <w:p w14:paraId="01BCCA2A" w14:textId="77777777" w:rsidR="00AD2E9E" w:rsidRDefault="00AD2E9E" w:rsidP="00AD2E9E"/>
    <w:p w14:paraId="42A46DEC" w14:textId="77777777" w:rsidR="00AD2E9E" w:rsidRDefault="00AD2E9E" w:rsidP="00AD2E9E">
      <w:pPr>
        <w:jc w:val="center"/>
        <w:rPr>
          <w:rFonts w:ascii="Arial" w:hAnsi="Arial" w:cs="Arial"/>
          <w:b/>
          <w:sz w:val="16"/>
          <w:szCs w:val="16"/>
        </w:rPr>
      </w:pPr>
    </w:p>
    <w:p w14:paraId="3919C736" w14:textId="77777777" w:rsidR="00AD2E9E" w:rsidRPr="008C2668" w:rsidRDefault="00AD2E9E" w:rsidP="00AD2E9E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AD2E9E">
      <w:pPr>
        <w:rPr>
          <w:rFonts w:ascii="Arial" w:hAnsi="Arial" w:cs="Arial"/>
          <w:b/>
          <w:sz w:val="16"/>
          <w:szCs w:val="16"/>
        </w:rPr>
      </w:pPr>
    </w:p>
    <w:p w14:paraId="53764BA9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E82E6FA" w14:textId="7C33456D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p w14:paraId="6FE2C36F" w14:textId="77777777" w:rsidR="00A93186" w:rsidRDefault="00A93186" w:rsidP="00A93186"/>
    <w:p w14:paraId="7C65EA45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1B6FF2E9" w14:textId="77777777" w:rsidR="00935B4E" w:rsidRPr="008C2668" w:rsidRDefault="00935B4E" w:rsidP="00667E1C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DAD4" w14:textId="77777777" w:rsidR="00CE567F" w:rsidRDefault="00CE567F">
      <w:r>
        <w:separator/>
      </w:r>
    </w:p>
  </w:endnote>
  <w:endnote w:type="continuationSeparator" w:id="0">
    <w:p w14:paraId="1785D6FC" w14:textId="77777777" w:rsidR="00CE567F" w:rsidRDefault="00CE567F">
      <w:r>
        <w:continuationSeparator/>
      </w:r>
    </w:p>
  </w:endnote>
  <w:endnote w:type="continuationNotice" w:id="1">
    <w:p w14:paraId="6BBB31DE" w14:textId="77777777" w:rsidR="00CE567F" w:rsidRDefault="00CE5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755B" w14:textId="77777777" w:rsidR="00CE567F" w:rsidRDefault="00CE567F">
      <w:r>
        <w:separator/>
      </w:r>
    </w:p>
  </w:footnote>
  <w:footnote w:type="continuationSeparator" w:id="0">
    <w:p w14:paraId="3E3C460E" w14:textId="77777777" w:rsidR="00CE567F" w:rsidRDefault="00CE567F">
      <w:r>
        <w:continuationSeparator/>
      </w:r>
    </w:p>
  </w:footnote>
  <w:footnote w:type="continuationNotice" w:id="1">
    <w:p w14:paraId="3CEA6886" w14:textId="77777777" w:rsidR="00CE567F" w:rsidRDefault="00CE5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F3CB" w14:textId="11467412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B23962">
      <w:rPr>
        <w:rFonts w:ascii="Arial" w:hAnsi="Arial" w:cs="Arial"/>
        <w:b/>
        <w:sz w:val="18"/>
        <w:szCs w:val="18"/>
      </w:rPr>
      <w:t xml:space="preserve"> 1068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9C3888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6204774">
    <w:abstractNumId w:val="11"/>
  </w:num>
  <w:num w:numId="2" w16cid:durableId="2002270900">
    <w:abstractNumId w:val="27"/>
  </w:num>
  <w:num w:numId="3" w16cid:durableId="1254053181">
    <w:abstractNumId w:val="22"/>
  </w:num>
  <w:num w:numId="4" w16cid:durableId="1284846390">
    <w:abstractNumId w:val="26"/>
  </w:num>
  <w:num w:numId="5" w16cid:durableId="1277054765">
    <w:abstractNumId w:val="9"/>
  </w:num>
  <w:num w:numId="6" w16cid:durableId="1238901941">
    <w:abstractNumId w:val="40"/>
  </w:num>
  <w:num w:numId="7" w16cid:durableId="1797290685">
    <w:abstractNumId w:val="28"/>
  </w:num>
  <w:num w:numId="8" w16cid:durableId="1879319447">
    <w:abstractNumId w:val="16"/>
  </w:num>
  <w:num w:numId="9" w16cid:durableId="499002097">
    <w:abstractNumId w:val="12"/>
  </w:num>
  <w:num w:numId="10" w16cid:durableId="375546797">
    <w:abstractNumId w:val="32"/>
  </w:num>
  <w:num w:numId="11" w16cid:durableId="540290653">
    <w:abstractNumId w:val="13"/>
  </w:num>
  <w:num w:numId="12" w16cid:durableId="1382559367">
    <w:abstractNumId w:val="30"/>
  </w:num>
  <w:num w:numId="13" w16cid:durableId="852916783">
    <w:abstractNumId w:val="6"/>
  </w:num>
  <w:num w:numId="14" w16cid:durableId="896862569">
    <w:abstractNumId w:val="25"/>
  </w:num>
  <w:num w:numId="15" w16cid:durableId="1021661247">
    <w:abstractNumId w:val="21"/>
  </w:num>
  <w:num w:numId="16" w16cid:durableId="1177236254">
    <w:abstractNumId w:val="15"/>
  </w:num>
  <w:num w:numId="17" w16cid:durableId="1172452134">
    <w:abstractNumId w:val="2"/>
  </w:num>
  <w:num w:numId="18" w16cid:durableId="1958754080">
    <w:abstractNumId w:val="24"/>
  </w:num>
  <w:num w:numId="19" w16cid:durableId="49306212">
    <w:abstractNumId w:val="5"/>
  </w:num>
  <w:num w:numId="20" w16cid:durableId="1794785719">
    <w:abstractNumId w:val="14"/>
  </w:num>
  <w:num w:numId="21" w16cid:durableId="1162769328">
    <w:abstractNumId w:val="39"/>
  </w:num>
  <w:num w:numId="22" w16cid:durableId="62460006">
    <w:abstractNumId w:val="8"/>
  </w:num>
  <w:num w:numId="23" w16cid:durableId="1448811294">
    <w:abstractNumId w:val="7"/>
  </w:num>
  <w:num w:numId="24" w16cid:durableId="138305768">
    <w:abstractNumId w:val="34"/>
  </w:num>
  <w:num w:numId="25" w16cid:durableId="2136873091">
    <w:abstractNumId w:val="17"/>
  </w:num>
  <w:num w:numId="26" w16cid:durableId="403528551">
    <w:abstractNumId w:val="29"/>
  </w:num>
  <w:num w:numId="27" w16cid:durableId="904880503">
    <w:abstractNumId w:val="18"/>
  </w:num>
  <w:num w:numId="28" w16cid:durableId="1350990906">
    <w:abstractNumId w:val="23"/>
  </w:num>
  <w:num w:numId="29" w16cid:durableId="432242124">
    <w:abstractNumId w:val="38"/>
  </w:num>
  <w:num w:numId="30" w16cid:durableId="1367413562">
    <w:abstractNumId w:val="41"/>
  </w:num>
  <w:num w:numId="31" w16cid:durableId="1162698375">
    <w:abstractNumId w:val="10"/>
  </w:num>
  <w:num w:numId="32" w16cid:durableId="663749398">
    <w:abstractNumId w:val="1"/>
  </w:num>
  <w:num w:numId="33" w16cid:durableId="468981778">
    <w:abstractNumId w:val="3"/>
  </w:num>
  <w:num w:numId="34" w16cid:durableId="717971094">
    <w:abstractNumId w:val="33"/>
  </w:num>
  <w:num w:numId="35" w16cid:durableId="1805348065">
    <w:abstractNumId w:val="0"/>
  </w:num>
  <w:num w:numId="36" w16cid:durableId="1003388276">
    <w:abstractNumId w:val="20"/>
  </w:num>
  <w:num w:numId="37" w16cid:durableId="736785832">
    <w:abstractNumId w:val="36"/>
  </w:num>
  <w:num w:numId="38" w16cid:durableId="1889876205">
    <w:abstractNumId w:val="35"/>
  </w:num>
  <w:num w:numId="39" w16cid:durableId="186989754">
    <w:abstractNumId w:val="31"/>
  </w:num>
  <w:num w:numId="40" w16cid:durableId="1633634040">
    <w:abstractNumId w:val="4"/>
  </w:num>
  <w:num w:numId="41" w16cid:durableId="1488091993">
    <w:abstractNumId w:val="37"/>
  </w:num>
  <w:num w:numId="42" w16cid:durableId="178973351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6815"/>
    <w:rsid w:val="0000746E"/>
    <w:rsid w:val="00007EFE"/>
    <w:rsid w:val="00010EED"/>
    <w:rsid w:val="0001134F"/>
    <w:rsid w:val="00012B05"/>
    <w:rsid w:val="00016D3B"/>
    <w:rsid w:val="000179A3"/>
    <w:rsid w:val="00017A94"/>
    <w:rsid w:val="000204E5"/>
    <w:rsid w:val="0002264F"/>
    <w:rsid w:val="00022818"/>
    <w:rsid w:val="00022ABB"/>
    <w:rsid w:val="00024E5A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9D6"/>
    <w:rsid w:val="00051A7F"/>
    <w:rsid w:val="00052220"/>
    <w:rsid w:val="0005341C"/>
    <w:rsid w:val="00056025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6B71"/>
    <w:rsid w:val="000B074D"/>
    <w:rsid w:val="000B1FC4"/>
    <w:rsid w:val="000C2C6D"/>
    <w:rsid w:val="000C3EBA"/>
    <w:rsid w:val="000C6666"/>
    <w:rsid w:val="000C6A89"/>
    <w:rsid w:val="000D1B36"/>
    <w:rsid w:val="000D3A85"/>
    <w:rsid w:val="000E0DF9"/>
    <w:rsid w:val="000E601C"/>
    <w:rsid w:val="000F05EE"/>
    <w:rsid w:val="000F2F05"/>
    <w:rsid w:val="000F45C7"/>
    <w:rsid w:val="000F6056"/>
    <w:rsid w:val="000F6C07"/>
    <w:rsid w:val="000F732C"/>
    <w:rsid w:val="001014A6"/>
    <w:rsid w:val="00106125"/>
    <w:rsid w:val="00106B59"/>
    <w:rsid w:val="001074D3"/>
    <w:rsid w:val="001074E6"/>
    <w:rsid w:val="0011029E"/>
    <w:rsid w:val="0011036A"/>
    <w:rsid w:val="00111FBC"/>
    <w:rsid w:val="001149B2"/>
    <w:rsid w:val="00115661"/>
    <w:rsid w:val="00117C16"/>
    <w:rsid w:val="001203C9"/>
    <w:rsid w:val="00122B33"/>
    <w:rsid w:val="0012548C"/>
    <w:rsid w:val="00125ADE"/>
    <w:rsid w:val="00126A2C"/>
    <w:rsid w:val="0013312F"/>
    <w:rsid w:val="00133CD8"/>
    <w:rsid w:val="00134A3E"/>
    <w:rsid w:val="001362F5"/>
    <w:rsid w:val="00142EF2"/>
    <w:rsid w:val="00143A5F"/>
    <w:rsid w:val="00143BB7"/>
    <w:rsid w:val="00144F68"/>
    <w:rsid w:val="001570CC"/>
    <w:rsid w:val="0015780B"/>
    <w:rsid w:val="001602C6"/>
    <w:rsid w:val="00160649"/>
    <w:rsid w:val="00161E6C"/>
    <w:rsid w:val="001671E9"/>
    <w:rsid w:val="00170978"/>
    <w:rsid w:val="00172481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2ADA"/>
    <w:rsid w:val="001950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C37EC"/>
    <w:rsid w:val="001C5D2F"/>
    <w:rsid w:val="001C5F99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07EE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40134"/>
    <w:rsid w:val="002450E4"/>
    <w:rsid w:val="00245DE6"/>
    <w:rsid w:val="00246243"/>
    <w:rsid w:val="00250E04"/>
    <w:rsid w:val="00252236"/>
    <w:rsid w:val="002528DE"/>
    <w:rsid w:val="002530B0"/>
    <w:rsid w:val="00254E1E"/>
    <w:rsid w:val="00256CC3"/>
    <w:rsid w:val="00260DBC"/>
    <w:rsid w:val="0026418E"/>
    <w:rsid w:val="00264819"/>
    <w:rsid w:val="00264E30"/>
    <w:rsid w:val="00267E44"/>
    <w:rsid w:val="00270A87"/>
    <w:rsid w:val="00270B42"/>
    <w:rsid w:val="00272E51"/>
    <w:rsid w:val="00274026"/>
    <w:rsid w:val="002766B1"/>
    <w:rsid w:val="00276A50"/>
    <w:rsid w:val="00280853"/>
    <w:rsid w:val="0028118D"/>
    <w:rsid w:val="002830BE"/>
    <w:rsid w:val="002903A5"/>
    <w:rsid w:val="00293273"/>
    <w:rsid w:val="002953E4"/>
    <w:rsid w:val="0029716A"/>
    <w:rsid w:val="00297985"/>
    <w:rsid w:val="002A01CE"/>
    <w:rsid w:val="002A07D7"/>
    <w:rsid w:val="002A0B38"/>
    <w:rsid w:val="002A1F3B"/>
    <w:rsid w:val="002A2939"/>
    <w:rsid w:val="002A55E6"/>
    <w:rsid w:val="002B186D"/>
    <w:rsid w:val="002B1E13"/>
    <w:rsid w:val="002B22B7"/>
    <w:rsid w:val="002B2937"/>
    <w:rsid w:val="002C0030"/>
    <w:rsid w:val="002C18DA"/>
    <w:rsid w:val="002C2E7D"/>
    <w:rsid w:val="002C4CFB"/>
    <w:rsid w:val="002C56F6"/>
    <w:rsid w:val="002D1082"/>
    <w:rsid w:val="002D2C2D"/>
    <w:rsid w:val="002D4B91"/>
    <w:rsid w:val="002D79C4"/>
    <w:rsid w:val="002E3B8B"/>
    <w:rsid w:val="002F2556"/>
    <w:rsid w:val="002F2B63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EC9"/>
    <w:rsid w:val="00327742"/>
    <w:rsid w:val="003300C3"/>
    <w:rsid w:val="00332A73"/>
    <w:rsid w:val="00334630"/>
    <w:rsid w:val="003372AB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08A8"/>
    <w:rsid w:val="003D49DB"/>
    <w:rsid w:val="003D6A0A"/>
    <w:rsid w:val="003D6E7B"/>
    <w:rsid w:val="003D7117"/>
    <w:rsid w:val="003E2A39"/>
    <w:rsid w:val="003E5543"/>
    <w:rsid w:val="003E6151"/>
    <w:rsid w:val="003E74F4"/>
    <w:rsid w:val="003F0F1E"/>
    <w:rsid w:val="003F0F38"/>
    <w:rsid w:val="003F26F4"/>
    <w:rsid w:val="003F3FCA"/>
    <w:rsid w:val="003F5C41"/>
    <w:rsid w:val="003F75EB"/>
    <w:rsid w:val="003F7B87"/>
    <w:rsid w:val="003F7E8A"/>
    <w:rsid w:val="00400205"/>
    <w:rsid w:val="00401701"/>
    <w:rsid w:val="00405177"/>
    <w:rsid w:val="004054F6"/>
    <w:rsid w:val="0040728E"/>
    <w:rsid w:val="0040799A"/>
    <w:rsid w:val="00417A3A"/>
    <w:rsid w:val="00417A90"/>
    <w:rsid w:val="00421477"/>
    <w:rsid w:val="00422EF6"/>
    <w:rsid w:val="004244CA"/>
    <w:rsid w:val="00426848"/>
    <w:rsid w:val="00430A60"/>
    <w:rsid w:val="00430B24"/>
    <w:rsid w:val="0043375D"/>
    <w:rsid w:val="00440058"/>
    <w:rsid w:val="00446606"/>
    <w:rsid w:val="0044709B"/>
    <w:rsid w:val="0044785E"/>
    <w:rsid w:val="00450BFA"/>
    <w:rsid w:val="00451A49"/>
    <w:rsid w:val="00452D81"/>
    <w:rsid w:val="00452EF8"/>
    <w:rsid w:val="0045303E"/>
    <w:rsid w:val="00453E3A"/>
    <w:rsid w:val="00454325"/>
    <w:rsid w:val="00454A85"/>
    <w:rsid w:val="00455F0E"/>
    <w:rsid w:val="004603C9"/>
    <w:rsid w:val="004611ED"/>
    <w:rsid w:val="00461B5F"/>
    <w:rsid w:val="00467496"/>
    <w:rsid w:val="0047267F"/>
    <w:rsid w:val="00472E84"/>
    <w:rsid w:val="0047606D"/>
    <w:rsid w:val="00477115"/>
    <w:rsid w:val="0048188E"/>
    <w:rsid w:val="004827A9"/>
    <w:rsid w:val="00484151"/>
    <w:rsid w:val="00485D9E"/>
    <w:rsid w:val="004908D7"/>
    <w:rsid w:val="00491F7E"/>
    <w:rsid w:val="0049212F"/>
    <w:rsid w:val="00492844"/>
    <w:rsid w:val="0049706A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1BF1"/>
    <w:rsid w:val="004D2F55"/>
    <w:rsid w:val="004E2BD7"/>
    <w:rsid w:val="004E5DF2"/>
    <w:rsid w:val="004E75E3"/>
    <w:rsid w:val="004F236E"/>
    <w:rsid w:val="004F315E"/>
    <w:rsid w:val="004F57D9"/>
    <w:rsid w:val="004F701A"/>
    <w:rsid w:val="00501855"/>
    <w:rsid w:val="00503244"/>
    <w:rsid w:val="00507270"/>
    <w:rsid w:val="00511FF5"/>
    <w:rsid w:val="0051289F"/>
    <w:rsid w:val="0052236B"/>
    <w:rsid w:val="00522F42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53EF8"/>
    <w:rsid w:val="00556731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847C3"/>
    <w:rsid w:val="00590B1F"/>
    <w:rsid w:val="00592009"/>
    <w:rsid w:val="00592AF5"/>
    <w:rsid w:val="00595C3B"/>
    <w:rsid w:val="00596C3D"/>
    <w:rsid w:val="005A1232"/>
    <w:rsid w:val="005A1D4E"/>
    <w:rsid w:val="005A6E12"/>
    <w:rsid w:val="005B054C"/>
    <w:rsid w:val="005B095F"/>
    <w:rsid w:val="005B0BC5"/>
    <w:rsid w:val="005B12A3"/>
    <w:rsid w:val="005B34A8"/>
    <w:rsid w:val="005B35C0"/>
    <w:rsid w:val="005C24D7"/>
    <w:rsid w:val="005C34DF"/>
    <w:rsid w:val="005C3BEC"/>
    <w:rsid w:val="005C5BA9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7EC0"/>
    <w:rsid w:val="005F079A"/>
    <w:rsid w:val="005F356C"/>
    <w:rsid w:val="005F3B07"/>
    <w:rsid w:val="005F3C84"/>
    <w:rsid w:val="005F3D56"/>
    <w:rsid w:val="005F423E"/>
    <w:rsid w:val="0060000C"/>
    <w:rsid w:val="00600935"/>
    <w:rsid w:val="00601B24"/>
    <w:rsid w:val="00602651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11D7"/>
    <w:rsid w:val="0062435A"/>
    <w:rsid w:val="00626EC9"/>
    <w:rsid w:val="006270E9"/>
    <w:rsid w:val="00630753"/>
    <w:rsid w:val="0063239F"/>
    <w:rsid w:val="00632920"/>
    <w:rsid w:val="00634E77"/>
    <w:rsid w:val="00640578"/>
    <w:rsid w:val="0064123F"/>
    <w:rsid w:val="00643E8B"/>
    <w:rsid w:val="00644F6A"/>
    <w:rsid w:val="00645F06"/>
    <w:rsid w:val="00646772"/>
    <w:rsid w:val="00646BA2"/>
    <w:rsid w:val="00655C61"/>
    <w:rsid w:val="006603D6"/>
    <w:rsid w:val="00663212"/>
    <w:rsid w:val="00663E18"/>
    <w:rsid w:val="00663F37"/>
    <w:rsid w:val="00666D82"/>
    <w:rsid w:val="00667E1C"/>
    <w:rsid w:val="00671F18"/>
    <w:rsid w:val="00673AE6"/>
    <w:rsid w:val="00676E59"/>
    <w:rsid w:val="00681FC1"/>
    <w:rsid w:val="006828B3"/>
    <w:rsid w:val="00682B14"/>
    <w:rsid w:val="00682B3D"/>
    <w:rsid w:val="00683DFC"/>
    <w:rsid w:val="00686D2A"/>
    <w:rsid w:val="00687810"/>
    <w:rsid w:val="0069038F"/>
    <w:rsid w:val="00690FFE"/>
    <w:rsid w:val="00691484"/>
    <w:rsid w:val="00691D78"/>
    <w:rsid w:val="00695FD4"/>
    <w:rsid w:val="00696405"/>
    <w:rsid w:val="006978B9"/>
    <w:rsid w:val="006A06D7"/>
    <w:rsid w:val="006A0FE4"/>
    <w:rsid w:val="006A3116"/>
    <w:rsid w:val="006A5015"/>
    <w:rsid w:val="006B4507"/>
    <w:rsid w:val="006B4801"/>
    <w:rsid w:val="006B5862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19A"/>
    <w:rsid w:val="006E745E"/>
    <w:rsid w:val="006F5B01"/>
    <w:rsid w:val="00701E45"/>
    <w:rsid w:val="00705919"/>
    <w:rsid w:val="0071409F"/>
    <w:rsid w:val="0071549B"/>
    <w:rsid w:val="007175BB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1CCA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D012C"/>
    <w:rsid w:val="007D1FDD"/>
    <w:rsid w:val="007D20E1"/>
    <w:rsid w:val="007D24FB"/>
    <w:rsid w:val="007D5552"/>
    <w:rsid w:val="007E03DF"/>
    <w:rsid w:val="007E0918"/>
    <w:rsid w:val="007E2B67"/>
    <w:rsid w:val="007E36EC"/>
    <w:rsid w:val="007E372E"/>
    <w:rsid w:val="007E78DC"/>
    <w:rsid w:val="007F017B"/>
    <w:rsid w:val="007F071D"/>
    <w:rsid w:val="007F2DCA"/>
    <w:rsid w:val="007F336D"/>
    <w:rsid w:val="007F3F6F"/>
    <w:rsid w:val="007F5EF6"/>
    <w:rsid w:val="007F6CAA"/>
    <w:rsid w:val="007F77B2"/>
    <w:rsid w:val="00801C03"/>
    <w:rsid w:val="008047DF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449A"/>
    <w:rsid w:val="00845DBE"/>
    <w:rsid w:val="00845F2C"/>
    <w:rsid w:val="00846026"/>
    <w:rsid w:val="00847006"/>
    <w:rsid w:val="008504FF"/>
    <w:rsid w:val="00850641"/>
    <w:rsid w:val="00852DFE"/>
    <w:rsid w:val="00853C19"/>
    <w:rsid w:val="00854607"/>
    <w:rsid w:val="00854F54"/>
    <w:rsid w:val="00855B26"/>
    <w:rsid w:val="00856D1A"/>
    <w:rsid w:val="0086459D"/>
    <w:rsid w:val="00866F9E"/>
    <w:rsid w:val="00870E03"/>
    <w:rsid w:val="00871F24"/>
    <w:rsid w:val="0087226A"/>
    <w:rsid w:val="008748B5"/>
    <w:rsid w:val="0087523A"/>
    <w:rsid w:val="008760A2"/>
    <w:rsid w:val="008764CF"/>
    <w:rsid w:val="00876A1F"/>
    <w:rsid w:val="0087738D"/>
    <w:rsid w:val="0087746F"/>
    <w:rsid w:val="0088323D"/>
    <w:rsid w:val="00884F46"/>
    <w:rsid w:val="008855AF"/>
    <w:rsid w:val="00885CE5"/>
    <w:rsid w:val="00892909"/>
    <w:rsid w:val="008932A7"/>
    <w:rsid w:val="008954A7"/>
    <w:rsid w:val="00896742"/>
    <w:rsid w:val="008A1192"/>
    <w:rsid w:val="008A2B34"/>
    <w:rsid w:val="008A42CA"/>
    <w:rsid w:val="008A4BE7"/>
    <w:rsid w:val="008A509D"/>
    <w:rsid w:val="008A6E5D"/>
    <w:rsid w:val="008A7CD6"/>
    <w:rsid w:val="008A7F56"/>
    <w:rsid w:val="008B24A8"/>
    <w:rsid w:val="008B2B85"/>
    <w:rsid w:val="008B6206"/>
    <w:rsid w:val="008B7961"/>
    <w:rsid w:val="008B7FF9"/>
    <w:rsid w:val="008C2668"/>
    <w:rsid w:val="008C2F3D"/>
    <w:rsid w:val="008C73FD"/>
    <w:rsid w:val="008D18FF"/>
    <w:rsid w:val="008D4730"/>
    <w:rsid w:val="008D58BC"/>
    <w:rsid w:val="008D739E"/>
    <w:rsid w:val="008E1A24"/>
    <w:rsid w:val="008E2670"/>
    <w:rsid w:val="008E322A"/>
    <w:rsid w:val="008F257F"/>
    <w:rsid w:val="008F29AE"/>
    <w:rsid w:val="008F6394"/>
    <w:rsid w:val="008F67FF"/>
    <w:rsid w:val="008F6F82"/>
    <w:rsid w:val="00900259"/>
    <w:rsid w:val="00901AF4"/>
    <w:rsid w:val="00902381"/>
    <w:rsid w:val="00910256"/>
    <w:rsid w:val="0091086B"/>
    <w:rsid w:val="009153E0"/>
    <w:rsid w:val="009178B7"/>
    <w:rsid w:val="00917B6C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2EDD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82A4B"/>
    <w:rsid w:val="00984A84"/>
    <w:rsid w:val="0098578C"/>
    <w:rsid w:val="00987DD5"/>
    <w:rsid w:val="00994E36"/>
    <w:rsid w:val="00995205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3888"/>
    <w:rsid w:val="009C57EC"/>
    <w:rsid w:val="009C756F"/>
    <w:rsid w:val="009C7FE9"/>
    <w:rsid w:val="009D2502"/>
    <w:rsid w:val="009D3B8D"/>
    <w:rsid w:val="009D4CE4"/>
    <w:rsid w:val="009D5C2D"/>
    <w:rsid w:val="009D6BEE"/>
    <w:rsid w:val="009D7142"/>
    <w:rsid w:val="009E0271"/>
    <w:rsid w:val="009E661E"/>
    <w:rsid w:val="009F2882"/>
    <w:rsid w:val="009F6957"/>
    <w:rsid w:val="00A00AF8"/>
    <w:rsid w:val="00A02850"/>
    <w:rsid w:val="00A02C36"/>
    <w:rsid w:val="00A04D27"/>
    <w:rsid w:val="00A04EDA"/>
    <w:rsid w:val="00A06B9E"/>
    <w:rsid w:val="00A07C02"/>
    <w:rsid w:val="00A07F03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72A"/>
    <w:rsid w:val="00A43C47"/>
    <w:rsid w:val="00A44133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7775"/>
    <w:rsid w:val="00A67874"/>
    <w:rsid w:val="00A71EC7"/>
    <w:rsid w:val="00A7236B"/>
    <w:rsid w:val="00A73633"/>
    <w:rsid w:val="00A7374A"/>
    <w:rsid w:val="00A7507E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9574C"/>
    <w:rsid w:val="00AA0E7B"/>
    <w:rsid w:val="00AA2B4D"/>
    <w:rsid w:val="00AA301C"/>
    <w:rsid w:val="00AA5F0F"/>
    <w:rsid w:val="00AA6428"/>
    <w:rsid w:val="00AA6A57"/>
    <w:rsid w:val="00AA7F91"/>
    <w:rsid w:val="00AB3E4E"/>
    <w:rsid w:val="00AB4850"/>
    <w:rsid w:val="00AC3EDE"/>
    <w:rsid w:val="00AC5A50"/>
    <w:rsid w:val="00AC671D"/>
    <w:rsid w:val="00AD10C2"/>
    <w:rsid w:val="00AD1AB9"/>
    <w:rsid w:val="00AD2E9E"/>
    <w:rsid w:val="00AD36A7"/>
    <w:rsid w:val="00AD3D7A"/>
    <w:rsid w:val="00AD6E2F"/>
    <w:rsid w:val="00AD6FF7"/>
    <w:rsid w:val="00AE2B5F"/>
    <w:rsid w:val="00AE2F12"/>
    <w:rsid w:val="00AE40AA"/>
    <w:rsid w:val="00AF7A3C"/>
    <w:rsid w:val="00B020D8"/>
    <w:rsid w:val="00B02882"/>
    <w:rsid w:val="00B03B8D"/>
    <w:rsid w:val="00B06CAB"/>
    <w:rsid w:val="00B10F03"/>
    <w:rsid w:val="00B15A58"/>
    <w:rsid w:val="00B1771C"/>
    <w:rsid w:val="00B17B19"/>
    <w:rsid w:val="00B2247D"/>
    <w:rsid w:val="00B23962"/>
    <w:rsid w:val="00B30540"/>
    <w:rsid w:val="00B31CD8"/>
    <w:rsid w:val="00B328C3"/>
    <w:rsid w:val="00B421DE"/>
    <w:rsid w:val="00B42FED"/>
    <w:rsid w:val="00B43DF9"/>
    <w:rsid w:val="00B472CA"/>
    <w:rsid w:val="00B5400E"/>
    <w:rsid w:val="00B629CD"/>
    <w:rsid w:val="00B662B1"/>
    <w:rsid w:val="00B70AC7"/>
    <w:rsid w:val="00B71B30"/>
    <w:rsid w:val="00B72993"/>
    <w:rsid w:val="00B76352"/>
    <w:rsid w:val="00B76E8E"/>
    <w:rsid w:val="00B81CCB"/>
    <w:rsid w:val="00B83575"/>
    <w:rsid w:val="00B850FB"/>
    <w:rsid w:val="00B85502"/>
    <w:rsid w:val="00B87191"/>
    <w:rsid w:val="00B91C53"/>
    <w:rsid w:val="00B91E77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C8F"/>
    <w:rsid w:val="00BC315A"/>
    <w:rsid w:val="00BC5070"/>
    <w:rsid w:val="00BC6146"/>
    <w:rsid w:val="00BC69DF"/>
    <w:rsid w:val="00BC77BA"/>
    <w:rsid w:val="00BD05E4"/>
    <w:rsid w:val="00BD0CD0"/>
    <w:rsid w:val="00BD63CE"/>
    <w:rsid w:val="00BD6890"/>
    <w:rsid w:val="00BD6BBD"/>
    <w:rsid w:val="00BD72ED"/>
    <w:rsid w:val="00BE0078"/>
    <w:rsid w:val="00BE1645"/>
    <w:rsid w:val="00BE1744"/>
    <w:rsid w:val="00BE3F9C"/>
    <w:rsid w:val="00BE4236"/>
    <w:rsid w:val="00BE5D8D"/>
    <w:rsid w:val="00BF01FD"/>
    <w:rsid w:val="00BF102A"/>
    <w:rsid w:val="00BF31E8"/>
    <w:rsid w:val="00BF5487"/>
    <w:rsid w:val="00BF5905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7369"/>
    <w:rsid w:val="00C36CF0"/>
    <w:rsid w:val="00C3771A"/>
    <w:rsid w:val="00C41146"/>
    <w:rsid w:val="00C4206D"/>
    <w:rsid w:val="00C43448"/>
    <w:rsid w:val="00C46A9C"/>
    <w:rsid w:val="00C5101D"/>
    <w:rsid w:val="00C53B3D"/>
    <w:rsid w:val="00C53F53"/>
    <w:rsid w:val="00C54360"/>
    <w:rsid w:val="00C5630F"/>
    <w:rsid w:val="00C579B5"/>
    <w:rsid w:val="00C669E2"/>
    <w:rsid w:val="00C75170"/>
    <w:rsid w:val="00C76A65"/>
    <w:rsid w:val="00C82538"/>
    <w:rsid w:val="00C8261F"/>
    <w:rsid w:val="00C84838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6C5"/>
    <w:rsid w:val="00CD0DC6"/>
    <w:rsid w:val="00CD1131"/>
    <w:rsid w:val="00CD28D6"/>
    <w:rsid w:val="00CD2AAB"/>
    <w:rsid w:val="00CE0C10"/>
    <w:rsid w:val="00CE100E"/>
    <w:rsid w:val="00CE1A08"/>
    <w:rsid w:val="00CE25F1"/>
    <w:rsid w:val="00CE46C6"/>
    <w:rsid w:val="00CE567F"/>
    <w:rsid w:val="00CE5A20"/>
    <w:rsid w:val="00CF0AAD"/>
    <w:rsid w:val="00CF23C7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101BF"/>
    <w:rsid w:val="00D10D79"/>
    <w:rsid w:val="00D12D00"/>
    <w:rsid w:val="00D12D52"/>
    <w:rsid w:val="00D1732E"/>
    <w:rsid w:val="00D17D51"/>
    <w:rsid w:val="00D22ADB"/>
    <w:rsid w:val="00D2495E"/>
    <w:rsid w:val="00D33DA8"/>
    <w:rsid w:val="00D35B40"/>
    <w:rsid w:val="00D3652A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4B0"/>
    <w:rsid w:val="00D56696"/>
    <w:rsid w:val="00D56FAD"/>
    <w:rsid w:val="00D60617"/>
    <w:rsid w:val="00D61A9F"/>
    <w:rsid w:val="00D63561"/>
    <w:rsid w:val="00D70BF6"/>
    <w:rsid w:val="00D70F5B"/>
    <w:rsid w:val="00D71B70"/>
    <w:rsid w:val="00D7275E"/>
    <w:rsid w:val="00D74CEE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4FDD"/>
    <w:rsid w:val="00D96EB9"/>
    <w:rsid w:val="00D97D61"/>
    <w:rsid w:val="00DA051D"/>
    <w:rsid w:val="00DA09D2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5938"/>
    <w:rsid w:val="00DF0A3D"/>
    <w:rsid w:val="00DF26CD"/>
    <w:rsid w:val="00DF2A17"/>
    <w:rsid w:val="00DF4888"/>
    <w:rsid w:val="00DF5BEA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4FDF"/>
    <w:rsid w:val="00E26899"/>
    <w:rsid w:val="00E269CA"/>
    <w:rsid w:val="00E3084E"/>
    <w:rsid w:val="00E35EC1"/>
    <w:rsid w:val="00E419AB"/>
    <w:rsid w:val="00E42703"/>
    <w:rsid w:val="00E42ECE"/>
    <w:rsid w:val="00E445E1"/>
    <w:rsid w:val="00E46B75"/>
    <w:rsid w:val="00E557E8"/>
    <w:rsid w:val="00E60F45"/>
    <w:rsid w:val="00E6177E"/>
    <w:rsid w:val="00E61CE9"/>
    <w:rsid w:val="00E654AD"/>
    <w:rsid w:val="00E7074B"/>
    <w:rsid w:val="00E71E5D"/>
    <w:rsid w:val="00E73DAB"/>
    <w:rsid w:val="00E752E9"/>
    <w:rsid w:val="00E771C7"/>
    <w:rsid w:val="00E811EE"/>
    <w:rsid w:val="00E8465A"/>
    <w:rsid w:val="00E9281D"/>
    <w:rsid w:val="00E95A88"/>
    <w:rsid w:val="00E963EE"/>
    <w:rsid w:val="00E966E7"/>
    <w:rsid w:val="00E96728"/>
    <w:rsid w:val="00EA0AC6"/>
    <w:rsid w:val="00EA4520"/>
    <w:rsid w:val="00EA4F31"/>
    <w:rsid w:val="00EA76FD"/>
    <w:rsid w:val="00EB02F0"/>
    <w:rsid w:val="00EB085E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C5216"/>
    <w:rsid w:val="00ED12B6"/>
    <w:rsid w:val="00ED4178"/>
    <w:rsid w:val="00ED442C"/>
    <w:rsid w:val="00ED67A3"/>
    <w:rsid w:val="00ED6CEB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30E"/>
    <w:rsid w:val="00FA0A40"/>
    <w:rsid w:val="00FA60C1"/>
    <w:rsid w:val="00FA65CE"/>
    <w:rsid w:val="00FA75BF"/>
    <w:rsid w:val="00FB101F"/>
    <w:rsid w:val="00FB1C71"/>
    <w:rsid w:val="00FB2E1A"/>
    <w:rsid w:val="00FB6B2B"/>
    <w:rsid w:val="00FC11C2"/>
    <w:rsid w:val="00FC261C"/>
    <w:rsid w:val="00FC30D6"/>
    <w:rsid w:val="00FC3ED8"/>
    <w:rsid w:val="00FC421E"/>
    <w:rsid w:val="00FC482E"/>
    <w:rsid w:val="00FC58CD"/>
    <w:rsid w:val="00FC5F71"/>
    <w:rsid w:val="00FD0ACA"/>
    <w:rsid w:val="00FD291F"/>
    <w:rsid w:val="00FD446E"/>
    <w:rsid w:val="00FD635C"/>
    <w:rsid w:val="00FE00B0"/>
    <w:rsid w:val="00FE0A07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41CA"/>
    <w:rsid w:val="00FF5FAE"/>
    <w:rsid w:val="00FF6971"/>
    <w:rsid w:val="00FF7622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AFEC54"/>
  <w15:chartTrackingRefBased/>
  <w15:docId w15:val="{A40B9F0A-11EA-439A-AD9F-B1E86A97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4F68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table" w:styleId="Mkatabulky">
    <w:name w:val="Table Grid"/>
    <w:basedOn w:val="Normlntabulka"/>
    <w:uiPriority w:val="59"/>
    <w:rsid w:val="00AD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1402-1068/1068-25_RS.docx</ZkracenyRetezec>
    <Smazat xmlns="acca34e4-9ecd-41c8-99eb-d6aa654aaa55">&lt;a href="/sites/evidencesmluv/_layouts/15/IniWrkflIP.aspx?List=%7b45688869-8B73-4574-991F-DA277FEECC6D%7d&amp;amp;ID=2930&amp;amp;ItemGuid=%7b2A2394B0-DB81-4696-BC42-37EA7492BC8A%7d&amp;amp;TemplateID=%7bd3f8102e-f4a5-4901-b93c-fb146a9d820d%7d"&gt;&lt;img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461AD-E325-49CB-9F8E-DA7FFDFAB0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BC7BF5-63E0-4BF5-B232-4816E54452E6}"/>
</file>

<file path=customXml/itemProps3.xml><?xml version="1.0" encoding="utf-8"?>
<ds:datastoreItem xmlns:ds="http://schemas.openxmlformats.org/officeDocument/2006/customXml" ds:itemID="{3BDA9E48-C7C1-4284-AE62-9916D8362CDC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4.xml><?xml version="1.0" encoding="utf-8"?>
<ds:datastoreItem xmlns:ds="http://schemas.openxmlformats.org/officeDocument/2006/customXml" ds:itemID="{202D4525-AE11-498A-B082-B862B22FF3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4259</Words>
  <Characters>25658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2025-09-13T14:29:00Z</cp:lastPrinted>
  <dcterms:created xsi:type="dcterms:W3CDTF">2025-12-12T11:10:00Z</dcterms:created>
  <dcterms:modified xsi:type="dcterms:W3CDTF">2025-12-12T11:10:00Z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1f31abbc-a541-4953-a9ad-2891fc9553f3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b67a389e-6e0e-4c00-bf81-c26346b032e9,2;b67a389e-6e0e-4c00-bf81-c26346b032e9,2;b67a389e-6e0e-4c00-bf81-c26346b032e9,2;b67a389e-6e0e-4c00-bf81-c26346b032e9,2;b654cfb1-c231-499f-9b0a-28e4e36f65bc,2;b654cfb1-c231-499f-9b0a-28e4e36f65bc,2;b654cfb1-c231-499f-9b0a-28e4e36f65bc,2;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0x010100EFF427952D4E634383E9B8E9D938055A0064F22917744CA940A87941E60F036DA6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_activity">
    <vt:lpwstr>{"FileActivityType":"6","FileActivityTimeStamp":"2024-08-29T10:01:02.730Z","FileActivityUsersOnPage":[{"DisplayName":"Forst František","Id":"19537@vfn.cz"}],"FileActivityNavigationId":null}</vt:lpwstr>
  </property>
  <property fmtid="{D5CDD505-2E9C-101B-9397-08002B2CF9AE}" pid="27" name="Order">
    <vt:r8>5983700</vt:r8>
  </property>
</Properties>
</file>