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76160" w14:textId="77777777" w:rsidR="00A168EC" w:rsidRDefault="00A168EC">
      <w:pPr>
        <w:pBdr>
          <w:top w:val="nil"/>
          <w:left w:val="nil"/>
          <w:bottom w:val="nil"/>
          <w:right w:val="nil"/>
          <w:between w:val="nil"/>
        </w:pBdr>
        <w:spacing w:after="200" w:line="276" w:lineRule="auto"/>
        <w:jc w:val="center"/>
        <w:rPr>
          <w:rFonts w:ascii="Calibri" w:eastAsia="Calibri" w:hAnsi="Calibri" w:cs="Calibri"/>
          <w:color w:val="000000"/>
          <w:sz w:val="32"/>
          <w:szCs w:val="32"/>
        </w:rPr>
      </w:pPr>
    </w:p>
    <w:p w14:paraId="537F5E24" w14:textId="77777777" w:rsidR="00A168EC" w:rsidRDefault="00000000">
      <w:pPr>
        <w:pBdr>
          <w:top w:val="nil"/>
          <w:left w:val="nil"/>
          <w:bottom w:val="nil"/>
          <w:right w:val="nil"/>
          <w:between w:val="nil"/>
        </w:pBdr>
        <w:spacing w:line="276" w:lineRule="auto"/>
        <w:jc w:val="center"/>
        <w:rPr>
          <w:rFonts w:ascii="Calibri" w:eastAsia="Calibri" w:hAnsi="Calibri" w:cs="Calibri"/>
          <w:color w:val="000000"/>
          <w:sz w:val="32"/>
          <w:szCs w:val="32"/>
        </w:rPr>
      </w:pPr>
      <w:r>
        <w:rPr>
          <w:rFonts w:ascii="Calibri" w:eastAsia="Calibri" w:hAnsi="Calibri" w:cs="Calibri"/>
          <w:b/>
          <w:bCs/>
          <w:color w:val="000000"/>
          <w:sz w:val="32"/>
          <w:szCs w:val="32"/>
        </w:rPr>
        <w:t>KUPNÍ SMLOUVA</w:t>
      </w:r>
    </w:p>
    <w:p w14:paraId="584B62BE" w14:textId="77777777" w:rsidR="00A168EC" w:rsidRDefault="00000000">
      <w:pPr>
        <w:pBdr>
          <w:top w:val="nil"/>
          <w:left w:val="nil"/>
          <w:bottom w:val="nil"/>
          <w:right w:val="nil"/>
          <w:between w:val="nil"/>
        </w:pBdr>
        <w:spacing w:after="360"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uzavřená na základě dohody smluvních stran podle ustanovení § 2079 a následujících zákona č. 89/2012 Sb., občanský zákoník, ve znění pozdějších předpisů (dále jen „občanský zákoník“)</w:t>
      </w:r>
    </w:p>
    <w:p w14:paraId="5F1800CB" w14:textId="77777777" w:rsidR="00A168EC" w:rsidRDefault="00000000">
      <w:pPr>
        <w:pBdr>
          <w:top w:val="nil"/>
          <w:left w:val="nil"/>
          <w:bottom w:val="nil"/>
          <w:right w:val="nil"/>
          <w:between w:val="nil"/>
        </w:pBdr>
        <w:spacing w:after="200" w:line="360" w:lineRule="auto"/>
        <w:jc w:val="center"/>
        <w:rPr>
          <w:rFonts w:ascii="Calibri" w:eastAsia="Calibri" w:hAnsi="Calibri" w:cs="Calibri"/>
          <w:color w:val="000000"/>
          <w:sz w:val="24"/>
          <w:szCs w:val="24"/>
        </w:rPr>
      </w:pPr>
      <w:r>
        <w:rPr>
          <w:rFonts w:ascii="Calibri" w:eastAsia="Calibri" w:hAnsi="Calibri" w:cs="Calibri"/>
          <w:b/>
          <w:bCs/>
          <w:color w:val="000000"/>
          <w:sz w:val="24"/>
          <w:szCs w:val="24"/>
        </w:rPr>
        <w:t>Smluvní strany</w:t>
      </w:r>
    </w:p>
    <w:p w14:paraId="36E3498F" w14:textId="77777777" w:rsidR="00A168EC" w:rsidRDefault="00A168EC">
      <w:pPr>
        <w:pBdr>
          <w:top w:val="nil"/>
          <w:left w:val="nil"/>
          <w:bottom w:val="nil"/>
          <w:right w:val="nil"/>
          <w:between w:val="nil"/>
        </w:pBdr>
        <w:spacing w:after="200" w:line="276" w:lineRule="auto"/>
        <w:rPr>
          <w:rFonts w:ascii="Calibri" w:eastAsia="Calibri" w:hAnsi="Calibri" w:cs="Calibri"/>
          <w:color w:val="000000"/>
          <w:sz w:val="22"/>
          <w:szCs w:val="22"/>
        </w:rPr>
      </w:pPr>
    </w:p>
    <w:p w14:paraId="4889B64F" w14:textId="77777777"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1. </w:t>
      </w:r>
      <w:r>
        <w:rPr>
          <w:rFonts w:ascii="Calibri" w:eastAsia="Calibri" w:hAnsi="Calibri" w:cs="Calibri"/>
          <w:b/>
          <w:bCs/>
          <w:color w:val="000000"/>
          <w:sz w:val="22"/>
          <w:szCs w:val="22"/>
        </w:rPr>
        <w:t>Pro CleanLife s. r. o.</w:t>
      </w:r>
    </w:p>
    <w:p w14:paraId="6623D9DA" w14:textId="77777777"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sídlo: Rybná 716/24, Staré Město, 110 00 Praha 1</w:t>
      </w:r>
      <w:r>
        <w:rPr>
          <w:rFonts w:ascii="Calibri" w:eastAsia="Calibri" w:hAnsi="Calibri" w:cs="Calibri"/>
          <w:color w:val="000000"/>
          <w:sz w:val="22"/>
          <w:szCs w:val="22"/>
        </w:rPr>
        <w:br/>
        <w:t>zastoupený: Danielem Večerkou, jednatelem společnosti</w:t>
      </w:r>
      <w:r>
        <w:rPr>
          <w:rFonts w:ascii="Calibri" w:eastAsia="Calibri" w:hAnsi="Calibri" w:cs="Calibri"/>
          <w:color w:val="000000"/>
          <w:sz w:val="22"/>
          <w:szCs w:val="22"/>
        </w:rPr>
        <w:br/>
        <w:t>tel., e-mail: 777 269 921, daniel.vecerka@cleanlife.cz</w:t>
      </w:r>
      <w:r>
        <w:rPr>
          <w:rFonts w:ascii="Calibri" w:eastAsia="Calibri" w:hAnsi="Calibri" w:cs="Calibri"/>
          <w:color w:val="000000"/>
          <w:sz w:val="22"/>
          <w:szCs w:val="22"/>
        </w:rPr>
        <w:br/>
        <w:t>IČ: 04303342, DIČ: CZ04303342</w:t>
      </w:r>
      <w:r>
        <w:rPr>
          <w:rFonts w:ascii="Calibri" w:eastAsia="Calibri" w:hAnsi="Calibri" w:cs="Calibri"/>
          <w:color w:val="000000"/>
          <w:sz w:val="22"/>
          <w:szCs w:val="22"/>
        </w:rPr>
        <w:br/>
        <w:t>bankovní spojení: ČSOB</w:t>
      </w:r>
      <w:r>
        <w:rPr>
          <w:rFonts w:ascii="Calibri" w:eastAsia="Calibri" w:hAnsi="Calibri" w:cs="Calibri"/>
          <w:color w:val="000000"/>
          <w:sz w:val="22"/>
          <w:szCs w:val="22"/>
        </w:rPr>
        <w:br/>
        <w:t>číslo účtu: 279115058/0300</w:t>
      </w:r>
    </w:p>
    <w:p w14:paraId="08696248" w14:textId="77777777"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(dále jen </w:t>
      </w:r>
      <w:r>
        <w:rPr>
          <w:rFonts w:ascii="Calibri" w:eastAsia="Calibri" w:hAnsi="Calibri" w:cs="Calibri"/>
          <w:b/>
          <w:bCs/>
          <w:color w:val="000000"/>
          <w:sz w:val="22"/>
          <w:szCs w:val="22"/>
        </w:rPr>
        <w:t>„prodávající“</w:t>
      </w:r>
      <w:r>
        <w:rPr>
          <w:rFonts w:ascii="Calibri" w:eastAsia="Calibri" w:hAnsi="Calibri" w:cs="Calibri"/>
          <w:color w:val="000000"/>
          <w:sz w:val="22"/>
          <w:szCs w:val="22"/>
        </w:rPr>
        <w:t>)</w:t>
      </w:r>
    </w:p>
    <w:p w14:paraId="4DEC0EB7" w14:textId="77777777"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a</w:t>
      </w:r>
    </w:p>
    <w:p w14:paraId="73FD62E9" w14:textId="4D18E761"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2. </w:t>
      </w:r>
      <w:r w:rsidR="0046702F" w:rsidRPr="0046702F">
        <w:rPr>
          <w:rFonts w:ascii="Calibri" w:eastAsia="Calibri" w:hAnsi="Calibri" w:cs="Calibri"/>
          <w:b/>
          <w:bCs/>
          <w:sz w:val="22"/>
          <w:szCs w:val="22"/>
        </w:rPr>
        <w:t>Sociální služby města Havlíčkova Brodu</w:t>
      </w:r>
    </w:p>
    <w:p w14:paraId="5AC87C14" w14:textId="74068074" w:rsidR="00A168EC"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sídlo:</w:t>
      </w:r>
      <w:r w:rsidR="0046702F">
        <w:rPr>
          <w:rFonts w:ascii="Calibri" w:eastAsia="Calibri" w:hAnsi="Calibri" w:cs="Calibri"/>
          <w:color w:val="000000"/>
          <w:sz w:val="22"/>
          <w:szCs w:val="22"/>
        </w:rPr>
        <w:t xml:space="preserve"> </w:t>
      </w:r>
      <w:r w:rsidR="0046702F" w:rsidRPr="0046702F">
        <w:rPr>
          <w:rFonts w:ascii="Calibri" w:eastAsia="Calibri" w:hAnsi="Calibri" w:cs="Calibri"/>
          <w:color w:val="000000"/>
          <w:sz w:val="22"/>
          <w:szCs w:val="22"/>
        </w:rPr>
        <w:t>Reynkova 3643, 58001 Havlíčkův Brod</w:t>
      </w:r>
      <w:r>
        <w:rPr>
          <w:rFonts w:ascii="Calibri" w:eastAsia="Calibri" w:hAnsi="Calibri" w:cs="Calibri"/>
          <w:color w:val="000000"/>
          <w:sz w:val="22"/>
          <w:szCs w:val="22"/>
        </w:rPr>
        <w:br/>
        <w:t>zastoupený:</w:t>
      </w:r>
      <w:r w:rsidR="0046702F">
        <w:rPr>
          <w:rFonts w:ascii="Calibri" w:eastAsia="Calibri" w:hAnsi="Calibri" w:cs="Calibri"/>
          <w:color w:val="000000"/>
          <w:sz w:val="22"/>
          <w:szCs w:val="22"/>
        </w:rPr>
        <w:t xml:space="preserve"> </w:t>
      </w:r>
      <w:r w:rsidR="0046702F" w:rsidRPr="0046702F">
        <w:rPr>
          <w:rFonts w:ascii="Calibri" w:eastAsia="Calibri" w:hAnsi="Calibri" w:cs="Calibri"/>
          <w:color w:val="000000"/>
          <w:sz w:val="22"/>
          <w:szCs w:val="22"/>
        </w:rPr>
        <w:t>Mgr. Magdalen</w:t>
      </w:r>
      <w:r w:rsidR="0046702F">
        <w:rPr>
          <w:rFonts w:ascii="Calibri" w:eastAsia="Calibri" w:hAnsi="Calibri" w:cs="Calibri"/>
          <w:color w:val="000000"/>
          <w:sz w:val="22"/>
          <w:szCs w:val="22"/>
        </w:rPr>
        <w:t>ou</w:t>
      </w:r>
      <w:r w:rsidR="0046702F" w:rsidRPr="0046702F">
        <w:rPr>
          <w:rFonts w:ascii="Calibri" w:eastAsia="Calibri" w:hAnsi="Calibri" w:cs="Calibri"/>
          <w:color w:val="000000"/>
          <w:sz w:val="22"/>
          <w:szCs w:val="22"/>
        </w:rPr>
        <w:t xml:space="preserve"> Kufrov</w:t>
      </w:r>
      <w:r w:rsidR="0046702F">
        <w:rPr>
          <w:rFonts w:ascii="Calibri" w:eastAsia="Calibri" w:hAnsi="Calibri" w:cs="Calibri"/>
          <w:color w:val="000000"/>
          <w:sz w:val="22"/>
          <w:szCs w:val="22"/>
        </w:rPr>
        <w:t>ou, ředitelkou organizace</w:t>
      </w:r>
      <w:r>
        <w:rPr>
          <w:rFonts w:ascii="Calibri" w:eastAsia="Calibri" w:hAnsi="Calibri" w:cs="Calibri"/>
          <w:color w:val="000000"/>
          <w:sz w:val="22"/>
          <w:szCs w:val="22"/>
        </w:rPr>
        <w:br/>
        <w:t xml:space="preserve">tel., e-mail: </w:t>
      </w:r>
      <w:hyperlink r:id="rId7" w:history="1">
        <w:r w:rsidR="0046702F" w:rsidRPr="001A629E">
          <w:rPr>
            <w:rStyle w:val="Hypertextovodkaz"/>
            <w:rFonts w:ascii="Calibri" w:eastAsia="Calibri" w:hAnsi="Calibri" w:cs="Calibri"/>
            <w:sz w:val="22"/>
            <w:szCs w:val="22"/>
          </w:rPr>
          <w:t>kufrova@ssmhb.cz</w:t>
        </w:r>
      </w:hyperlink>
      <w:r w:rsidR="0046702F">
        <w:rPr>
          <w:rFonts w:ascii="Calibri" w:eastAsia="Calibri" w:hAnsi="Calibri" w:cs="Calibri"/>
          <w:color w:val="000000"/>
          <w:sz w:val="22"/>
          <w:szCs w:val="22"/>
        </w:rPr>
        <w:t xml:space="preserve">, </w:t>
      </w:r>
      <w:r w:rsidR="0046702F" w:rsidRPr="0046702F">
        <w:rPr>
          <w:rFonts w:ascii="Calibri" w:eastAsia="Calibri" w:hAnsi="Calibri" w:cs="Calibri"/>
          <w:color w:val="000000"/>
          <w:sz w:val="22"/>
          <w:szCs w:val="22"/>
        </w:rPr>
        <w:t>+420 728 462 989</w:t>
      </w:r>
      <w:r>
        <w:rPr>
          <w:rFonts w:ascii="Calibri" w:eastAsia="Calibri" w:hAnsi="Calibri" w:cs="Calibri"/>
          <w:color w:val="000000"/>
          <w:sz w:val="22"/>
          <w:szCs w:val="22"/>
        </w:rPr>
        <w:br/>
        <w:t xml:space="preserve">IČ: </w:t>
      </w:r>
      <w:r w:rsidR="0046702F" w:rsidRPr="0046702F">
        <w:rPr>
          <w:rFonts w:ascii="Calibri" w:eastAsia="Calibri" w:hAnsi="Calibri" w:cs="Calibri"/>
          <w:color w:val="000000"/>
          <w:sz w:val="22"/>
          <w:szCs w:val="22"/>
        </w:rPr>
        <w:t>70188467</w:t>
      </w:r>
    </w:p>
    <w:p w14:paraId="584CF9C9" w14:textId="77777777" w:rsidR="00A168EC" w:rsidRDefault="00000000">
      <w:pPr>
        <w:pBdr>
          <w:top w:val="nil"/>
          <w:left w:val="nil"/>
          <w:bottom w:val="nil"/>
          <w:right w:val="nil"/>
          <w:between w:val="nil"/>
        </w:pBdr>
        <w:spacing w:after="200" w:line="276" w:lineRule="auto"/>
        <w:ind w:firstLine="425"/>
        <w:rPr>
          <w:rFonts w:ascii="Calibri" w:eastAsia="Calibri" w:hAnsi="Calibri" w:cs="Calibri"/>
          <w:color w:val="000000"/>
          <w:sz w:val="22"/>
          <w:szCs w:val="22"/>
        </w:rPr>
      </w:pPr>
      <w:r>
        <w:rPr>
          <w:rFonts w:ascii="Calibri" w:eastAsia="Calibri" w:hAnsi="Calibri" w:cs="Calibri"/>
          <w:color w:val="000000"/>
          <w:sz w:val="22"/>
          <w:szCs w:val="22"/>
        </w:rPr>
        <w:t xml:space="preserve">(dále jen </w:t>
      </w:r>
      <w:r>
        <w:rPr>
          <w:rFonts w:ascii="Calibri" w:eastAsia="Calibri" w:hAnsi="Calibri" w:cs="Calibri"/>
          <w:b/>
          <w:bCs/>
          <w:color w:val="000000"/>
          <w:sz w:val="22"/>
          <w:szCs w:val="22"/>
        </w:rPr>
        <w:t>„kupující“</w:t>
      </w:r>
      <w:r>
        <w:rPr>
          <w:rFonts w:ascii="Calibri" w:eastAsia="Calibri" w:hAnsi="Calibri" w:cs="Calibri"/>
          <w:color w:val="000000"/>
          <w:sz w:val="22"/>
          <w:szCs w:val="22"/>
        </w:rPr>
        <w:t>)</w:t>
      </w:r>
    </w:p>
    <w:p w14:paraId="1C176ACA" w14:textId="77777777" w:rsidR="00A168EC" w:rsidRDefault="00A168EC">
      <w:pPr>
        <w:pBdr>
          <w:top w:val="nil"/>
          <w:left w:val="nil"/>
          <w:bottom w:val="nil"/>
          <w:right w:val="nil"/>
          <w:between w:val="nil"/>
        </w:pBdr>
        <w:spacing w:after="60" w:line="276" w:lineRule="auto"/>
        <w:ind w:firstLine="425"/>
        <w:rPr>
          <w:rFonts w:ascii="Calibri" w:eastAsia="Calibri" w:hAnsi="Calibri" w:cs="Calibri"/>
          <w:color w:val="000000"/>
          <w:sz w:val="22"/>
          <w:szCs w:val="22"/>
        </w:rPr>
      </w:pPr>
    </w:p>
    <w:p w14:paraId="496887E5" w14:textId="77777777" w:rsidR="00A168EC" w:rsidRDefault="00000000">
      <w:pPr>
        <w:pBdr>
          <w:top w:val="nil"/>
          <w:left w:val="nil"/>
          <w:bottom w:val="nil"/>
          <w:right w:val="nil"/>
          <w:between w:val="nil"/>
        </w:pBdr>
        <w:spacing w:after="6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uzavírají tuto </w:t>
      </w:r>
      <w:r>
        <w:rPr>
          <w:rFonts w:ascii="Calibri" w:eastAsia="Calibri" w:hAnsi="Calibri" w:cs="Calibri"/>
          <w:b/>
          <w:bCs/>
          <w:color w:val="000000"/>
          <w:sz w:val="22"/>
          <w:szCs w:val="22"/>
        </w:rPr>
        <w:t>kupní smlouvu</w:t>
      </w:r>
      <w:r>
        <w:rPr>
          <w:rFonts w:ascii="Calibri" w:eastAsia="Calibri" w:hAnsi="Calibri" w:cs="Calibri"/>
          <w:color w:val="000000"/>
          <w:sz w:val="22"/>
          <w:szCs w:val="22"/>
        </w:rPr>
        <w:t>:</w:t>
      </w:r>
    </w:p>
    <w:p w14:paraId="4A324517"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05916896"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I.</w:t>
      </w:r>
    </w:p>
    <w:p w14:paraId="3666052E"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Předmět smlouvy </w:t>
      </w:r>
    </w:p>
    <w:p w14:paraId="02E18284" w14:textId="34774DB1" w:rsidR="00A168EC" w:rsidRDefault="00000000">
      <w:pPr>
        <w:pBdr>
          <w:top w:val="nil"/>
          <w:left w:val="nil"/>
          <w:bottom w:val="nil"/>
          <w:right w:val="nil"/>
          <w:between w:val="nil"/>
        </w:pBdr>
        <w:spacing w:before="240" w:after="60" w:line="276" w:lineRule="auto"/>
        <w:jc w:val="both"/>
        <w:rPr>
          <w:rFonts w:ascii="Calibri" w:eastAsia="Calibri" w:hAnsi="Calibri" w:cs="Calibri"/>
          <w:color w:val="000000"/>
          <w:sz w:val="22"/>
          <w:szCs w:val="22"/>
        </w:rPr>
      </w:pPr>
      <w:bookmarkStart w:id="0" w:name="_vfnp12ngzcjc" w:colFirst="0" w:colLast="0"/>
      <w:bookmarkEnd w:id="0"/>
      <w:r>
        <w:rPr>
          <w:rFonts w:ascii="Calibri" w:eastAsia="Calibri" w:hAnsi="Calibri" w:cs="Calibri"/>
          <w:color w:val="000000"/>
          <w:sz w:val="22"/>
          <w:szCs w:val="22"/>
        </w:rPr>
        <w:t xml:space="preserve">Předmětem této smlouvy je závazek prodávajícího odevzdat kupujícímu předmět koupě – </w:t>
      </w:r>
      <w:r w:rsidR="0046702F" w:rsidRPr="0046702F">
        <w:rPr>
          <w:rFonts w:ascii="Calibri" w:eastAsia="Calibri" w:hAnsi="Calibri" w:cs="Calibri"/>
          <w:sz w:val="22"/>
          <w:szCs w:val="22"/>
        </w:rPr>
        <w:t>Flexibilní zástěny a vozík do prádelny</w:t>
      </w:r>
      <w:r>
        <w:rPr>
          <w:rFonts w:ascii="Calibri" w:eastAsia="Calibri" w:hAnsi="Calibri" w:cs="Calibri"/>
          <w:color w:val="000000"/>
          <w:sz w:val="22"/>
          <w:szCs w:val="22"/>
        </w:rPr>
        <w:t>,</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blíže specifikované v příloze č. 1 v cenové nabídce č. </w:t>
      </w:r>
      <w:r w:rsidR="0046702F" w:rsidRPr="00C171CD">
        <w:rPr>
          <w:rFonts w:ascii="Calibri" w:eastAsia="Calibri" w:hAnsi="Calibri" w:cs="Calibri"/>
          <w:b/>
          <w:bCs/>
          <w:color w:val="000000"/>
          <w:sz w:val="22"/>
          <w:szCs w:val="22"/>
        </w:rPr>
        <w:t>CN20251218</w:t>
      </w:r>
      <w:r>
        <w:rPr>
          <w:rFonts w:ascii="Calibri" w:eastAsia="Calibri" w:hAnsi="Calibri" w:cs="Calibri"/>
          <w:color w:val="000000"/>
          <w:sz w:val="22"/>
          <w:szCs w:val="22"/>
        </w:rPr>
        <w:t>, a umožnit kupujícímu nabytí vlastnického práva k předmětu koupě a závazek na kupujícího tento předmět koupě s veškerým příslušenstvím převzít a zaplatit za něj prodávajícímu sjednanou kupní cenu.</w:t>
      </w:r>
    </w:p>
    <w:p w14:paraId="2058BC66"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Článek II.</w:t>
      </w:r>
    </w:p>
    <w:p w14:paraId="0740629D"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Místo plnění</w:t>
      </w:r>
    </w:p>
    <w:p w14:paraId="4C13C513" w14:textId="06FD0D66" w:rsidR="00A168EC" w:rsidRDefault="00000000">
      <w:pPr>
        <w:pBdr>
          <w:top w:val="nil"/>
          <w:left w:val="nil"/>
          <w:bottom w:val="nil"/>
          <w:right w:val="nil"/>
          <w:between w:val="nil"/>
        </w:pBdr>
        <w:spacing w:after="6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Místem plnění pro dodání zboží je </w:t>
      </w:r>
      <w:r w:rsidR="0046702F" w:rsidRPr="0046702F">
        <w:rPr>
          <w:rFonts w:ascii="Calibri" w:eastAsia="Calibri" w:hAnsi="Calibri" w:cs="Calibri"/>
          <w:sz w:val="22"/>
          <w:szCs w:val="22"/>
        </w:rPr>
        <w:t xml:space="preserve">Sociální služby města Havlíčkova Brodu </w:t>
      </w:r>
      <w:r>
        <w:rPr>
          <w:rFonts w:ascii="Calibri" w:eastAsia="Calibri" w:hAnsi="Calibri" w:cs="Calibri"/>
          <w:color w:val="000000"/>
          <w:sz w:val="22"/>
          <w:szCs w:val="22"/>
        </w:rPr>
        <w:t>s místem:</w:t>
      </w:r>
      <w:r>
        <w:rPr>
          <w:rFonts w:ascii="Calibri" w:eastAsia="Calibri" w:hAnsi="Calibri" w:cs="Calibri"/>
          <w:b/>
          <w:bCs/>
          <w:color w:val="000000"/>
          <w:sz w:val="22"/>
          <w:szCs w:val="22"/>
        </w:rPr>
        <w:t xml:space="preserve"> </w:t>
      </w:r>
      <w:r w:rsidR="0046702F" w:rsidRPr="0046702F">
        <w:rPr>
          <w:rFonts w:ascii="Calibri" w:eastAsia="Calibri" w:hAnsi="Calibri" w:cs="Calibri"/>
          <w:b/>
          <w:bCs/>
          <w:color w:val="000000"/>
          <w:sz w:val="22"/>
          <w:szCs w:val="22"/>
        </w:rPr>
        <w:t>Reynkova 3643, 58001 Havlíčkův Brod</w:t>
      </w:r>
      <w:r>
        <w:rPr>
          <w:rFonts w:ascii="Calibri" w:eastAsia="Calibri" w:hAnsi="Calibri" w:cs="Calibri"/>
          <w:color w:val="000000"/>
          <w:sz w:val="22"/>
          <w:szCs w:val="22"/>
        </w:rPr>
        <w:t>.</w:t>
      </w:r>
    </w:p>
    <w:p w14:paraId="2D7C51E7"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155EE941"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75273063"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III.</w:t>
      </w:r>
    </w:p>
    <w:p w14:paraId="7B7834A1"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Doba plnění</w:t>
      </w:r>
    </w:p>
    <w:p w14:paraId="4D880FA1" w14:textId="0FE0DA86" w:rsidR="00A168EC" w:rsidRDefault="00000000">
      <w:pPr>
        <w:pBdr>
          <w:top w:val="nil"/>
          <w:left w:val="nil"/>
          <w:bottom w:val="nil"/>
          <w:right w:val="nil"/>
          <w:between w:val="nil"/>
        </w:pBdr>
        <w:spacing w:after="6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Prodávající se zavazuje dodat zboží nejpozději do </w:t>
      </w:r>
      <w:r w:rsidR="0046702F" w:rsidRPr="00C171CD">
        <w:rPr>
          <w:rFonts w:ascii="Calibri" w:eastAsia="Calibri" w:hAnsi="Calibri" w:cs="Calibri"/>
          <w:b/>
          <w:bCs/>
          <w:color w:val="000000"/>
          <w:sz w:val="22"/>
          <w:szCs w:val="22"/>
        </w:rPr>
        <w:t>31</w:t>
      </w:r>
      <w:r w:rsidRPr="00C171CD">
        <w:rPr>
          <w:rFonts w:ascii="Calibri" w:eastAsia="Calibri" w:hAnsi="Calibri" w:cs="Calibri"/>
          <w:b/>
          <w:bCs/>
          <w:color w:val="000000"/>
          <w:sz w:val="22"/>
          <w:szCs w:val="22"/>
        </w:rPr>
        <w:t xml:space="preserve">. </w:t>
      </w:r>
      <w:r w:rsidR="0046702F" w:rsidRPr="00C171CD">
        <w:rPr>
          <w:rFonts w:ascii="Calibri" w:eastAsia="Calibri" w:hAnsi="Calibri" w:cs="Calibri"/>
          <w:b/>
          <w:bCs/>
          <w:color w:val="000000"/>
          <w:sz w:val="22"/>
          <w:szCs w:val="22"/>
        </w:rPr>
        <w:t>12</w:t>
      </w:r>
      <w:r w:rsidRPr="00C171CD">
        <w:rPr>
          <w:rFonts w:ascii="Calibri" w:eastAsia="Calibri" w:hAnsi="Calibri" w:cs="Calibri"/>
          <w:b/>
          <w:bCs/>
          <w:color w:val="000000"/>
          <w:sz w:val="22"/>
          <w:szCs w:val="22"/>
        </w:rPr>
        <w:t xml:space="preserve">. </w:t>
      </w:r>
      <w:r w:rsidR="0046702F" w:rsidRPr="00C171CD">
        <w:rPr>
          <w:rFonts w:ascii="Calibri" w:eastAsia="Calibri" w:hAnsi="Calibri" w:cs="Calibri"/>
          <w:b/>
          <w:bCs/>
          <w:color w:val="000000"/>
          <w:sz w:val="22"/>
          <w:szCs w:val="22"/>
        </w:rPr>
        <w:t>2025</w:t>
      </w:r>
      <w:r>
        <w:rPr>
          <w:rFonts w:ascii="Calibri" w:eastAsia="Calibri" w:hAnsi="Calibri" w:cs="Calibri"/>
          <w:color w:val="000000"/>
          <w:sz w:val="22"/>
          <w:szCs w:val="22"/>
        </w:rPr>
        <w:t>.</w:t>
      </w:r>
    </w:p>
    <w:p w14:paraId="77CC792A"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7A512CC0"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172EC28E"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IV.</w:t>
      </w:r>
    </w:p>
    <w:p w14:paraId="77EA7E5A"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Dodací podmínky</w:t>
      </w:r>
    </w:p>
    <w:p w14:paraId="79FE2872" w14:textId="4A21DB4C"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Prodávající se zavazuje dodat kupujícímu předmět koupě v rozsahu uvedeném v cenové nabídce č. </w:t>
      </w:r>
      <w:r w:rsidR="0046702F" w:rsidRPr="00C171CD">
        <w:rPr>
          <w:rFonts w:ascii="Calibri" w:eastAsia="Calibri" w:hAnsi="Calibri" w:cs="Calibri"/>
          <w:b/>
          <w:bCs/>
          <w:color w:val="000000"/>
          <w:sz w:val="22"/>
          <w:szCs w:val="22"/>
        </w:rPr>
        <w:t>CN20251218</w:t>
      </w:r>
      <w:r>
        <w:rPr>
          <w:rFonts w:ascii="Calibri" w:eastAsia="Calibri" w:hAnsi="Calibri" w:cs="Calibri"/>
          <w:color w:val="000000"/>
          <w:sz w:val="22"/>
          <w:szCs w:val="22"/>
        </w:rPr>
        <w:t>, včetně dokladů nutných pro užívání věci a uplatnění případných práv z vad z titulu záruky za jakost, a zaškolit obsluhu.</w:t>
      </w:r>
    </w:p>
    <w:p w14:paraId="26629108" w14:textId="77777777" w:rsidR="00A168EC" w:rsidRDefault="00000000">
      <w:pPr>
        <w:pBdr>
          <w:top w:val="nil"/>
          <w:left w:val="nil"/>
          <w:bottom w:val="nil"/>
          <w:right w:val="nil"/>
          <w:between w:val="nil"/>
        </w:pBdr>
        <w:spacing w:after="6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2. </w:t>
      </w:r>
      <w:r>
        <w:rPr>
          <w:rFonts w:ascii="Calibri" w:eastAsia="Calibri" w:hAnsi="Calibri" w:cs="Calibri"/>
          <w:b/>
          <w:bCs/>
          <w:color w:val="000000"/>
          <w:sz w:val="22"/>
          <w:szCs w:val="22"/>
        </w:rPr>
        <w:tab/>
        <w:t>Dodávka se považuje dle této smlouvy za splněnou, pokud předmět koupě bude řádně předán kupujícímu v místě plnění. Přijetí bude potvrzeno podpisem dodacího listu oprávněnými zástupci obou smluvních stran.</w:t>
      </w:r>
    </w:p>
    <w:p w14:paraId="2E629DE0"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184F562C"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36A98783"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V.</w:t>
      </w:r>
    </w:p>
    <w:p w14:paraId="20C088E7"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Kupní cena a platební podmínky</w:t>
      </w:r>
    </w:p>
    <w:p w14:paraId="1550D75E" w14:textId="03C3B76B"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 xml:space="preserve">Celková kupní cena byla dohodou smluvních stran stanovena ve výši </w:t>
      </w:r>
      <w:r w:rsidR="0046702F" w:rsidRPr="0046702F">
        <w:rPr>
          <w:rFonts w:ascii="Calibri" w:eastAsia="Calibri" w:hAnsi="Calibri" w:cs="Calibri"/>
          <w:b/>
          <w:bCs/>
          <w:color w:val="000000"/>
          <w:sz w:val="22"/>
          <w:szCs w:val="22"/>
        </w:rPr>
        <w:t xml:space="preserve">97 537.19 </w:t>
      </w:r>
      <w:r>
        <w:rPr>
          <w:rFonts w:ascii="Calibri" w:eastAsia="Calibri" w:hAnsi="Calibri" w:cs="Calibri"/>
          <w:b/>
          <w:bCs/>
          <w:color w:val="000000"/>
          <w:sz w:val="22"/>
          <w:szCs w:val="22"/>
        </w:rPr>
        <w:t xml:space="preserve">Kč bez DPH, </w:t>
      </w:r>
      <w:r>
        <w:rPr>
          <w:rFonts w:ascii="Calibri" w:eastAsia="Calibri" w:hAnsi="Calibri" w:cs="Calibri"/>
          <w:b/>
          <w:bCs/>
          <w:color w:val="000000"/>
          <w:sz w:val="22"/>
          <w:szCs w:val="22"/>
        </w:rPr>
        <w:br/>
        <w:t xml:space="preserve">tj. </w:t>
      </w:r>
      <w:r w:rsidR="0046702F" w:rsidRPr="0046702F">
        <w:rPr>
          <w:rFonts w:ascii="Calibri" w:eastAsia="Calibri" w:hAnsi="Calibri" w:cs="Calibri"/>
          <w:b/>
          <w:bCs/>
          <w:color w:val="000000"/>
          <w:sz w:val="22"/>
          <w:szCs w:val="22"/>
        </w:rPr>
        <w:t>118 020.00</w:t>
      </w:r>
      <w:r w:rsidR="0046702F">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Kč včetně DPH</w:t>
      </w:r>
      <w:r>
        <w:rPr>
          <w:rFonts w:ascii="Calibri" w:eastAsia="Calibri" w:hAnsi="Calibri" w:cs="Calibri"/>
          <w:color w:val="000000"/>
          <w:sz w:val="22"/>
          <w:szCs w:val="22"/>
        </w:rPr>
        <w:t xml:space="preserve"> (DPH je ve výši </w:t>
      </w:r>
      <w:r w:rsidRPr="00C171CD">
        <w:rPr>
          <w:rFonts w:ascii="Calibri" w:eastAsia="Calibri" w:hAnsi="Calibri" w:cs="Calibri"/>
          <w:b/>
          <w:bCs/>
          <w:color w:val="000000"/>
          <w:sz w:val="22"/>
          <w:szCs w:val="22"/>
        </w:rPr>
        <w:t>21 %</w:t>
      </w:r>
      <w:r>
        <w:rPr>
          <w:rFonts w:ascii="Calibri" w:eastAsia="Calibri" w:hAnsi="Calibri" w:cs="Calibri"/>
          <w:color w:val="000000"/>
          <w:sz w:val="22"/>
          <w:szCs w:val="22"/>
        </w:rPr>
        <w:t>). Kupní cena je dohodou stanovena jako nejvýše přípustná a je možno ji překročit pouze v případě změny sazby DPH, a to o částku odpovídající změně DPH. Celkovou a pro účely fakturace rozhodnou cenou se rozumí cena včetně DPH.</w:t>
      </w:r>
    </w:p>
    <w:p w14:paraId="5962F5A2"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Kupní cena je cena konečná a zahrnuje veškeré náklady prodávajícího na dopravu předmětu koupě do místa dodání a zaškolení personálu.</w:t>
      </w:r>
    </w:p>
    <w:p w14:paraId="44762271"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 xml:space="preserve">Doba splatnosti faktury je stanovena vzájemnou dohodou smluvních stran v délce </w:t>
      </w:r>
      <w:r>
        <w:rPr>
          <w:rFonts w:ascii="Calibri" w:eastAsia="Calibri" w:hAnsi="Calibri" w:cs="Calibri"/>
          <w:sz w:val="22"/>
          <w:szCs w:val="22"/>
        </w:rPr>
        <w:t>10</w:t>
      </w:r>
      <w:r>
        <w:rPr>
          <w:rFonts w:ascii="Calibri" w:eastAsia="Calibri" w:hAnsi="Calibri" w:cs="Calibri"/>
          <w:color w:val="000000"/>
          <w:sz w:val="22"/>
          <w:szCs w:val="22"/>
        </w:rPr>
        <w:t xml:space="preserve"> kalendářních dnů ode dne následujícího po dni doručení faktury kupujícímu. Za den doručení faktury se považuje den potvrzeného osobního předání faktury kupujícím nebo den potvrzeného doručení faktury poštou či kurýrní službou, to vše nejpozději do 14 dnů od předání předmětu koupě. Den uskutečněného zdanitelného plnění je den předání a převzetí zboží jako celku.</w:t>
      </w:r>
    </w:p>
    <w:p w14:paraId="031413AF"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Daňové doklady musí obsahovat náležitosti daňového dokladu podle platné daňové legislativy. Kupující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w:t>
      </w:r>
    </w:p>
    <w:p w14:paraId="3443D0C1"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5.</w:t>
      </w:r>
      <w:r>
        <w:rPr>
          <w:rFonts w:ascii="Calibri" w:eastAsia="Calibri" w:hAnsi="Calibri" w:cs="Calibri"/>
          <w:color w:val="000000"/>
          <w:sz w:val="22"/>
          <w:szCs w:val="22"/>
        </w:rPr>
        <w:tab/>
        <w:t>Kupní cena bude kupujícím zaplacena bezhotovostním převodem na účet prodávajícího uvedený v čl. I. této smlouvy, tj. na účet, který je správcem daně (finančním úřadem) zveřejněn způsobem umožňujícím dálkový přístup dle ustanovení § 98 zákona o DPH. Okamžikem zaplacení se rozumí datum odepsání příslušné částky z účtu kupujícího ve prospěch účtu prodávajícího.</w:t>
      </w:r>
    </w:p>
    <w:p w14:paraId="28AC4E17"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6.    Pokud se po dobu účinnosti této smlouvy prodávající stane nespolehlivým plátcem ve smyslu ustanovení § 109 odst. 3 zákona o DPH, smluvní strany se dohodly, že kupující uhradí ve faktuře kupujícím vyčíslenou výši DPH přímo příslušnému správci daně. V takovém případě je kupujícím takto provedená úhrada DPH považována za uhrazení příslušné výše DPH fakturované prodávajícím.</w:t>
      </w:r>
    </w:p>
    <w:p w14:paraId="753C87E4" w14:textId="77777777" w:rsidR="00A168EC" w:rsidRDefault="00A168EC">
      <w:pPr>
        <w:pBdr>
          <w:top w:val="nil"/>
          <w:left w:val="nil"/>
          <w:bottom w:val="nil"/>
          <w:right w:val="nil"/>
          <w:between w:val="nil"/>
        </w:pBdr>
        <w:spacing w:after="60" w:line="276" w:lineRule="auto"/>
        <w:jc w:val="center"/>
        <w:rPr>
          <w:rFonts w:ascii="Calibri" w:eastAsia="Calibri" w:hAnsi="Calibri" w:cs="Calibri"/>
          <w:color w:val="000000"/>
          <w:sz w:val="22"/>
          <w:szCs w:val="22"/>
        </w:rPr>
      </w:pPr>
    </w:p>
    <w:p w14:paraId="2E36373B"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VI.</w:t>
      </w:r>
    </w:p>
    <w:p w14:paraId="70F1A095"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Smluvní záruka</w:t>
      </w:r>
    </w:p>
    <w:p w14:paraId="00AA5F48"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U předmětu koupě se sjednává smluvní záruční doba na 24 měsíců za předpokladu, že kupující bude dodržovat doporučení dodavatele k používání včetně pravidelné údržby (dodržení servisního plánu) zboží.</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Odpovědnost prodávajícího za vady prodávaného zboží zaniká v případě běžného opotřebení, mechanického poškození zařízení kupujícím (uživatelem) či neodbornými zásahy do zařízení. </w:t>
      </w:r>
    </w:p>
    <w:p w14:paraId="2315F70B"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S přístrojem smí pracovat pouze osoba proškolená odborným školitelem. V opačném případě smluvní záruka zaniká.</w:t>
      </w:r>
    </w:p>
    <w:p w14:paraId="1CB32915" w14:textId="77777777" w:rsidR="00A168EC" w:rsidRDefault="00A168EC">
      <w:pPr>
        <w:pBdr>
          <w:top w:val="nil"/>
          <w:left w:val="nil"/>
          <w:bottom w:val="nil"/>
          <w:right w:val="nil"/>
          <w:between w:val="nil"/>
        </w:pBdr>
        <w:spacing w:after="60" w:line="276" w:lineRule="auto"/>
        <w:jc w:val="center"/>
        <w:rPr>
          <w:rFonts w:ascii="Calibri" w:eastAsia="Calibri" w:hAnsi="Calibri" w:cs="Calibri"/>
          <w:color w:val="000000"/>
          <w:sz w:val="22"/>
          <w:szCs w:val="22"/>
        </w:rPr>
      </w:pPr>
    </w:p>
    <w:p w14:paraId="203BBF91"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VII.</w:t>
      </w:r>
    </w:p>
    <w:p w14:paraId="2F30F0F6"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Smluvní pokuta</w:t>
      </w:r>
    </w:p>
    <w:p w14:paraId="0398CFF2" w14:textId="77777777" w:rsidR="00A168EC" w:rsidRDefault="00000000">
      <w:pPr>
        <w:widowControl w:val="0"/>
        <w:numPr>
          <w:ilvl w:val="0"/>
          <w:numId w:val="1"/>
        </w:numPr>
        <w:pBdr>
          <w:top w:val="nil"/>
          <w:left w:val="nil"/>
          <w:bottom w:val="nil"/>
          <w:right w:val="nil"/>
          <w:between w:val="nil"/>
        </w:pBdr>
        <w:spacing w:after="60"/>
        <w:ind w:left="0" w:firstLine="0"/>
        <w:jc w:val="both"/>
        <w:rPr>
          <w:rFonts w:ascii="Calibri" w:eastAsia="Calibri" w:hAnsi="Calibri" w:cs="Calibri"/>
          <w:sz w:val="22"/>
          <w:szCs w:val="22"/>
        </w:rPr>
      </w:pPr>
      <w:r>
        <w:rPr>
          <w:rFonts w:ascii="Calibri" w:eastAsia="Calibri" w:hAnsi="Calibri" w:cs="Calibri"/>
          <w:color w:val="000000"/>
          <w:sz w:val="22"/>
          <w:szCs w:val="22"/>
        </w:rPr>
        <w:t>V případě, že kupující nedodrží dobu splatnosti faktur uvedenou v čl. III. Smlouvy, má prodávající právo požadovat od kupujícího smluvní pokutu ve výši 0,05 % z celkové kupní ceny za každý i započatý den prodlení.</w:t>
      </w:r>
    </w:p>
    <w:p w14:paraId="186E2616" w14:textId="77777777" w:rsidR="00A168EC" w:rsidRDefault="00A168EC">
      <w:pPr>
        <w:widowControl w:val="0"/>
        <w:pBdr>
          <w:top w:val="nil"/>
          <w:left w:val="nil"/>
          <w:bottom w:val="nil"/>
          <w:right w:val="nil"/>
          <w:between w:val="nil"/>
        </w:pBdr>
        <w:spacing w:after="60"/>
        <w:jc w:val="both"/>
        <w:rPr>
          <w:rFonts w:ascii="Calibri" w:eastAsia="Calibri" w:hAnsi="Calibri" w:cs="Calibri"/>
          <w:color w:val="000000"/>
          <w:sz w:val="22"/>
          <w:szCs w:val="22"/>
        </w:rPr>
      </w:pPr>
    </w:p>
    <w:p w14:paraId="54B7C76F" w14:textId="77777777" w:rsidR="00A168EC" w:rsidRDefault="00000000">
      <w:pPr>
        <w:widowControl w:val="0"/>
        <w:numPr>
          <w:ilvl w:val="0"/>
          <w:numId w:val="1"/>
        </w:numPr>
        <w:pBdr>
          <w:top w:val="nil"/>
          <w:left w:val="nil"/>
          <w:bottom w:val="nil"/>
          <w:right w:val="nil"/>
          <w:between w:val="nil"/>
        </w:pBdr>
        <w:spacing w:after="60"/>
        <w:ind w:left="0" w:firstLine="0"/>
        <w:jc w:val="both"/>
        <w:rPr>
          <w:rFonts w:ascii="Calibri" w:eastAsia="Calibri" w:hAnsi="Calibri" w:cs="Calibri"/>
          <w:sz w:val="22"/>
          <w:szCs w:val="22"/>
        </w:rPr>
      </w:pPr>
      <w:r>
        <w:rPr>
          <w:rFonts w:ascii="Calibri" w:eastAsia="Calibri" w:hAnsi="Calibri" w:cs="Calibri"/>
          <w:color w:val="000000"/>
          <w:sz w:val="22"/>
          <w:szCs w:val="22"/>
        </w:rPr>
        <w:t>V případě, že prodávající nesplní dodání předmětu koupě v termínu uvedeném v čl. III. Smlouvy, má kupující právo požadovat od prodávajícího smluvní pokutu ve výši 0,05 % z celkové kupní ceny za každý i započatý den prodlení.</w:t>
      </w:r>
    </w:p>
    <w:p w14:paraId="296AE0AE" w14:textId="77777777" w:rsidR="00A168EC" w:rsidRDefault="00000000">
      <w:pPr>
        <w:widowControl w:val="0"/>
        <w:numPr>
          <w:ilvl w:val="0"/>
          <w:numId w:val="1"/>
        </w:numPr>
        <w:pBdr>
          <w:top w:val="nil"/>
          <w:left w:val="nil"/>
          <w:bottom w:val="nil"/>
          <w:right w:val="nil"/>
          <w:between w:val="nil"/>
        </w:pBdr>
        <w:spacing w:after="60"/>
        <w:ind w:left="0" w:firstLine="0"/>
        <w:jc w:val="both"/>
        <w:rPr>
          <w:rFonts w:ascii="Calibri" w:eastAsia="Calibri" w:hAnsi="Calibri" w:cs="Calibri"/>
          <w:sz w:val="22"/>
          <w:szCs w:val="22"/>
        </w:rPr>
      </w:pPr>
      <w:r>
        <w:rPr>
          <w:rFonts w:ascii="Calibri" w:eastAsia="Calibri" w:hAnsi="Calibri" w:cs="Calibri"/>
          <w:color w:val="000000"/>
          <w:sz w:val="22"/>
          <w:szCs w:val="22"/>
        </w:rPr>
        <w:t>Smluvní pokuta je splatná do 14 dnů od vyčíslení a doručení druhé smluvní straně, na základě faktury vystavené dotčenou smluvní stranou, nedohodnou-li se smluvní strany písemně jinak.</w:t>
      </w:r>
    </w:p>
    <w:p w14:paraId="043A2BDC" w14:textId="77777777" w:rsidR="00A168EC" w:rsidRDefault="00A168EC">
      <w:pPr>
        <w:widowControl w:val="0"/>
        <w:pBdr>
          <w:top w:val="nil"/>
          <w:left w:val="nil"/>
          <w:bottom w:val="nil"/>
          <w:right w:val="nil"/>
          <w:between w:val="nil"/>
        </w:pBdr>
        <w:spacing w:after="60"/>
        <w:jc w:val="both"/>
        <w:rPr>
          <w:rFonts w:ascii="Calibri" w:eastAsia="Calibri" w:hAnsi="Calibri" w:cs="Calibri"/>
          <w:color w:val="000000"/>
          <w:sz w:val="22"/>
          <w:szCs w:val="22"/>
        </w:rPr>
      </w:pPr>
    </w:p>
    <w:p w14:paraId="46B156B0"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Článek VIII. </w:t>
      </w:r>
    </w:p>
    <w:p w14:paraId="1C576785"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Nabytí vlastnického práva</w:t>
      </w:r>
    </w:p>
    <w:p w14:paraId="602B1B07" w14:textId="77777777" w:rsidR="00A168EC" w:rsidRDefault="00000000">
      <w:pPr>
        <w:pBdr>
          <w:top w:val="nil"/>
          <w:left w:val="nil"/>
          <w:bottom w:val="nil"/>
          <w:right w:val="nil"/>
          <w:between w:val="nil"/>
        </w:pBdr>
        <w:spacing w:after="60" w:line="276" w:lineRule="auto"/>
        <w:rPr>
          <w:rFonts w:ascii="Calibri" w:eastAsia="Calibri" w:hAnsi="Calibri" w:cs="Calibri"/>
          <w:color w:val="000000"/>
          <w:sz w:val="22"/>
          <w:szCs w:val="22"/>
        </w:rPr>
      </w:pPr>
      <w:r>
        <w:rPr>
          <w:rFonts w:ascii="Calibri" w:eastAsia="Calibri" w:hAnsi="Calibri" w:cs="Calibri"/>
          <w:color w:val="000000"/>
          <w:sz w:val="22"/>
          <w:szCs w:val="22"/>
        </w:rPr>
        <w:t>Kupující nabývá vlastnické právo k předmětu koupě okamžikem jeho převzetí.</w:t>
      </w:r>
    </w:p>
    <w:p w14:paraId="70B8C0D8" w14:textId="77777777" w:rsidR="00A168EC" w:rsidRDefault="00A168EC">
      <w:pPr>
        <w:pBdr>
          <w:top w:val="nil"/>
          <w:left w:val="nil"/>
          <w:bottom w:val="nil"/>
          <w:right w:val="nil"/>
          <w:between w:val="nil"/>
        </w:pBdr>
        <w:spacing w:after="60" w:line="276" w:lineRule="auto"/>
        <w:jc w:val="center"/>
        <w:rPr>
          <w:rFonts w:ascii="Calibri" w:eastAsia="Calibri" w:hAnsi="Calibri" w:cs="Calibri"/>
          <w:color w:val="000000"/>
          <w:sz w:val="22"/>
          <w:szCs w:val="22"/>
        </w:rPr>
      </w:pPr>
    </w:p>
    <w:p w14:paraId="7ACB0E7C" w14:textId="77777777" w:rsidR="00A168EC" w:rsidRDefault="00A168EC">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p>
    <w:p w14:paraId="5AF79A2A"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IX.</w:t>
      </w:r>
    </w:p>
    <w:p w14:paraId="67E2257B" w14:textId="77777777" w:rsidR="00A168EC" w:rsidRDefault="00000000">
      <w:pPr>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b/>
          <w:bCs/>
          <w:color w:val="000000"/>
          <w:sz w:val="22"/>
          <w:szCs w:val="22"/>
        </w:rPr>
        <w:t>Odstoupení od smlouvy</w:t>
      </w:r>
    </w:p>
    <w:p w14:paraId="69C4D2EC"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Kromě důvodů stanovených občanským zákoníkem lze od této smlouvy jednostranně odstoupit v následujících případech:</w:t>
      </w:r>
    </w:p>
    <w:p w14:paraId="3EDC8F83" w14:textId="77777777" w:rsidR="00A168EC" w:rsidRDefault="00000000">
      <w:pPr>
        <w:numPr>
          <w:ilvl w:val="0"/>
          <w:numId w:val="2"/>
        </w:numPr>
        <w:pBdr>
          <w:top w:val="nil"/>
          <w:left w:val="nil"/>
          <w:bottom w:val="nil"/>
          <w:right w:val="nil"/>
          <w:between w:val="nil"/>
        </w:pBdr>
        <w:spacing w:after="60"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prodávající v případě, že na straně kupujícího dojde k prodlení s platbou delší než 30 dnů po splatnosti a pokud kupující nesjedná nápravu do 7 dnů, přestože bude prodávajícím na tuto skutečnost prokazatelně upozorněn,</w:t>
      </w:r>
    </w:p>
    <w:p w14:paraId="2E7A5E05" w14:textId="77777777" w:rsidR="00A168EC" w:rsidRDefault="00000000">
      <w:pPr>
        <w:numPr>
          <w:ilvl w:val="0"/>
          <w:numId w:val="2"/>
        </w:numPr>
        <w:pBdr>
          <w:top w:val="nil"/>
          <w:left w:val="nil"/>
          <w:bottom w:val="nil"/>
          <w:right w:val="nil"/>
          <w:between w:val="nil"/>
        </w:pBdr>
        <w:spacing w:after="60" w:line="276" w:lineRule="auto"/>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kupující v případě, že na straně prodávajícího dojde k neplnění předmětu této smlouvy v termínech a kvalitě dle příslušných ustanovení této smlouvy a pokud prodávající nesjedná do 7 dnů nápravu, přestože bude kupujícím na tuto skutečnost prokazatelně upozorněn.</w:t>
      </w:r>
    </w:p>
    <w:p w14:paraId="2775BFF5"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6B51E12F" w14:textId="77777777" w:rsidR="00A168EC" w:rsidRDefault="00A168EC">
      <w:pPr>
        <w:pBdr>
          <w:top w:val="nil"/>
          <w:left w:val="nil"/>
          <w:bottom w:val="nil"/>
          <w:right w:val="nil"/>
          <w:between w:val="nil"/>
        </w:pBdr>
        <w:spacing w:after="60" w:line="276" w:lineRule="auto"/>
        <w:rPr>
          <w:rFonts w:ascii="Calibri" w:eastAsia="Calibri" w:hAnsi="Calibri" w:cs="Calibri"/>
          <w:color w:val="000000"/>
          <w:sz w:val="22"/>
          <w:szCs w:val="22"/>
        </w:rPr>
      </w:pPr>
    </w:p>
    <w:p w14:paraId="3F38B758" w14:textId="77777777" w:rsidR="00A168EC" w:rsidRDefault="00000000">
      <w:pPr>
        <w:keepNext/>
        <w:pBdr>
          <w:top w:val="nil"/>
          <w:left w:val="nil"/>
          <w:bottom w:val="nil"/>
          <w:right w:val="nil"/>
          <w:between w:val="nil"/>
        </w:pBdr>
        <w:spacing w:after="6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Článek X.</w:t>
      </w:r>
    </w:p>
    <w:p w14:paraId="7DDE7AC4"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 xml:space="preserve">Tato smlouva se vyhotovuje ve dvou vyhotoveních, jedno pro kupujícího a jedno pro prodávajícího. </w:t>
      </w:r>
    </w:p>
    <w:p w14:paraId="5B189C33"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Prodávající předem výslovně souhlasí s využitím jeho osobních údajů kupujícím pro účely vnitřní potřeby a kontroly a dále pro informování veřejnosti o jeho činnosti. Za tímto účelem je kupujícímu konstatován i souhlas prodávajícího s možným zpřístupněním či zveřejněním celé smlouvy v plném znění, jakož i všech jednání a okolností se smlouvou souvisejících.</w:t>
      </w:r>
    </w:p>
    <w:p w14:paraId="5A2D390D"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Smluvní strany prohlašují, že si tuto smlouvu přečetly, že se dohodly na celém jejím obsahu, že se smluvními podmínkami souhlasí a že smlouva nebyla podepsána v tísni ani za nápadně jednostranně nevýhodných podmínek.</w:t>
      </w:r>
    </w:p>
    <w:p w14:paraId="13F2907A"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Právní vztahy touto smlouvou výslovně neupravené se řídí příslušnými ustanoveními občanského zákoníku.</w:t>
      </w:r>
    </w:p>
    <w:p w14:paraId="5B9D493F"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sectPr w:rsidR="00A168EC">
          <w:headerReference w:type="default" r:id="rId8"/>
          <w:footerReference w:type="default" r:id="rId9"/>
          <w:pgSz w:w="11900" w:h="16840"/>
          <w:pgMar w:top="1985" w:right="701" w:bottom="1418" w:left="851" w:header="284" w:footer="984" w:gutter="0"/>
          <w:pgNumType w:start="1"/>
          <w:cols w:space="708"/>
        </w:sectPr>
      </w:pPr>
      <w:r>
        <w:rPr>
          <w:rFonts w:ascii="Calibri" w:eastAsia="Calibri" w:hAnsi="Calibri" w:cs="Calibri"/>
          <w:color w:val="000000"/>
          <w:sz w:val="22"/>
          <w:szCs w:val="22"/>
        </w:rPr>
        <w:t>5.</w:t>
      </w:r>
      <w:r>
        <w:rPr>
          <w:rFonts w:ascii="Calibri" w:eastAsia="Calibri" w:hAnsi="Calibri" w:cs="Calibri"/>
          <w:color w:val="000000"/>
          <w:sz w:val="22"/>
          <w:szCs w:val="22"/>
        </w:rPr>
        <w:tab/>
        <w:t xml:space="preserve">Kontaktní osobou zhotovitele je Daniel Večerka, jednatel, tel.: 777 269 921, email: </w:t>
      </w:r>
      <w:hyperlink r:id="rId10">
        <w:r w:rsidR="00A168EC">
          <w:rPr>
            <w:rFonts w:ascii="Calibri" w:eastAsia="Calibri" w:hAnsi="Calibri" w:cs="Calibri"/>
            <w:color w:val="000000"/>
            <w:sz w:val="22"/>
            <w:szCs w:val="22"/>
          </w:rPr>
          <w:t>info@cleanlife.cz</w:t>
        </w:r>
      </w:hyperlink>
    </w:p>
    <w:p w14:paraId="3C0FE72E" w14:textId="77777777" w:rsidR="00A168EC" w:rsidRDefault="00A168EC">
      <w:pPr>
        <w:pBdr>
          <w:top w:val="nil"/>
          <w:left w:val="nil"/>
          <w:bottom w:val="nil"/>
          <w:right w:val="nil"/>
          <w:between w:val="nil"/>
        </w:pBdr>
        <w:spacing w:after="60" w:line="276" w:lineRule="auto"/>
        <w:jc w:val="both"/>
        <w:rPr>
          <w:rFonts w:ascii="Calibri" w:eastAsia="Calibri" w:hAnsi="Calibri" w:cs="Calibri"/>
          <w:color w:val="000000"/>
          <w:sz w:val="22"/>
          <w:szCs w:val="22"/>
        </w:rPr>
      </w:pPr>
    </w:p>
    <w:p w14:paraId="49249BC3" w14:textId="77777777" w:rsidR="00A168EC" w:rsidRDefault="00000000">
      <w:pPr>
        <w:pBdr>
          <w:top w:val="nil"/>
          <w:left w:val="nil"/>
          <w:bottom w:val="nil"/>
          <w:right w:val="nil"/>
          <w:between w:val="nil"/>
        </w:pBdr>
        <w:spacing w:after="6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Příloha č. 1 – Cenová nabídka</w:t>
      </w:r>
    </w:p>
    <w:p w14:paraId="1C786FB1" w14:textId="77777777" w:rsidR="00A168EC" w:rsidRDefault="00A168EC">
      <w:pPr>
        <w:pBdr>
          <w:top w:val="nil"/>
          <w:left w:val="nil"/>
          <w:bottom w:val="nil"/>
          <w:right w:val="nil"/>
          <w:between w:val="nil"/>
        </w:pBdr>
        <w:spacing w:after="60" w:line="276" w:lineRule="auto"/>
        <w:jc w:val="both"/>
        <w:rPr>
          <w:rFonts w:ascii="Calibri" w:eastAsia="Calibri" w:hAnsi="Calibri" w:cs="Calibri"/>
          <w:color w:val="000000"/>
          <w:sz w:val="22"/>
          <w:szCs w:val="22"/>
        </w:rPr>
        <w:sectPr w:rsidR="00A168EC">
          <w:type w:val="continuous"/>
          <w:pgSz w:w="11900" w:h="16840"/>
          <w:pgMar w:top="1675" w:right="701" w:bottom="1418" w:left="851" w:header="284" w:footer="612" w:gutter="0"/>
          <w:cols w:space="708"/>
        </w:sectPr>
      </w:pPr>
    </w:p>
    <w:p w14:paraId="5361A9B3" w14:textId="262FFB78" w:rsidR="00A168EC" w:rsidRDefault="00000000">
      <w:pPr>
        <w:pBdr>
          <w:top w:val="nil"/>
          <w:left w:val="nil"/>
          <w:bottom w:val="nil"/>
          <w:right w:val="nil"/>
          <w:between w:val="nil"/>
        </w:pBdr>
        <w:tabs>
          <w:tab w:val="left" w:pos="5103"/>
        </w:tabs>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V Jeseníku </w:t>
      </w:r>
      <w:r w:rsidR="0046702F">
        <w:rPr>
          <w:rFonts w:ascii="Calibri" w:eastAsia="Calibri" w:hAnsi="Calibri" w:cs="Calibri"/>
          <w:color w:val="000000"/>
          <w:sz w:val="22"/>
          <w:szCs w:val="22"/>
        </w:rPr>
        <w:t>dne 12.12. 2025</w:t>
      </w:r>
      <w:r>
        <w:rPr>
          <w:rFonts w:ascii="Calibri" w:eastAsia="Calibri" w:hAnsi="Calibri" w:cs="Calibri"/>
          <w:color w:val="000000"/>
          <w:sz w:val="22"/>
          <w:szCs w:val="22"/>
        </w:rPr>
        <w:tab/>
        <w:t xml:space="preserve">V </w:t>
      </w:r>
      <w:r w:rsidR="0046702F" w:rsidRPr="0046702F">
        <w:rPr>
          <w:rFonts w:ascii="Calibri" w:eastAsia="Calibri" w:hAnsi="Calibri" w:cs="Calibri"/>
          <w:color w:val="000000"/>
          <w:sz w:val="22"/>
          <w:szCs w:val="22"/>
        </w:rPr>
        <w:t>Havlíčkov</w:t>
      </w:r>
      <w:r w:rsidR="0046702F">
        <w:rPr>
          <w:rFonts w:ascii="Calibri" w:eastAsia="Calibri" w:hAnsi="Calibri" w:cs="Calibri"/>
          <w:color w:val="000000"/>
          <w:sz w:val="22"/>
          <w:szCs w:val="22"/>
        </w:rPr>
        <w:t>ě</w:t>
      </w:r>
      <w:r w:rsidR="0046702F" w:rsidRPr="0046702F">
        <w:rPr>
          <w:rFonts w:ascii="Calibri" w:eastAsia="Calibri" w:hAnsi="Calibri" w:cs="Calibri"/>
          <w:color w:val="000000"/>
          <w:sz w:val="22"/>
          <w:szCs w:val="22"/>
        </w:rPr>
        <w:t xml:space="preserve"> Brod</w:t>
      </w:r>
      <w:r w:rsidR="0046702F">
        <w:rPr>
          <w:rFonts w:ascii="Calibri" w:eastAsia="Calibri" w:hAnsi="Calibri" w:cs="Calibri"/>
          <w:color w:val="000000"/>
          <w:sz w:val="22"/>
          <w:szCs w:val="22"/>
        </w:rPr>
        <w:t>ě</w:t>
      </w:r>
    </w:p>
    <w:p w14:paraId="64B80E0B" w14:textId="77777777" w:rsidR="00A168EC" w:rsidRDefault="00A168EC">
      <w:pPr>
        <w:pBdr>
          <w:top w:val="nil"/>
          <w:left w:val="nil"/>
          <w:bottom w:val="nil"/>
          <w:right w:val="nil"/>
          <w:between w:val="nil"/>
        </w:pBdr>
        <w:tabs>
          <w:tab w:val="left" w:pos="5103"/>
        </w:tabs>
        <w:spacing w:after="200" w:line="276" w:lineRule="auto"/>
        <w:rPr>
          <w:rFonts w:ascii="Calibri" w:eastAsia="Calibri" w:hAnsi="Calibri" w:cs="Calibri"/>
          <w:color w:val="000000"/>
          <w:sz w:val="22"/>
          <w:szCs w:val="22"/>
        </w:rPr>
      </w:pPr>
    </w:p>
    <w:p w14:paraId="03FFA9EB" w14:textId="77777777" w:rsidR="00A168EC" w:rsidRDefault="00A168EC">
      <w:pPr>
        <w:pBdr>
          <w:top w:val="nil"/>
          <w:left w:val="nil"/>
          <w:bottom w:val="nil"/>
          <w:right w:val="nil"/>
          <w:between w:val="nil"/>
        </w:pBdr>
        <w:tabs>
          <w:tab w:val="left" w:pos="5103"/>
        </w:tabs>
        <w:spacing w:after="200" w:line="276" w:lineRule="auto"/>
        <w:rPr>
          <w:rFonts w:ascii="Calibri" w:eastAsia="Calibri" w:hAnsi="Calibri" w:cs="Calibri"/>
          <w:color w:val="000000"/>
          <w:sz w:val="22"/>
          <w:szCs w:val="22"/>
        </w:rPr>
      </w:pPr>
    </w:p>
    <w:p w14:paraId="022661C2" w14:textId="77777777" w:rsidR="00A168EC" w:rsidRDefault="00A168EC">
      <w:pPr>
        <w:pBdr>
          <w:top w:val="nil"/>
          <w:left w:val="nil"/>
          <w:bottom w:val="nil"/>
          <w:right w:val="nil"/>
          <w:between w:val="nil"/>
        </w:pBdr>
        <w:tabs>
          <w:tab w:val="left" w:pos="5103"/>
        </w:tabs>
        <w:spacing w:after="200" w:line="276" w:lineRule="auto"/>
        <w:rPr>
          <w:rFonts w:ascii="Calibri" w:eastAsia="Calibri" w:hAnsi="Calibri" w:cs="Calibri"/>
          <w:color w:val="000000"/>
          <w:sz w:val="22"/>
          <w:szCs w:val="22"/>
        </w:rPr>
      </w:pPr>
    </w:p>
    <w:p w14:paraId="15810A99" w14:textId="77777777" w:rsidR="00A168EC" w:rsidRDefault="00000000">
      <w:pPr>
        <w:pBdr>
          <w:top w:val="nil"/>
          <w:left w:val="nil"/>
          <w:bottom w:val="nil"/>
          <w:right w:val="nil"/>
          <w:between w:val="nil"/>
        </w:pBdr>
        <w:tabs>
          <w:tab w:val="left" w:pos="5103"/>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w:t>
      </w:r>
    </w:p>
    <w:p w14:paraId="12804F20" w14:textId="762054BF" w:rsidR="00A168EC" w:rsidRDefault="00000000">
      <w:pPr>
        <w:pBdr>
          <w:top w:val="nil"/>
          <w:left w:val="nil"/>
          <w:bottom w:val="nil"/>
          <w:right w:val="nil"/>
          <w:between w:val="nil"/>
        </w:pBdr>
        <w:tabs>
          <w:tab w:val="left" w:pos="5103"/>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za prodávajícího </w:t>
      </w:r>
      <w:r>
        <w:rPr>
          <w:rFonts w:ascii="Calibri" w:eastAsia="Calibri" w:hAnsi="Calibri" w:cs="Calibri"/>
          <w:color w:val="000000"/>
          <w:sz w:val="22"/>
          <w:szCs w:val="22"/>
        </w:rPr>
        <w:tab/>
        <w:t>za kupujícího</w:t>
      </w:r>
      <w:r>
        <w:rPr>
          <w:rFonts w:ascii="Calibri" w:eastAsia="Calibri" w:hAnsi="Calibri" w:cs="Calibri"/>
          <w:color w:val="000000"/>
          <w:sz w:val="22"/>
          <w:szCs w:val="22"/>
        </w:rPr>
        <w:br/>
        <w:t>Daniel Večerka</w:t>
      </w:r>
      <w:r>
        <w:rPr>
          <w:rFonts w:ascii="Calibri" w:eastAsia="Calibri" w:hAnsi="Calibri" w:cs="Calibri"/>
          <w:color w:val="000000"/>
          <w:sz w:val="22"/>
          <w:szCs w:val="22"/>
        </w:rPr>
        <w:tab/>
      </w:r>
      <w:r w:rsidR="0046702F" w:rsidRPr="0046702F">
        <w:rPr>
          <w:rFonts w:ascii="Calibri" w:eastAsia="Calibri" w:hAnsi="Calibri" w:cs="Calibri"/>
          <w:color w:val="000000"/>
          <w:sz w:val="22"/>
          <w:szCs w:val="22"/>
        </w:rPr>
        <w:t>Mgr. Magdal</w:t>
      </w:r>
      <w:r w:rsidR="0046702F">
        <w:rPr>
          <w:rFonts w:ascii="Calibri" w:eastAsia="Calibri" w:hAnsi="Calibri" w:cs="Calibri"/>
          <w:color w:val="000000"/>
          <w:sz w:val="22"/>
          <w:szCs w:val="22"/>
        </w:rPr>
        <w:t>éna</w:t>
      </w:r>
      <w:r w:rsidR="0046702F" w:rsidRPr="0046702F">
        <w:rPr>
          <w:rFonts w:ascii="Calibri" w:eastAsia="Calibri" w:hAnsi="Calibri" w:cs="Calibri"/>
          <w:color w:val="000000"/>
          <w:sz w:val="22"/>
          <w:szCs w:val="22"/>
        </w:rPr>
        <w:t xml:space="preserve"> Kufrov</w:t>
      </w:r>
      <w:r w:rsidR="0046702F">
        <w:rPr>
          <w:rFonts w:ascii="Calibri" w:eastAsia="Calibri" w:hAnsi="Calibri" w:cs="Calibri"/>
          <w:color w:val="000000"/>
          <w:sz w:val="22"/>
          <w:szCs w:val="22"/>
        </w:rPr>
        <w:t>á</w:t>
      </w:r>
      <w:r>
        <w:rPr>
          <w:rFonts w:ascii="Calibri" w:eastAsia="Calibri" w:hAnsi="Calibri" w:cs="Calibri"/>
          <w:color w:val="000000"/>
          <w:sz w:val="22"/>
          <w:szCs w:val="22"/>
        </w:rPr>
        <w:br/>
        <w:t>jednatel společnosti</w:t>
      </w:r>
      <w:r>
        <w:rPr>
          <w:rFonts w:ascii="Calibri" w:eastAsia="Calibri" w:hAnsi="Calibri" w:cs="Calibri"/>
          <w:color w:val="000000"/>
          <w:sz w:val="22"/>
          <w:szCs w:val="22"/>
        </w:rPr>
        <w:tab/>
      </w:r>
      <w:r w:rsidR="0046702F">
        <w:rPr>
          <w:rFonts w:ascii="Calibri" w:eastAsia="Calibri" w:hAnsi="Calibri" w:cs="Calibri"/>
          <w:color w:val="000000"/>
          <w:sz w:val="22"/>
          <w:szCs w:val="22"/>
        </w:rPr>
        <w:t>ředitelka organizace</w:t>
      </w:r>
    </w:p>
    <w:p w14:paraId="5F684A4D" w14:textId="77777777" w:rsidR="00A168EC" w:rsidRDefault="00A168EC"/>
    <w:sectPr w:rsidR="00A168EC">
      <w:type w:val="continuous"/>
      <w:pgSz w:w="11900" w:h="16840"/>
      <w:pgMar w:top="1675" w:right="701" w:bottom="1418" w:left="851" w:header="284" w:footer="6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568F1" w14:textId="77777777" w:rsidR="007B6C12" w:rsidRDefault="007B6C12">
      <w:r>
        <w:separator/>
      </w:r>
    </w:p>
  </w:endnote>
  <w:endnote w:type="continuationSeparator" w:id="0">
    <w:p w14:paraId="243A0B88" w14:textId="77777777" w:rsidR="007B6C12" w:rsidRDefault="007B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A3D4EFF-5130-459F-A973-A66F302E0B27}"/>
    <w:embedBold r:id="rId2" w:fontKey="{C61E7570-0321-4FA4-A351-FF3813A3B9D3}"/>
  </w:font>
  <w:font w:name="Euromode">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3" w:fontKey="{70D315B2-DAE5-44F0-8714-36ECAD722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378B" w14:textId="77777777" w:rsidR="00A168EC" w:rsidRDefault="00000000">
    <w:pPr>
      <w:pBdr>
        <w:top w:val="nil"/>
        <w:left w:val="nil"/>
        <w:bottom w:val="nil"/>
        <w:right w:val="nil"/>
        <w:between w:val="nil"/>
      </w:pBdr>
      <w:tabs>
        <w:tab w:val="center" w:pos="4536"/>
        <w:tab w:val="right" w:pos="9072"/>
      </w:tabs>
      <w:rPr>
        <w:rFonts w:ascii="Euromode" w:eastAsia="Euromode" w:hAnsi="Euromode" w:cs="Euromode"/>
        <w:color w:val="000000"/>
      </w:rPr>
    </w:pPr>
    <w:r>
      <w:rPr>
        <w:noProof/>
      </w:rPr>
      <w:drawing>
        <wp:anchor distT="0" distB="0" distL="114300" distR="114300" simplePos="0" relativeHeight="251659264" behindDoc="1" locked="0" layoutInCell="1" hidden="0" allowOverlap="1" wp14:anchorId="063123AE" wp14:editId="26326B68">
          <wp:simplePos x="0" y="0"/>
          <wp:positionH relativeFrom="column">
            <wp:posOffset>-444037</wp:posOffset>
          </wp:positionH>
          <wp:positionV relativeFrom="paragraph">
            <wp:posOffset>-1540508</wp:posOffset>
          </wp:positionV>
          <wp:extent cx="7256461" cy="27634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56461" cy="2763420"/>
                  </a:xfrm>
                  <a:prstGeom prst="rect">
                    <a:avLst/>
                  </a:prstGeom>
                  <a:ln/>
                </pic:spPr>
              </pic:pic>
            </a:graphicData>
          </a:graphic>
        </wp:anchor>
      </w:drawing>
    </w:r>
  </w:p>
  <w:p w14:paraId="3018C788" w14:textId="77777777" w:rsidR="00A168EC" w:rsidRDefault="00000000">
    <w:pPr>
      <w:pBdr>
        <w:top w:val="nil"/>
        <w:left w:val="nil"/>
        <w:bottom w:val="nil"/>
        <w:right w:val="nil"/>
        <w:between w:val="nil"/>
      </w:pBdr>
      <w:tabs>
        <w:tab w:val="center" w:pos="4536"/>
        <w:tab w:val="right" w:pos="9072"/>
      </w:tabs>
      <w:rPr>
        <w:rFonts w:ascii="Euromode" w:eastAsia="Euromode" w:hAnsi="Euromode" w:cs="Euromode"/>
        <w:color w:val="000000"/>
      </w:rPr>
    </w:pPr>
    <w:r>
      <w:rPr>
        <w:noProof/>
      </w:rPr>
      <w:drawing>
        <wp:anchor distT="0" distB="0" distL="114300" distR="114300" simplePos="0" relativeHeight="251660288" behindDoc="0" locked="0" layoutInCell="1" hidden="0" allowOverlap="1" wp14:anchorId="774F3A29" wp14:editId="35773EBE">
          <wp:simplePos x="0" y="0"/>
          <wp:positionH relativeFrom="column">
            <wp:posOffset>91442</wp:posOffset>
          </wp:positionH>
          <wp:positionV relativeFrom="paragraph">
            <wp:posOffset>8122284</wp:posOffset>
          </wp:positionV>
          <wp:extent cx="6570980" cy="25019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0980" cy="2501900"/>
                  </a:xfrm>
                  <a:prstGeom prst="rect">
                    <a:avLst/>
                  </a:prstGeom>
                  <a:ln/>
                </pic:spPr>
              </pic:pic>
            </a:graphicData>
          </a:graphic>
        </wp:anchor>
      </w:drawing>
    </w:r>
  </w:p>
  <w:p w14:paraId="41AB85CC" w14:textId="77777777" w:rsidR="00A168EC" w:rsidRDefault="00A168EC">
    <w:pPr>
      <w:pBdr>
        <w:top w:val="nil"/>
        <w:left w:val="nil"/>
        <w:bottom w:val="nil"/>
        <w:right w:val="nil"/>
        <w:between w:val="nil"/>
      </w:pBdr>
      <w:tabs>
        <w:tab w:val="center" w:pos="4536"/>
        <w:tab w:val="right" w:pos="9072"/>
      </w:tabs>
      <w:rPr>
        <w:rFonts w:ascii="Euromode" w:eastAsia="Euromode" w:hAnsi="Euromode" w:cs="Euromode"/>
        <w:color w:val="000000"/>
      </w:rPr>
    </w:pPr>
  </w:p>
  <w:p w14:paraId="6C38B155" w14:textId="77777777" w:rsidR="00A168EC" w:rsidRDefault="00000000">
    <w:pPr>
      <w:pBdr>
        <w:top w:val="nil"/>
        <w:left w:val="nil"/>
        <w:bottom w:val="nil"/>
        <w:right w:val="nil"/>
        <w:between w:val="nil"/>
      </w:pBdr>
      <w:tabs>
        <w:tab w:val="center" w:pos="4536"/>
        <w:tab w:val="right" w:pos="9072"/>
      </w:tabs>
      <w:rPr>
        <w:rFonts w:ascii="Euromode" w:eastAsia="Euromode" w:hAnsi="Euromode" w:cs="Euromode"/>
        <w:color w:val="000000"/>
      </w:rPr>
    </w:pPr>
    <w:r>
      <w:rPr>
        <w:noProof/>
      </w:rPr>
      <w:drawing>
        <wp:anchor distT="0" distB="0" distL="114300" distR="114300" simplePos="0" relativeHeight="251661312" behindDoc="0" locked="0" layoutInCell="1" hidden="0" allowOverlap="1" wp14:anchorId="3AAEBEA3" wp14:editId="5CD45538">
          <wp:simplePos x="0" y="0"/>
          <wp:positionH relativeFrom="column">
            <wp:posOffset>91442</wp:posOffset>
          </wp:positionH>
          <wp:positionV relativeFrom="paragraph">
            <wp:posOffset>8122284</wp:posOffset>
          </wp:positionV>
          <wp:extent cx="6570980" cy="250190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0980" cy="25019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8CDB3" w14:textId="77777777" w:rsidR="007B6C12" w:rsidRDefault="007B6C12">
      <w:r>
        <w:separator/>
      </w:r>
    </w:p>
  </w:footnote>
  <w:footnote w:type="continuationSeparator" w:id="0">
    <w:p w14:paraId="3A418752" w14:textId="77777777" w:rsidR="007B6C12" w:rsidRDefault="007B6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D27C" w14:textId="77777777" w:rsidR="00A168EC" w:rsidRDefault="00A168EC">
    <w:pPr>
      <w:pBdr>
        <w:top w:val="nil"/>
        <w:left w:val="nil"/>
        <w:bottom w:val="nil"/>
        <w:right w:val="nil"/>
        <w:between w:val="nil"/>
      </w:pBdr>
      <w:tabs>
        <w:tab w:val="center" w:pos="4536"/>
        <w:tab w:val="right" w:pos="9072"/>
      </w:tabs>
      <w:rPr>
        <w:rFonts w:ascii="Euromode" w:eastAsia="Euromode" w:hAnsi="Euromode" w:cs="Euromode"/>
        <w:color w:val="000000"/>
      </w:rPr>
    </w:pPr>
  </w:p>
  <w:p w14:paraId="5FC2B896" w14:textId="77777777" w:rsidR="00A168EC" w:rsidRDefault="00A168EC">
    <w:pPr>
      <w:pBdr>
        <w:top w:val="nil"/>
        <w:left w:val="nil"/>
        <w:bottom w:val="nil"/>
        <w:right w:val="nil"/>
        <w:between w:val="nil"/>
      </w:pBdr>
      <w:tabs>
        <w:tab w:val="center" w:pos="4536"/>
        <w:tab w:val="right" w:pos="9072"/>
      </w:tabs>
      <w:rPr>
        <w:rFonts w:ascii="Euromode" w:eastAsia="Euromode" w:hAnsi="Euromode" w:cs="Euromode"/>
        <w:color w:val="000000"/>
      </w:rPr>
    </w:pPr>
  </w:p>
  <w:p w14:paraId="4C302EA7" w14:textId="77777777" w:rsidR="00A168EC" w:rsidRDefault="00000000">
    <w:pPr>
      <w:pBdr>
        <w:top w:val="nil"/>
        <w:left w:val="nil"/>
        <w:bottom w:val="nil"/>
        <w:right w:val="nil"/>
        <w:between w:val="nil"/>
      </w:pBdr>
      <w:tabs>
        <w:tab w:val="center" w:pos="4536"/>
        <w:tab w:val="right" w:pos="9072"/>
      </w:tabs>
      <w:rPr>
        <w:rFonts w:ascii="Euromode" w:eastAsia="Euromode" w:hAnsi="Euromode" w:cs="Euromode"/>
        <w:color w:val="000000"/>
      </w:rPr>
    </w:pPr>
    <w:r>
      <w:rPr>
        <w:noProof/>
      </w:rPr>
      <w:drawing>
        <wp:anchor distT="0" distB="0" distL="114300" distR="114300" simplePos="0" relativeHeight="251658240" behindDoc="0" locked="0" layoutInCell="1" hidden="0" allowOverlap="1" wp14:anchorId="67FE14C9" wp14:editId="197059C9">
          <wp:simplePos x="0" y="0"/>
          <wp:positionH relativeFrom="column">
            <wp:posOffset>67946</wp:posOffset>
          </wp:positionH>
          <wp:positionV relativeFrom="paragraph">
            <wp:posOffset>148590</wp:posOffset>
          </wp:positionV>
          <wp:extent cx="1798955" cy="42164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8955" cy="421640"/>
                  </a:xfrm>
                  <a:prstGeom prst="rect">
                    <a:avLst/>
                  </a:prstGeom>
                  <a:ln/>
                </pic:spPr>
              </pic:pic>
            </a:graphicData>
          </a:graphic>
        </wp:anchor>
      </w:drawing>
    </w:r>
  </w:p>
  <w:p w14:paraId="6F7AA68A" w14:textId="77777777" w:rsidR="00A168EC" w:rsidRDefault="00A168EC">
    <w:pPr>
      <w:pBdr>
        <w:top w:val="nil"/>
        <w:left w:val="nil"/>
        <w:bottom w:val="nil"/>
        <w:right w:val="nil"/>
        <w:between w:val="nil"/>
      </w:pBdr>
      <w:tabs>
        <w:tab w:val="center" w:pos="4536"/>
        <w:tab w:val="right" w:pos="9072"/>
      </w:tabs>
      <w:rPr>
        <w:rFonts w:ascii="Euromode" w:eastAsia="Euromode" w:hAnsi="Euromode" w:cs="Euromod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A64DF"/>
    <w:multiLevelType w:val="multilevel"/>
    <w:tmpl w:val="15F4A3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B0A150F"/>
    <w:multiLevelType w:val="multilevel"/>
    <w:tmpl w:val="130285AC"/>
    <w:lvl w:ilvl="0">
      <w:start w:val="1"/>
      <w:numFmt w:val="decimal"/>
      <w:lvlText w:val="%1."/>
      <w:lvlJc w:val="left"/>
      <w:pPr>
        <w:ind w:left="284" w:hanging="284"/>
      </w:pPr>
      <w:rPr>
        <w:smallCaps w:val="0"/>
        <w:strike w:val="0"/>
        <w:color w:val="000000"/>
        <w:vertAlign w:val="baseline"/>
      </w:rPr>
    </w:lvl>
    <w:lvl w:ilvl="1">
      <w:start w:val="1"/>
      <w:numFmt w:val="lowerLetter"/>
      <w:lvlText w:val="%2."/>
      <w:lvlJc w:val="left"/>
      <w:pPr>
        <w:ind w:left="698" w:hanging="698"/>
      </w:pPr>
      <w:rPr>
        <w:smallCaps w:val="0"/>
        <w:strike w:val="0"/>
        <w:color w:val="000000"/>
        <w:vertAlign w:val="baseline"/>
      </w:rPr>
    </w:lvl>
    <w:lvl w:ilvl="2">
      <w:start w:val="1"/>
      <w:numFmt w:val="lowerRoman"/>
      <w:lvlText w:val="%3."/>
      <w:lvlJc w:val="left"/>
      <w:pPr>
        <w:ind w:left="1379" w:hanging="612"/>
      </w:pPr>
      <w:rPr>
        <w:smallCaps w:val="0"/>
        <w:strike w:val="0"/>
        <w:color w:val="000000"/>
        <w:vertAlign w:val="baseline"/>
      </w:rPr>
    </w:lvl>
    <w:lvl w:ilvl="3">
      <w:start w:val="1"/>
      <w:numFmt w:val="decimal"/>
      <w:lvlText w:val="%4."/>
      <w:lvlJc w:val="left"/>
      <w:pPr>
        <w:ind w:left="2099" w:hanging="676"/>
      </w:pPr>
      <w:rPr>
        <w:smallCaps w:val="0"/>
        <w:strike w:val="0"/>
        <w:color w:val="000000"/>
        <w:vertAlign w:val="baseline"/>
      </w:rPr>
    </w:lvl>
    <w:lvl w:ilvl="4">
      <w:start w:val="1"/>
      <w:numFmt w:val="lowerLetter"/>
      <w:lvlText w:val="%5."/>
      <w:lvlJc w:val="left"/>
      <w:pPr>
        <w:ind w:left="2819" w:hanging="665"/>
      </w:pPr>
      <w:rPr>
        <w:smallCaps w:val="0"/>
        <w:strike w:val="0"/>
        <w:color w:val="000000"/>
        <w:vertAlign w:val="baseline"/>
      </w:rPr>
    </w:lvl>
    <w:lvl w:ilvl="5">
      <w:start w:val="1"/>
      <w:numFmt w:val="lowerRoman"/>
      <w:lvlText w:val="%6."/>
      <w:lvlJc w:val="left"/>
      <w:pPr>
        <w:ind w:left="3539" w:hanging="579"/>
      </w:pPr>
      <w:rPr>
        <w:smallCaps w:val="0"/>
        <w:strike w:val="0"/>
        <w:color w:val="000000"/>
        <w:vertAlign w:val="baseline"/>
      </w:rPr>
    </w:lvl>
    <w:lvl w:ilvl="6">
      <w:start w:val="1"/>
      <w:numFmt w:val="decimal"/>
      <w:lvlText w:val="%7."/>
      <w:lvlJc w:val="left"/>
      <w:pPr>
        <w:ind w:left="4259" w:hanging="643"/>
      </w:pPr>
      <w:rPr>
        <w:smallCaps w:val="0"/>
        <w:strike w:val="0"/>
        <w:color w:val="000000"/>
        <w:vertAlign w:val="baseline"/>
      </w:rPr>
    </w:lvl>
    <w:lvl w:ilvl="7">
      <w:start w:val="1"/>
      <w:numFmt w:val="lowerLetter"/>
      <w:lvlText w:val="%8."/>
      <w:lvlJc w:val="left"/>
      <w:pPr>
        <w:ind w:left="4979" w:hanging="632"/>
      </w:pPr>
      <w:rPr>
        <w:smallCaps w:val="0"/>
        <w:strike w:val="0"/>
        <w:color w:val="000000"/>
        <w:vertAlign w:val="baseline"/>
      </w:rPr>
    </w:lvl>
    <w:lvl w:ilvl="8">
      <w:start w:val="1"/>
      <w:numFmt w:val="lowerRoman"/>
      <w:lvlText w:val="%9."/>
      <w:lvlJc w:val="left"/>
      <w:pPr>
        <w:ind w:left="5699" w:hanging="546"/>
      </w:pPr>
      <w:rPr>
        <w:smallCaps w:val="0"/>
        <w:strike w:val="0"/>
        <w:color w:val="000000"/>
        <w:vertAlign w:val="baseline"/>
      </w:rPr>
    </w:lvl>
  </w:abstractNum>
  <w:num w:numId="1" w16cid:durableId="8609691">
    <w:abstractNumId w:val="1"/>
  </w:num>
  <w:num w:numId="2" w16cid:durableId="233206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EC"/>
    <w:rsid w:val="000D79B7"/>
    <w:rsid w:val="002F0A0A"/>
    <w:rsid w:val="0046702F"/>
    <w:rsid w:val="006C22A0"/>
    <w:rsid w:val="007B6C12"/>
    <w:rsid w:val="00883F33"/>
    <w:rsid w:val="00A168EC"/>
    <w:rsid w:val="00C17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578F3"/>
  <w15:docId w15:val="{66E1AF28-9C2A-4466-A29F-AEA31C37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Calibri" w:eastAsia="Calibri" w:hAnsi="Calibri" w:cs="Calibri"/>
      <w:color w:val="2F5496"/>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2F5496"/>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2F5496"/>
    </w:rPr>
  </w:style>
  <w:style w:type="paragraph" w:styleId="Nadpis5">
    <w:name w:val="heading 5"/>
    <w:basedOn w:val="Normln"/>
    <w:next w:val="Normln"/>
    <w:uiPriority w:val="9"/>
    <w:semiHidden/>
    <w:unhideWhenUsed/>
    <w:qFormat/>
    <w:pPr>
      <w:keepNext/>
      <w:keepLines/>
      <w:spacing w:before="80" w:after="40"/>
      <w:outlineLvl w:val="4"/>
    </w:pPr>
    <w:rPr>
      <w:color w:val="2F5496"/>
    </w:rPr>
  </w:style>
  <w:style w:type="paragraph" w:styleId="Nadpis6">
    <w:name w:val="heading 6"/>
    <w:basedOn w:val="Normln"/>
    <w:next w:val="Normln"/>
    <w:uiPriority w:val="9"/>
    <w:semiHidden/>
    <w:unhideWhenUsed/>
    <w:qFormat/>
    <w:pPr>
      <w:keepNext/>
      <w:keepLines/>
      <w:spacing w:before="40"/>
      <w:outlineLvl w:val="5"/>
    </w:pPr>
    <w:rPr>
      <w:i/>
      <w:iCs/>
      <w:color w:val="59595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pPr>
    <w:rPr>
      <w:rFonts w:ascii="Calibri" w:eastAsia="Calibri" w:hAnsi="Calibri" w:cs="Calibri"/>
      <w:sz w:val="56"/>
      <w:szCs w:val="56"/>
    </w:rPr>
  </w:style>
  <w:style w:type="paragraph" w:styleId="Podnadpis">
    <w:name w:val="Subtitle"/>
    <w:basedOn w:val="Normln"/>
    <w:next w:val="Normln"/>
    <w:uiPriority w:val="11"/>
    <w:qFormat/>
    <w:rPr>
      <w:color w:val="595959"/>
      <w:sz w:val="28"/>
      <w:szCs w:val="28"/>
    </w:rPr>
  </w:style>
  <w:style w:type="character" w:styleId="Hypertextovodkaz">
    <w:name w:val="Hyperlink"/>
    <w:basedOn w:val="Standardnpsmoodstavce"/>
    <w:uiPriority w:val="99"/>
    <w:unhideWhenUsed/>
    <w:rsid w:val="0046702F"/>
    <w:rPr>
      <w:color w:val="0000FF" w:themeColor="hyperlink"/>
      <w:u w:val="single"/>
    </w:rPr>
  </w:style>
  <w:style w:type="character" w:styleId="Nevyeenzmnka">
    <w:name w:val="Unresolved Mention"/>
    <w:basedOn w:val="Standardnpsmoodstavce"/>
    <w:uiPriority w:val="99"/>
    <w:semiHidden/>
    <w:unhideWhenUsed/>
    <w:rsid w:val="00467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ufrova@ssmhb.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info@cleanlife.cz"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6129</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Julišová</dc:creator>
  <cp:lastModifiedBy>Ivana Julišová</cp:lastModifiedBy>
  <cp:revision>2</cp:revision>
  <dcterms:created xsi:type="dcterms:W3CDTF">2025-12-12T11:11:00Z</dcterms:created>
  <dcterms:modified xsi:type="dcterms:W3CDTF">2025-12-12T11:11:00Z</dcterms:modified>
</cp:coreProperties>
</file>