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264430DD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264B34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69A1AC9A" w14:textId="77777777" w:rsidR="006A7B64" w:rsidRPr="00264B34" w:rsidRDefault="006A7B64" w:rsidP="00773DB1">
      <w:pPr>
        <w:ind w:left="567" w:hanging="567"/>
        <w:rPr>
          <w:rFonts w:cs="Times New Roman"/>
        </w:rPr>
      </w:pPr>
      <w:r w:rsidRPr="00264B34">
        <w:rPr>
          <w:rFonts w:cs="Times New Roman"/>
        </w:rPr>
        <w:t>zastoupený: Ing. Markem Zděradičkou, zástupcem ředitele pro odbornou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F1BB4E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87375D">
        <w:rPr>
          <w:rFonts w:cs="Times New Roman"/>
          <w:bCs/>
        </w:rPr>
        <w:t>xxxxxxxxxxxxxxxxxx</w:t>
      </w:r>
    </w:p>
    <w:p w14:paraId="1570BA0A" w14:textId="34F7A403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87375D">
        <w:rPr>
          <w:rFonts w:cs="Times New Roman"/>
          <w:bCs/>
        </w:rPr>
        <w:t>xxxxxxxxxxxxxx</w:t>
      </w:r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6C445726" w:rsidR="00DA6E4E" w:rsidRPr="000C3E19" w:rsidRDefault="00264B34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AQEcore s.r.o.</w:t>
      </w:r>
    </w:p>
    <w:p w14:paraId="583C59F6" w14:textId="1553B55E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264B34">
        <w:rPr>
          <w:rFonts w:cs="Times New Roman"/>
        </w:rPr>
        <w:t>RNDr. Lukášem Krejčím, Ph.D., jednatelem</w:t>
      </w:r>
    </w:p>
    <w:p w14:paraId="1E540C82" w14:textId="7A292D61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264B34">
        <w:rPr>
          <w:rFonts w:cs="Times New Roman"/>
        </w:rPr>
        <w:t>č. p. 99, 503 03 Skalice</w:t>
      </w:r>
    </w:p>
    <w:p w14:paraId="19709E69" w14:textId="7913E8DF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264B34">
        <w:rPr>
          <w:rFonts w:cs="Times New Roman"/>
        </w:rPr>
        <w:t>v obchodním rejstříku vedeném Krajským soudem v Hradci Králové, sp. zn. C 52968</w:t>
      </w:r>
    </w:p>
    <w:p w14:paraId="1079EB0E" w14:textId="3FBAA12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264B34">
        <w:rPr>
          <w:rFonts w:cs="Times New Roman"/>
        </w:rPr>
        <w:t>21632791</w:t>
      </w:r>
    </w:p>
    <w:p w14:paraId="303B2173" w14:textId="383041F2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264B34">
        <w:rPr>
          <w:rFonts w:cs="Times New Roman"/>
        </w:rPr>
        <w:t>CZ21632791</w:t>
      </w:r>
    </w:p>
    <w:p w14:paraId="677EF671" w14:textId="1B5BD35F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87375D">
        <w:rPr>
          <w:rFonts w:cs="Times New Roman"/>
        </w:rPr>
        <w:t>xxxxxxxxxxxxxxx</w:t>
      </w:r>
    </w:p>
    <w:p w14:paraId="0CC139B3" w14:textId="2CC8938B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87375D">
        <w:rPr>
          <w:rFonts w:cs="Times New Roman"/>
        </w:rPr>
        <w:t>xxxxxxxxxxxxxxx</w:t>
      </w:r>
    </w:p>
    <w:p w14:paraId="6BCF4A09" w14:textId="6CC8CC9D" w:rsidR="00347907" w:rsidRPr="00A15479" w:rsidRDefault="00BB77D8" w:rsidP="00512330">
      <w:pPr>
        <w:spacing w:line="276" w:lineRule="auto"/>
        <w:rPr>
          <w:rFonts w:cs="Times New Roman"/>
        </w:rPr>
      </w:pPr>
      <w:r w:rsidRPr="00264B34">
        <w:rPr>
          <w:rFonts w:cs="Times New Roman"/>
        </w:rPr>
        <w:t>plátce</w:t>
      </w:r>
      <w:r w:rsidR="00347907" w:rsidRPr="00264B34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6D8B0695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264B34">
        <w:rPr>
          <w:rFonts w:cs="Times New Roman"/>
          <w:b/>
        </w:rPr>
        <w:t>Studie proveditelnosti projektu C1_1.1 Říční lázně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59E37554" w14:textId="77777777" w:rsidR="006853D6" w:rsidRDefault="006853D6" w:rsidP="0007550F">
      <w:pPr>
        <w:pStyle w:val="Nadpis2"/>
        <w:spacing w:before="0" w:line="276" w:lineRule="auto"/>
        <w:rPr>
          <w:szCs w:val="22"/>
        </w:rPr>
      </w:pPr>
      <w:bookmarkStart w:id="0" w:name="_Hlk145583798"/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1CAE5FBD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264B34">
        <w:rPr>
          <w:rFonts w:cs="Times New Roman"/>
        </w:rPr>
        <w:t>Studie proveditelnosti projektu C1_1.1 Říční lázně</w:t>
      </w:r>
      <w:r w:rsidRPr="00A15479">
        <w:rPr>
          <w:rFonts w:cs="Times New Roman"/>
        </w:rPr>
        <w:t xml:space="preserve">“, zadávanou objednatelem jako veřejným zadavatelem </w:t>
      </w:r>
      <w:r w:rsidR="00264B34">
        <w:rPr>
          <w:rFonts w:cs="Times New Roman"/>
        </w:rPr>
        <w:br/>
      </w:r>
      <w:r w:rsidRPr="00A15479">
        <w:rPr>
          <w:rFonts w:cs="Times New Roman"/>
        </w:rPr>
        <w:t>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264B34">
        <w:rPr>
          <w:rFonts w:cs="Times New Roman"/>
          <w:b/>
        </w:rPr>
        <w:t>25-0201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0305BE91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 této smlouvy použije subsidiárně.</w:t>
      </w:r>
    </w:p>
    <w:p w14:paraId="32DE25BD" w14:textId="3F4EB2F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22396A99" w14:textId="74DDF19E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</w:t>
      </w:r>
      <w:r w:rsidR="009D3A25">
        <w:rPr>
          <w:rFonts w:cs="Times New Roman"/>
        </w:rPr>
        <w:t>a</w:t>
      </w:r>
      <w:r w:rsidR="001147E2" w:rsidRPr="00A15479">
        <w:rPr>
          <w:rFonts w:cs="Times New Roman"/>
        </w:rPr>
        <w:t xml:space="preserve">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50140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70ED6DA1" w:rsidR="00341B38" w:rsidRPr="00A15479" w:rsidRDefault="00D01187" w:rsidP="009D3A2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0E6C6F10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p w14:paraId="1084E489" w14:textId="3DDF18C4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Účelem této smlouvy je</w:t>
      </w:r>
      <w:r w:rsidR="00631C30" w:rsidRPr="00A15479">
        <w:rPr>
          <w:rFonts w:cs="Times New Roman"/>
        </w:rPr>
        <w:t xml:space="preserve"> </w:t>
      </w:r>
      <w:r w:rsidR="00A723A5">
        <w:rPr>
          <w:rFonts w:cs="Times New Roman"/>
        </w:rPr>
        <w:t xml:space="preserve">zpracování odborného podkladu (studie) pro dílčí projekt, který vzešel z celkového projektu Příměstský park Soutok, nástroj pro snižování dopadů klimatické změny </w:t>
      </w:r>
      <w:r w:rsidR="00C514F8" w:rsidRPr="00A15479">
        <w:rPr>
          <w:rFonts w:cs="Times New Roman"/>
        </w:rPr>
        <w:t>(dále jen „</w:t>
      </w:r>
      <w:r w:rsidR="00A723A5">
        <w:rPr>
          <w:rFonts w:cs="Times New Roman"/>
          <w:b/>
        </w:rPr>
        <w:t>dílo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40FF1C93" w14:textId="7EC61E32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A723A5">
        <w:rPr>
          <w:rFonts w:cs="Times New Roman"/>
        </w:rPr>
        <w:t>studie proveditelnosti projektu C1_1.1 Říční lázně</w:t>
      </w:r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6880B2B0" w:rsidR="00DB0698" w:rsidRPr="00A723A5" w:rsidRDefault="00751023" w:rsidP="0075102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51023">
        <w:rPr>
          <w:rFonts w:cs="Times New Roman"/>
        </w:rPr>
        <w:t>Podrobná specifikace předmětu smlouvy</w:t>
      </w:r>
      <w:r w:rsidR="00A723A5">
        <w:rPr>
          <w:rFonts w:cs="Times New Roman"/>
        </w:rPr>
        <w:t xml:space="preserve"> </w:t>
      </w:r>
      <w:r w:rsidR="001D54B4" w:rsidRPr="00A723A5">
        <w:rPr>
          <w:rFonts w:cs="Times New Roman"/>
        </w:rPr>
        <w:t>je uvedena v</w:t>
      </w:r>
      <w:r w:rsidR="00D81B70" w:rsidRPr="00A723A5">
        <w:rPr>
          <w:rFonts w:cs="Times New Roman"/>
        </w:rPr>
        <w:t> </w:t>
      </w:r>
      <w:r w:rsidR="006B64EC" w:rsidRPr="00A723A5">
        <w:rPr>
          <w:rFonts w:cs="Times New Roman"/>
        </w:rPr>
        <w:t>p</w:t>
      </w:r>
      <w:r w:rsidR="001D54B4" w:rsidRPr="00A723A5">
        <w:rPr>
          <w:rFonts w:cs="Times New Roman"/>
        </w:rPr>
        <w:t xml:space="preserve">říloze č. 1, která tvoří nedílnou součást </w:t>
      </w:r>
      <w:r w:rsidR="001D54B4" w:rsidRPr="00A723A5">
        <w:t>této</w:t>
      </w:r>
      <w:r w:rsidR="00707DF5" w:rsidRPr="00A723A5">
        <w:t> </w:t>
      </w:r>
      <w:r w:rsidR="001D54B4" w:rsidRPr="00A723A5">
        <w:t>smlouvy</w:t>
      </w:r>
      <w:r w:rsidR="003F6D6A" w:rsidRPr="00A723A5">
        <w:rPr>
          <w:rFonts w:cs="Times New Roman"/>
        </w:rPr>
        <w:t>.</w:t>
      </w:r>
    </w:p>
    <w:p w14:paraId="4F072886" w14:textId="77777777" w:rsidR="0081750C" w:rsidRPr="00A723A5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723A5">
        <w:rPr>
          <w:rFonts w:cs="Times New Roman"/>
        </w:rPr>
        <w:t xml:space="preserve">Plnění předmětu smlouvy </w:t>
      </w:r>
      <w:bookmarkStart w:id="2" w:name="_Hlk168306389"/>
      <w:r w:rsidRPr="00A723A5">
        <w:rPr>
          <w:rFonts w:cs="Times New Roman"/>
        </w:rPr>
        <w:t xml:space="preserve">bude provedeno za podmínek stanovených v této smlouvě (včetně příloh), </w:t>
      </w:r>
      <w:r w:rsidRPr="00A723A5">
        <w:rPr>
          <w:rFonts w:cs="Times New Roman"/>
          <w:bCs/>
        </w:rPr>
        <w:t>dále pak za podmínek st</w:t>
      </w:r>
      <w:r w:rsidR="00283F23" w:rsidRPr="00A723A5">
        <w:rPr>
          <w:rFonts w:cs="Times New Roman"/>
          <w:bCs/>
        </w:rPr>
        <w:t>anovených v</w:t>
      </w:r>
      <w:r w:rsidR="0058623D" w:rsidRPr="00A723A5">
        <w:rPr>
          <w:rFonts w:cs="Times New Roman"/>
          <w:bCs/>
        </w:rPr>
        <w:t xml:space="preserve"> </w:t>
      </w:r>
      <w:r w:rsidR="00027440" w:rsidRPr="00A723A5">
        <w:rPr>
          <w:rFonts w:cs="Times New Roman"/>
          <w:bCs/>
        </w:rPr>
        <w:t>zadávací dokumentaci zakázky</w:t>
      </w:r>
      <w:r w:rsidR="00DA6E4E" w:rsidRPr="00A723A5">
        <w:rPr>
          <w:rFonts w:cs="Times New Roman"/>
          <w:bCs/>
        </w:rPr>
        <w:t>, včetně jejích příloh</w:t>
      </w:r>
      <w:r w:rsidR="006B64EC" w:rsidRPr="00A723A5">
        <w:rPr>
          <w:rFonts w:cs="Times New Roman"/>
          <w:bCs/>
        </w:rPr>
        <w:t>,</w:t>
      </w:r>
      <w:r w:rsidRPr="00A723A5">
        <w:rPr>
          <w:rFonts w:cs="Times New Roman"/>
          <w:bCs/>
        </w:rPr>
        <w:t xml:space="preserve"> a v nab</w:t>
      </w:r>
      <w:r w:rsidR="00283F23" w:rsidRPr="00A723A5">
        <w:rPr>
          <w:rFonts w:cs="Times New Roman"/>
          <w:bCs/>
        </w:rPr>
        <w:t>ídce zhotovitele</w:t>
      </w:r>
      <w:r w:rsidRPr="00A723A5">
        <w:rPr>
          <w:rFonts w:cs="Times New Roman"/>
          <w:bCs/>
        </w:rPr>
        <w:t>.</w:t>
      </w:r>
      <w:bookmarkEnd w:id="2"/>
    </w:p>
    <w:p w14:paraId="60AA7F95" w14:textId="50182525" w:rsidR="00FE2031" w:rsidRPr="00F00580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00580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F00580">
        <w:rPr>
          <w:rFonts w:cs="Times New Roman"/>
        </w:rPr>
        <w:t>všech pracovních poradách svolaných objednatelem</w:t>
      </w:r>
      <w:bookmarkEnd w:id="3"/>
      <w:r w:rsidRPr="00F00580">
        <w:rPr>
          <w:rFonts w:cs="Times New Roman"/>
        </w:rPr>
        <w:t xml:space="preserve"> či pracovních poradách a prezentacích</w:t>
      </w:r>
      <w:r w:rsidR="00041C27" w:rsidRPr="00F00580">
        <w:rPr>
          <w:rFonts w:cs="Times New Roman"/>
        </w:rPr>
        <w:t xml:space="preserve"> </w:t>
      </w:r>
      <w:r w:rsidRPr="00F00580">
        <w:rPr>
          <w:rFonts w:cs="Times New Roman"/>
        </w:rPr>
        <w:t>a zavazuje se</w:t>
      </w:r>
      <w:r w:rsidR="009E48D6" w:rsidRPr="00F00580">
        <w:rPr>
          <w:rFonts w:cs="Times New Roman"/>
        </w:rPr>
        <w:t xml:space="preserve"> </w:t>
      </w:r>
      <w:r w:rsidRPr="00F00580">
        <w:rPr>
          <w:rFonts w:cs="Times New Roman"/>
        </w:rPr>
        <w:t xml:space="preserve">k respektování závěrů na nich </w:t>
      </w:r>
      <w:r w:rsidRPr="00F00580">
        <w:rPr>
          <w:rFonts w:cs="Times New Roman"/>
        </w:rPr>
        <w:lastRenderedPageBreak/>
        <w:t xml:space="preserve">přijatých. </w:t>
      </w:r>
      <w:r w:rsidR="00041C27" w:rsidRPr="00F00580">
        <w:rPr>
          <w:rFonts w:cs="Times New Roman"/>
        </w:rPr>
        <w:t>P</w:t>
      </w:r>
      <w:r w:rsidRPr="00F00580">
        <w:rPr>
          <w:rFonts w:cs="Times New Roman"/>
        </w:rPr>
        <w:t xml:space="preserve">očet a termíny porad </w:t>
      </w:r>
      <w:r w:rsidR="00041C27" w:rsidRPr="00F00580">
        <w:rPr>
          <w:rFonts w:cs="Times New Roman"/>
        </w:rPr>
        <w:t xml:space="preserve">stanoví </w:t>
      </w:r>
      <w:r w:rsidRPr="00F00580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01685973" w:rsidR="00BC6011" w:rsidRPr="00A723A5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 w:rsidRPr="00A723A5">
        <w:rPr>
          <w:rFonts w:cs="Times New Roman"/>
        </w:rPr>
        <w:t>Dílo bude provedeno v etapách stanovených objednatelem v níže uvedené tabulce</w:t>
      </w:r>
      <w:bookmarkEnd w:id="4"/>
      <w:r w:rsidR="0049674A">
        <w:rPr>
          <w:rFonts w:cs="Times New Roman"/>
        </w:rPr>
        <w:t>:</w:t>
      </w:r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14:paraId="23FE66D1" w14:textId="77777777" w:rsidTr="003C760F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91E" w14:textId="36779B97" w:rsidR="00BC6011" w:rsidRDefault="00A723A5" w:rsidP="00C105D7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</w:rPr>
            </w:pPr>
            <w:bookmarkStart w:id="5" w:name="_Hlk168306976"/>
            <w:r w:rsidRPr="0049674A">
              <w:rPr>
                <w:rFonts w:cs="Times New Roman"/>
                <w:b/>
              </w:rPr>
              <w:t>Studie proveditelnosti projektu C1_1.1 Říční lázně</w:t>
            </w:r>
          </w:p>
          <w:p w14:paraId="61452431" w14:textId="6DDD15DE" w:rsidR="00484147" w:rsidRPr="00CF60FB" w:rsidRDefault="00484147" w:rsidP="00F00580">
            <w:pPr>
              <w:pStyle w:val="Bezmezer"/>
              <w:spacing w:after="160"/>
              <w:ind w:left="357"/>
              <w:rPr>
                <w:rFonts w:cs="Times New Roman"/>
              </w:rPr>
            </w:pPr>
            <w:r w:rsidRPr="00F00580">
              <w:rPr>
                <w:rFonts w:ascii="Times New Roman" w:hAnsi="Times New Roman" w:cs="Times New Roman"/>
                <w:lang w:val="cs-CZ"/>
              </w:rPr>
              <w:t>Studie proveditelnosti rozpracuje návrh studia NORMA architekti ze dne 12. 8. 2025 a bude v souladu s projektem C1 Vstupní park Radotín + Propojení Zbraslav-Radotín, který je součástí katalogu Výběr pilotních projektů Soutok 04/2024</w:t>
            </w:r>
          </w:p>
          <w:p w14:paraId="57E5BFDD" w14:textId="77777777" w:rsidR="00BC6011" w:rsidRPr="002A2585" w:rsidRDefault="00BC6011" w:rsidP="00C105D7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  <w:highlight w:val="cyan"/>
              </w:rPr>
            </w:pPr>
          </w:p>
        </w:tc>
      </w:tr>
      <w:tr w:rsidR="00BC6011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181F" w14:textId="38D6F604" w:rsidR="00BC6011" w:rsidRPr="0049674A" w:rsidRDefault="00BC6011" w:rsidP="00C105D7">
            <w:pPr>
              <w:pStyle w:val="Zkladntext"/>
              <w:spacing w:after="120" w:line="276" w:lineRule="auto"/>
            </w:pPr>
            <w:r w:rsidRPr="0049674A">
              <w:rPr>
                <w:rFonts w:cs="Times New Roman"/>
                <w:b/>
              </w:rPr>
              <w:t xml:space="preserve">Etapa 1 – </w:t>
            </w:r>
            <w:r w:rsidR="0049674A" w:rsidRPr="0049674A">
              <w:rPr>
                <w:rFonts w:cs="Times New Roman"/>
                <w:b/>
              </w:rPr>
              <w:t>Analytická část</w:t>
            </w:r>
          </w:p>
          <w:p w14:paraId="423085AF" w14:textId="4934FF8E" w:rsidR="0049674A" w:rsidRPr="0049674A" w:rsidRDefault="0049674A" w:rsidP="0049674A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  <w:szCs w:val="22"/>
                <w:u w:val="none"/>
              </w:rPr>
            </w:pPr>
            <w:r w:rsidRPr="0049674A">
              <w:rPr>
                <w:b w:val="0"/>
                <w:szCs w:val="22"/>
                <w:u w:val="none"/>
              </w:rPr>
              <w:t>Vyhodnocení limitů území</w:t>
            </w:r>
          </w:p>
          <w:p w14:paraId="5A855FEB" w14:textId="77777777" w:rsidR="0049674A" w:rsidRPr="0049674A" w:rsidRDefault="0049674A" w:rsidP="0049674A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  <w:szCs w:val="22"/>
                <w:u w:val="none"/>
              </w:rPr>
            </w:pPr>
            <w:r w:rsidRPr="0049674A">
              <w:rPr>
                <w:b w:val="0"/>
                <w:szCs w:val="22"/>
                <w:u w:val="none"/>
              </w:rPr>
              <w:t>Shrnutí dostupných průzkumů a zpracovaných podkladů, identifikace dopadů navrhovaných zásahů na biodiverzitu, specifikace podkladů a doporučení pro další fázi projektu.</w:t>
            </w:r>
          </w:p>
          <w:p w14:paraId="49BD8FF0" w14:textId="77777777" w:rsidR="0049674A" w:rsidRPr="0049674A" w:rsidRDefault="0049674A" w:rsidP="0049674A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  <w:szCs w:val="22"/>
                <w:u w:val="none"/>
              </w:rPr>
            </w:pPr>
            <w:r w:rsidRPr="0049674A">
              <w:rPr>
                <w:b w:val="0"/>
                <w:szCs w:val="22"/>
                <w:u w:val="none"/>
              </w:rPr>
              <w:t>Zhodnocení skutečného stavu území a vyhotovení případných dalších průzkumů potřebných pro návrhovou část a vyhodnocení doposud zpracovaných podkladů a studií a ověření</w:t>
            </w:r>
          </w:p>
          <w:p w14:paraId="0847D4AA" w14:textId="16FB2778" w:rsidR="0049674A" w:rsidRPr="0049674A" w:rsidRDefault="0049674A" w:rsidP="0049674A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  <w:szCs w:val="22"/>
                <w:u w:val="none"/>
              </w:rPr>
            </w:pPr>
            <w:r w:rsidRPr="0049674A">
              <w:rPr>
                <w:b w:val="0"/>
                <w:szCs w:val="22"/>
                <w:u w:val="none"/>
              </w:rPr>
              <w:t>V případě potřeby</w:t>
            </w:r>
            <w:r w:rsidR="009A332F">
              <w:rPr>
                <w:b w:val="0"/>
                <w:szCs w:val="22"/>
                <w:u w:val="none"/>
              </w:rPr>
              <w:t xml:space="preserve"> může zhotovitel</w:t>
            </w:r>
            <w:r w:rsidRPr="0049674A">
              <w:rPr>
                <w:b w:val="0"/>
                <w:szCs w:val="22"/>
                <w:u w:val="none"/>
              </w:rPr>
              <w:t xml:space="preserve"> provést geodetické zaměření řešeného území (polohopis výškopis) a doplnění hydrogeologického průzkumu (kopané sondy lze zajistit prostřednictvím OCP/MHMP).</w:t>
            </w:r>
          </w:p>
          <w:p w14:paraId="5F36E2EE" w14:textId="1B3C31AC" w:rsidR="00BC6011" w:rsidRPr="0049674A" w:rsidRDefault="00BC6011" w:rsidP="00C105D7">
            <w:pPr>
              <w:pStyle w:val="Zkladntext"/>
              <w:spacing w:after="120" w:line="276" w:lineRule="auto"/>
            </w:pPr>
          </w:p>
        </w:tc>
      </w:tr>
      <w:tr w:rsidR="00BC6011" w:rsidRPr="0049674A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FD1B" w14:textId="77777777" w:rsidR="0049674A" w:rsidRPr="0049674A" w:rsidRDefault="00BC6011" w:rsidP="0049674A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  <w:r w:rsidRPr="0049674A">
              <w:rPr>
                <w:rFonts w:ascii="Times New Roman" w:hAnsi="Times New Roman" w:cs="Times New Roman"/>
                <w:b/>
              </w:rPr>
              <w:t xml:space="preserve">Etapa 2 – </w:t>
            </w:r>
            <w:r w:rsidR="0049674A" w:rsidRPr="0049674A">
              <w:rPr>
                <w:rFonts w:ascii="Times New Roman" w:hAnsi="Times New Roman" w:cs="Times New Roman"/>
                <w:b/>
                <w:lang w:val="cs-CZ"/>
              </w:rPr>
              <w:t>Návrhová část:</w:t>
            </w:r>
          </w:p>
          <w:p w14:paraId="0EC7B7EE" w14:textId="77777777" w:rsidR="0049674A" w:rsidRPr="0049674A" w:rsidRDefault="0049674A" w:rsidP="0049674A">
            <w:pPr>
              <w:pStyle w:val="Bezmezer"/>
              <w:rPr>
                <w:rFonts w:ascii="Times New Roman" w:hAnsi="Times New Roman" w:cs="Times New Roman"/>
                <w:b/>
                <w:lang w:val="cs-CZ"/>
              </w:rPr>
            </w:pPr>
          </w:p>
          <w:p w14:paraId="0C0999C5" w14:textId="7D730F3A" w:rsidR="0049674A" w:rsidRDefault="0049674A" w:rsidP="0049674A">
            <w:pPr>
              <w:pStyle w:val="Bezmezer"/>
              <w:spacing w:after="160"/>
              <w:ind w:left="357"/>
              <w:rPr>
                <w:rFonts w:ascii="Times New Roman" w:hAnsi="Times New Roman" w:cs="Times New Roman"/>
                <w:lang w:val="cs-CZ"/>
              </w:rPr>
            </w:pPr>
            <w:r w:rsidRPr="0049674A">
              <w:rPr>
                <w:rFonts w:ascii="Times New Roman" w:hAnsi="Times New Roman" w:cs="Times New Roman"/>
                <w:lang w:val="cs-CZ"/>
              </w:rPr>
              <w:t xml:space="preserve">Na základě analytické části zpracovat návrh řešení, které bude ekologicky šetrné a technicky proveditelné. Návrh bude průběžně konzultován a projednán s klíčovými aktéry. </w:t>
            </w:r>
          </w:p>
          <w:p w14:paraId="528BD5CC" w14:textId="7E734D93" w:rsidR="00484147" w:rsidRDefault="00484147" w:rsidP="00484147">
            <w:pPr>
              <w:pStyle w:val="Bezmezer"/>
              <w:spacing w:after="160"/>
              <w:ind w:left="357"/>
              <w:rPr>
                <w:rFonts w:ascii="Times New Roman" w:hAnsi="Times New Roman" w:cs="Times New Roman"/>
                <w:lang w:val="cs-CZ"/>
              </w:rPr>
            </w:pPr>
            <w:r w:rsidRPr="00F00580">
              <w:rPr>
                <w:rFonts w:ascii="Times New Roman" w:hAnsi="Times New Roman" w:cs="Times New Roman"/>
                <w:lang w:val="cs-CZ"/>
              </w:rPr>
              <w:t>Návrh bude mít textovou a výkresovou část a bude obsahovat zejména</w:t>
            </w:r>
            <w:r>
              <w:rPr>
                <w:rFonts w:ascii="Times New Roman" w:hAnsi="Times New Roman" w:cs="Times New Roman"/>
                <w:lang w:val="cs-CZ"/>
              </w:rPr>
              <w:t>:</w:t>
            </w:r>
          </w:p>
          <w:p w14:paraId="7BF2DE1B" w14:textId="352C0DF8" w:rsidR="00484147" w:rsidRPr="00CF60FB" w:rsidRDefault="00484147" w:rsidP="00F00580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</w:pPr>
            <w:r w:rsidRPr="00F00580">
              <w:rPr>
                <w:b w:val="0"/>
                <w:szCs w:val="22"/>
                <w:u w:val="none"/>
              </w:rPr>
              <w:t>Prostorové řešení území</w:t>
            </w:r>
          </w:p>
          <w:p w14:paraId="2F3F9ED5" w14:textId="77777777" w:rsidR="00484147" w:rsidRPr="00F00580" w:rsidRDefault="00484147" w:rsidP="00F00580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</w:rPr>
            </w:pPr>
            <w:r w:rsidRPr="00F00580">
              <w:rPr>
                <w:b w:val="0"/>
                <w:szCs w:val="22"/>
                <w:u w:val="none"/>
              </w:rPr>
              <w:t>Rámcový návrh následné údržby území</w:t>
            </w:r>
          </w:p>
          <w:p w14:paraId="36BD0FF2" w14:textId="2663F141" w:rsidR="00484147" w:rsidRPr="00CF60FB" w:rsidRDefault="00484147" w:rsidP="00F00580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</w:pPr>
            <w:r w:rsidRPr="00F00580">
              <w:rPr>
                <w:b w:val="0"/>
                <w:szCs w:val="22"/>
                <w:u w:val="none"/>
              </w:rPr>
              <w:t>Harmonogram a rozpočet</w:t>
            </w:r>
            <w:r>
              <w:rPr>
                <w:b w:val="0"/>
                <w:szCs w:val="22"/>
                <w:u w:val="none"/>
              </w:rPr>
              <w:t xml:space="preserve"> projektu</w:t>
            </w:r>
          </w:p>
          <w:p w14:paraId="0E198418" w14:textId="77777777" w:rsidR="00484147" w:rsidRPr="00F00580" w:rsidRDefault="00484147" w:rsidP="00F00580">
            <w:pPr>
              <w:pStyle w:val="Nadpis2"/>
              <w:keepLines/>
              <w:numPr>
                <w:ilvl w:val="0"/>
                <w:numId w:val="31"/>
              </w:numPr>
              <w:spacing w:before="0" w:line="259" w:lineRule="auto"/>
              <w:ind w:right="62"/>
              <w:jc w:val="both"/>
              <w:rPr>
                <w:b w:val="0"/>
              </w:rPr>
            </w:pPr>
            <w:r w:rsidRPr="00F00580">
              <w:rPr>
                <w:b w:val="0"/>
                <w:szCs w:val="22"/>
                <w:u w:val="none"/>
              </w:rPr>
              <w:t>Doklady o projednání návrhu</w:t>
            </w:r>
          </w:p>
          <w:p w14:paraId="401ABE67" w14:textId="421C13B7" w:rsidR="00BC6011" w:rsidRPr="0049674A" w:rsidRDefault="00484147" w:rsidP="00C105D7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C8EF04F" w14:textId="23267950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7148"/>
      <w:r>
        <w:rPr>
          <w:rFonts w:cs="UnitPro"/>
        </w:rPr>
        <w:t>K plnění každé jednotlivé dílčí činnosti (</w:t>
      </w:r>
      <w:r w:rsidR="0054149D">
        <w:rPr>
          <w:rFonts w:cs="UnitPro"/>
        </w:rPr>
        <w:t>E</w:t>
      </w:r>
      <w:r>
        <w:rPr>
          <w:rFonts w:cs="UnitPro"/>
        </w:rPr>
        <w:t>tapy) bude zhotovitel objednatelem vyzván písemně, a</w:t>
      </w:r>
      <w:r w:rsidR="00063DEC">
        <w:rPr>
          <w:rFonts w:cs="UnitPro"/>
        </w:rPr>
        <w:t> </w:t>
      </w:r>
      <w:r>
        <w:rPr>
          <w:rFonts w:cs="UnitPro"/>
        </w:rPr>
        <w:t>to</w:t>
      </w:r>
      <w:r w:rsidR="00063DEC">
        <w:rPr>
          <w:rFonts w:cs="UnitPro"/>
        </w:rPr>
        <w:t> </w:t>
      </w:r>
      <w:r>
        <w:rPr>
          <w:rFonts w:cs="UnitPro"/>
        </w:rPr>
        <w:t>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bookmarkEnd w:id="6"/>
      <w:r>
        <w:rPr>
          <w:rFonts w:cs="UnitPro"/>
        </w:rPr>
        <w:t xml:space="preserve">uvedené v </w:t>
      </w:r>
      <w:r w:rsidRPr="00E361D2">
        <w:rPr>
          <w:rFonts w:cs="UnitPro"/>
        </w:rPr>
        <w:t>čl. XII odst. 2</w:t>
      </w:r>
      <w:r>
        <w:rPr>
          <w:rFonts w:cs="UnitPro"/>
        </w:rPr>
        <w:t xml:space="preserve"> této smlouvy. V každém zasílaném pokynu objednatele k zahájení činnosti bude uvedeno: „Objednatel tímto vyzývá zhotovitele k zahájení následující činnosti:“ a dále bude doplněna a uvedena konkrétní činnost předmětu veřejné zakázky, jejíž</w:t>
      </w:r>
      <w:r w:rsidR="002A2585">
        <w:rPr>
          <w:rFonts w:cs="UnitPro"/>
        </w:rPr>
        <w:t> </w:t>
      </w:r>
      <w:r>
        <w:rPr>
          <w:rFonts w:cs="UnitPro"/>
        </w:rPr>
        <w:t xml:space="preserve">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Pr="00F809AC">
        <w:rPr>
          <w:rFonts w:cs="UnitPro"/>
        </w:rPr>
        <w:t>v čl. III odst. 2</w:t>
      </w:r>
      <w:r>
        <w:rPr>
          <w:rFonts w:cs="UnitPro"/>
        </w:rPr>
        <w:t xml:space="preserve"> této smlouvy.</w:t>
      </w:r>
    </w:p>
    <w:p w14:paraId="62A5B72D" w14:textId="07951D99" w:rsidR="00814EC4" w:rsidRDefault="00814EC4" w:rsidP="00814EC4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Zhotovitel</w:t>
      </w:r>
      <w:r>
        <w:t xml:space="preserve"> bere na vědomí, že je oprávněn zahájit práce na každé jednotlivé </w:t>
      </w:r>
      <w:r w:rsidR="000256E8">
        <w:t>e</w:t>
      </w:r>
      <w:r>
        <w:t xml:space="preserve">tapě až na základě písemného pokynu objednatele. Zhotovitel bere na vědomí, že pokud započne s plněním </w:t>
      </w:r>
      <w:r w:rsidR="000256E8">
        <w:t>e</w:t>
      </w:r>
      <w:r>
        <w:t>tapy bez písemného pokynu objednatele, nemá nárok na úhradu ceny (nákladů) takového plnění.</w:t>
      </w:r>
    </w:p>
    <w:p w14:paraId="07ED6E58" w14:textId="02444E5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 xml:space="preserve">čení, </w:t>
      </w:r>
      <w:bookmarkStart w:id="7" w:name="_Hlk168307779"/>
      <w:r w:rsidR="00560B19" w:rsidRPr="00A15479">
        <w:rPr>
          <w:rFonts w:cs="Times New Roman"/>
        </w:rPr>
        <w:t>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>aktéry</w:t>
      </w:r>
      <w:bookmarkEnd w:id="7"/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68308907"/>
      <w:bookmarkStart w:id="9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8"/>
      <w:r w:rsidRPr="00A15479">
        <w:rPr>
          <w:rFonts w:cs="Times New Roman"/>
        </w:rPr>
        <w:t>smlouvy“.</w:t>
      </w:r>
    </w:p>
    <w:bookmarkEnd w:id="9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10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10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68309189"/>
      <w:bookmarkStart w:id="12" w:name="_Hlk161309905"/>
      <w:r w:rsidRPr="00A15479">
        <w:rPr>
          <w:rFonts w:cs="Times New Roman"/>
        </w:rPr>
        <w:t xml:space="preserve">Celková cena </w:t>
      </w:r>
      <w:bookmarkEnd w:id="11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2BA939B2" w:rsidR="00CE703C" w:rsidRPr="00A15479" w:rsidRDefault="00E84D87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3" w:name="_Hlk145932325"/>
      <w:r>
        <w:rPr>
          <w:rFonts w:cs="Times New Roman"/>
          <w:b/>
          <w:bCs/>
        </w:rPr>
        <w:t>489.000,-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 w:rsidR="000A27A3">
        <w:rPr>
          <w:rFonts w:cs="Times New Roman"/>
        </w:rPr>
        <w:t>čtyřistaosmdesátdevěttisíc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02565143" w:rsidR="002D672A" w:rsidRDefault="00E84D87" w:rsidP="00ED2257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591.690,-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 w:rsidR="000A27A3">
        <w:rPr>
          <w:rFonts w:cs="Times New Roman"/>
        </w:rPr>
        <w:t>pětsetdevadesájednatisícšestsetdevadesát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8D59A3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4" w:name="_Hlk169077634"/>
      <w:bookmarkEnd w:id="12"/>
      <w:bookmarkEnd w:id="13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díla, stanovené objednatelem jako procentní podíl na celkové ceně díla, jsou následující:</w:t>
      </w: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4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2EA95AB2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E84D87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:rsidRPr="00E84D87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27E701C1" w:rsidR="005B2FB3" w:rsidRPr="00E84D87" w:rsidRDefault="005B2FB3" w:rsidP="00C105D7">
            <w:pPr>
              <w:pStyle w:val="Zkladntext"/>
              <w:spacing w:after="120" w:line="276" w:lineRule="auto"/>
            </w:pPr>
            <w:r w:rsidRPr="00E84D87">
              <w:t xml:space="preserve">Etapa 1 </w:t>
            </w:r>
            <w:r w:rsidRPr="00E84D87">
              <w:rPr>
                <w:rFonts w:cs="Times New Roman"/>
              </w:rPr>
              <w:t>(</w:t>
            </w:r>
            <w:r w:rsidR="00E84D87" w:rsidRPr="00E84D87">
              <w:rPr>
                <w:rFonts w:cs="Times New Roman"/>
              </w:rPr>
              <w:t>70</w:t>
            </w:r>
            <w:r w:rsidR="00E84D87">
              <w:rPr>
                <w:rFonts w:cs="Times New Roman"/>
              </w:rPr>
              <w:t> </w:t>
            </w:r>
            <w:r w:rsidRPr="00E84D87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062988FD" w:rsidR="005B2FB3" w:rsidRPr="00E84D87" w:rsidRDefault="000A27A3" w:rsidP="00C105D7">
            <w:pPr>
              <w:spacing w:after="120" w:line="276" w:lineRule="auto"/>
              <w:jc w:val="both"/>
            </w:pPr>
            <w:r>
              <w:t>342.300,-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6AC6601D" w:rsidR="005B2FB3" w:rsidRPr="00E84D87" w:rsidRDefault="003578CC" w:rsidP="00C105D7">
            <w:pPr>
              <w:spacing w:after="120" w:line="276" w:lineRule="auto"/>
              <w:jc w:val="both"/>
            </w:pPr>
            <w:r>
              <w:t xml:space="preserve"> 71.883,-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1A07407F" w:rsidR="005B2FB3" w:rsidRPr="00E84D87" w:rsidRDefault="000A27A3" w:rsidP="00C105D7">
            <w:pPr>
              <w:spacing w:after="120" w:line="276" w:lineRule="auto"/>
              <w:jc w:val="both"/>
            </w:pPr>
            <w:r>
              <w:t>414.183,-</w:t>
            </w:r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3D4F1DF5" w:rsidR="005B2FB3" w:rsidRDefault="005B2FB3" w:rsidP="00C105D7">
            <w:pPr>
              <w:spacing w:after="120" w:line="276" w:lineRule="auto"/>
              <w:jc w:val="both"/>
            </w:pPr>
            <w:r w:rsidRPr="00E84D87">
              <w:t>Etapa 2 (</w:t>
            </w:r>
            <w:r w:rsidR="00E84D87" w:rsidRPr="00E84D87">
              <w:t>30</w:t>
            </w:r>
            <w:r w:rsidRPr="00E84D87">
              <w:t> </w:t>
            </w:r>
            <w:r w:rsidRPr="00E84D87">
              <w:rPr>
                <w:rFonts w:cs="Times New Roman"/>
              </w:rPr>
              <w:t>% z celkové ceny 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4D51A6EB" w:rsidR="005B2FB3" w:rsidRDefault="000A27A3" w:rsidP="00C105D7">
            <w:pPr>
              <w:spacing w:after="120" w:line="276" w:lineRule="auto"/>
              <w:jc w:val="both"/>
            </w:pPr>
            <w:r>
              <w:t>146.700,-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57623357" w:rsidR="005B2FB3" w:rsidRDefault="003578CC" w:rsidP="00C105D7">
            <w:pPr>
              <w:spacing w:after="120" w:line="276" w:lineRule="auto"/>
              <w:jc w:val="both"/>
            </w:pPr>
            <w:r>
              <w:t xml:space="preserve"> 30.807,-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6237639B" w:rsidR="005B2FB3" w:rsidRDefault="000A27A3" w:rsidP="00C105D7">
            <w:pPr>
              <w:spacing w:after="120" w:line="276" w:lineRule="auto"/>
              <w:jc w:val="both"/>
            </w:pPr>
            <w:r>
              <w:t>177.507,-</w:t>
            </w:r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7227E6F2" w:rsidR="005B2FB3" w:rsidRDefault="00E84D87" w:rsidP="00C105D7">
            <w:pPr>
              <w:spacing w:after="120" w:line="276" w:lineRule="auto"/>
              <w:jc w:val="both"/>
            </w:pPr>
            <w:r>
              <w:t>489.000,-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0402344B" w:rsidR="005B2FB3" w:rsidRDefault="003578CC" w:rsidP="00C105D7">
            <w:pPr>
              <w:spacing w:after="120" w:line="276" w:lineRule="auto"/>
              <w:jc w:val="both"/>
            </w:pPr>
            <w:r>
              <w:t>102.690,-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1F9175FA" w:rsidR="005B2FB3" w:rsidRDefault="00E84D87" w:rsidP="00C105D7">
            <w:pPr>
              <w:spacing w:after="120" w:line="276" w:lineRule="auto"/>
              <w:jc w:val="both"/>
            </w:pPr>
            <w:r>
              <w:t>591.690,-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A72280B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349416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F00580">
        <w:rPr>
          <w:rFonts w:cs="Times New Roman"/>
          <w:b/>
        </w:rPr>
        <w:t xml:space="preserve">Zhotovitel je povinen zaslat fakturu ve formátu .pdf na e-mailovou adresu </w:t>
      </w:r>
      <w:r w:rsidR="00F00580" w:rsidRPr="00F00580">
        <w:rPr>
          <w:rFonts w:cs="Times New Roman"/>
          <w:b/>
        </w:rPr>
        <w:t>fejfar@ipr.praha.eu</w:t>
      </w:r>
      <w:r w:rsidR="00B64D93" w:rsidRPr="00F00580">
        <w:rPr>
          <w:rFonts w:cs="Times New Roman"/>
          <w:b/>
        </w:rPr>
        <w:t>.</w:t>
      </w:r>
      <w:r w:rsidR="000F2124" w:rsidRPr="00F00580">
        <w:rPr>
          <w:rFonts w:cs="Times New Roman"/>
        </w:rPr>
        <w:t xml:space="preserve"> Úhrada faktur</w:t>
      </w:r>
      <w:r w:rsidR="000F2124" w:rsidRPr="00A15479">
        <w:rPr>
          <w:rFonts w:cs="Times New Roman"/>
        </w:rPr>
        <w:t xml:space="preserve">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19EE916A" w14:textId="065F9453" w:rsidR="00A60DC1" w:rsidRPr="00E84D87" w:rsidRDefault="00ED2257" w:rsidP="00AD4487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84D87">
        <w:rPr>
          <w:rFonts w:cs="Times New Roman"/>
        </w:rPr>
        <w:t>Z</w:t>
      </w:r>
      <w:r w:rsidR="0054149D" w:rsidRPr="00E84D87">
        <w:rPr>
          <w:rFonts w:cs="Times New Roman"/>
        </w:rPr>
        <w:t xml:space="preserve">hotovitel se zavazuje dílo dokončit a jako řádně provedené kompletní dílo objednateli předat nejpozději </w:t>
      </w:r>
      <w:r w:rsidR="00E84D87">
        <w:rPr>
          <w:rFonts w:cs="Times New Roman"/>
        </w:rPr>
        <w:t xml:space="preserve">do </w:t>
      </w:r>
      <w:r w:rsidR="009A332F">
        <w:rPr>
          <w:rFonts w:cs="Times New Roman"/>
        </w:rPr>
        <w:t>31.03</w:t>
      </w:r>
      <w:r w:rsidR="00E84D87">
        <w:rPr>
          <w:rFonts w:cs="Times New Roman"/>
        </w:rPr>
        <w:t>.2026.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672BFD29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t xml:space="preserve">Etapa 1 </w:t>
      </w:r>
      <w:r w:rsidR="00E84D87">
        <w:rPr>
          <w:rFonts w:cs="Times New Roman"/>
        </w:rPr>
        <w:t>– předání hrubopisu do 31.12.2025;</w:t>
      </w:r>
    </w:p>
    <w:p w14:paraId="73FCE940" w14:textId="6D65F572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>Etapa 2 –</w:t>
      </w:r>
      <w:r w:rsidR="00485352">
        <w:rPr>
          <w:rFonts w:cs="Times New Roman"/>
        </w:rPr>
        <w:t xml:space="preserve"> </w:t>
      </w:r>
      <w:r w:rsidR="00E84D87">
        <w:rPr>
          <w:rFonts w:cs="Times New Roman"/>
        </w:rPr>
        <w:t>předání čistopisu</w:t>
      </w:r>
      <w:r w:rsidRPr="00D52C69">
        <w:rPr>
          <w:rFonts w:cs="Times New Roman"/>
        </w:rPr>
        <w:t xml:space="preserve"> nejpozději do </w:t>
      </w:r>
      <w:r w:rsidR="00E84D87">
        <w:rPr>
          <w:rFonts w:cs="Times New Roman"/>
        </w:rPr>
        <w:t xml:space="preserve">1 měsíce </w:t>
      </w:r>
      <w:r w:rsidRPr="00D52C69">
        <w:rPr>
          <w:rFonts w:cs="Times New Roman"/>
        </w:rPr>
        <w:t xml:space="preserve">od </w:t>
      </w:r>
      <w:r w:rsidR="00E84D87">
        <w:rPr>
          <w:rFonts w:cs="Times New Roman"/>
        </w:rPr>
        <w:t xml:space="preserve">předání pokynů zadavatelem, nejpozději do </w:t>
      </w:r>
      <w:r w:rsidR="009A332F">
        <w:rPr>
          <w:rFonts w:cs="Times New Roman"/>
        </w:rPr>
        <w:t>31.3</w:t>
      </w:r>
      <w:r w:rsidR="00E84D87">
        <w:rPr>
          <w:rFonts w:cs="Times New Roman"/>
        </w:rPr>
        <w:t>.2026.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E84D87">
        <w:rPr>
          <w:rFonts w:cs="Times New Roman"/>
        </w:rPr>
        <w:t>15</w:t>
      </w:r>
      <w:r w:rsidR="00BC08EB" w:rsidRPr="00E84D87">
        <w:rPr>
          <w:rFonts w:cs="Times New Roman"/>
        </w:rPr>
        <w:t> </w:t>
      </w:r>
      <w:r w:rsidRPr="00E84D87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F00580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0580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F00580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59ABD35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6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6"/>
    </w:p>
    <w:p w14:paraId="7D7657EF" w14:textId="1AF23C37" w:rsidR="0097395D" w:rsidRPr="00F00580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="00C869EA" w:rsidRPr="00F00580">
        <w:rPr>
          <w:rFonts w:cs="Times New Roman"/>
        </w:rPr>
        <w:t>5</w:t>
      </w:r>
      <w:r w:rsidR="00BC08EB" w:rsidRPr="00F00580">
        <w:rPr>
          <w:rFonts w:cs="Times New Roman"/>
        </w:rPr>
        <w:t> </w:t>
      </w:r>
      <w:r w:rsidRPr="00F00580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C738FBD" w14:textId="0EFE5C3A" w:rsidR="00C963D7" w:rsidRPr="00401EDC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01EDC">
        <w:rPr>
          <w:rFonts w:cs="Times New Roman"/>
        </w:rPr>
        <w:t xml:space="preserve">Podrobná </w:t>
      </w:r>
      <w:bookmarkStart w:id="17" w:name="_Hlk169084857"/>
      <w:r w:rsidRPr="00401EDC">
        <w:rPr>
          <w:rFonts w:cs="Times New Roman"/>
        </w:rPr>
        <w:t>specifikace forem odevzdání díla</w:t>
      </w:r>
      <w:r w:rsidR="00401EDC" w:rsidRPr="00401EDC">
        <w:rPr>
          <w:rFonts w:cs="Times New Roman"/>
        </w:rPr>
        <w:t xml:space="preserve"> </w:t>
      </w:r>
      <w:r w:rsidRPr="00401EDC">
        <w:rPr>
          <w:rFonts w:cs="Times New Roman"/>
        </w:rPr>
        <w:t>je uvedena v příloze č. 1 této smlouvy</w:t>
      </w:r>
      <w:bookmarkEnd w:id="17"/>
      <w:r w:rsidRPr="00401EDC">
        <w:rPr>
          <w:rFonts w:cs="Times New Roman"/>
        </w:rPr>
        <w:t>.</w:t>
      </w:r>
    </w:p>
    <w:p w14:paraId="18A5835C" w14:textId="47DE5C22" w:rsidR="0026530D" w:rsidRPr="00401EDC" w:rsidRDefault="003A3BD5" w:rsidP="00C727A7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01EDC">
        <w:rPr>
          <w:rFonts w:cs="Times New Roman"/>
        </w:rPr>
        <w:t xml:space="preserve">Objednatel </w:t>
      </w:r>
      <w:bookmarkStart w:id="18" w:name="_Hlk169085257"/>
      <w:r w:rsidRPr="00401EDC">
        <w:rPr>
          <w:rFonts w:cs="Times New Roman"/>
        </w:rPr>
        <w:t xml:space="preserve">je povinen předané dílo </w:t>
      </w:r>
      <w:r w:rsidR="000949B7" w:rsidRPr="00401EDC">
        <w:rPr>
          <w:rFonts w:cs="Times New Roman"/>
        </w:rPr>
        <w:t xml:space="preserve">v každé </w:t>
      </w:r>
      <w:r w:rsidR="00A10CA0" w:rsidRPr="00401EDC">
        <w:rPr>
          <w:rFonts w:cs="Times New Roman"/>
        </w:rPr>
        <w:t>E</w:t>
      </w:r>
      <w:r w:rsidR="000949B7" w:rsidRPr="00401EDC">
        <w:rPr>
          <w:rFonts w:cs="Times New Roman"/>
        </w:rPr>
        <w:t xml:space="preserve">tapě </w:t>
      </w:r>
      <w:r w:rsidRPr="00401EDC">
        <w:rPr>
          <w:rFonts w:cs="Times New Roman"/>
        </w:rPr>
        <w:t xml:space="preserve">zkontrolovat </w:t>
      </w:r>
      <w:r w:rsidR="0026530D" w:rsidRPr="00401EDC">
        <w:rPr>
          <w:rFonts w:cs="Times New Roman"/>
        </w:rPr>
        <w:t>a písemně zhotoviteli sdělit formou akceptačního protokolu, zda Etapu díla odsouhlasil, či nikoliv</w:t>
      </w:r>
      <w:r w:rsidR="00BB77D8" w:rsidRPr="00401EDC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9" w:name="_Hlk169085300"/>
      <w:bookmarkEnd w:id="18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9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6E962B66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00580">
        <w:rPr>
          <w:rFonts w:cs="Times New Roman"/>
        </w:rPr>
        <w:t>Zhotovitel se zavazuje v souladu s podanou nabídkou</w:t>
      </w:r>
      <w:r w:rsidR="00023343" w:rsidRPr="00F00580">
        <w:rPr>
          <w:rFonts w:cs="Times New Roman"/>
        </w:rPr>
        <w:t xml:space="preserve"> na veřejnou zakázku „</w:t>
      </w:r>
      <w:r w:rsidR="00401EDC" w:rsidRPr="00F00580">
        <w:rPr>
          <w:rFonts w:cs="Times New Roman"/>
        </w:rPr>
        <w:t>Studie proveditelnosti projektu C1_1.1 Říční láz</w:t>
      </w:r>
      <w:r w:rsidR="00CC1AE0" w:rsidRPr="00F00580">
        <w:rPr>
          <w:rFonts w:cs="Times New Roman"/>
        </w:rPr>
        <w:t>n</w:t>
      </w:r>
      <w:r w:rsidR="00401EDC" w:rsidRPr="00F00580">
        <w:rPr>
          <w:rFonts w:cs="Times New Roman"/>
        </w:rPr>
        <w:t>ě</w:t>
      </w:r>
      <w:r w:rsidR="00023343" w:rsidRPr="00F00580">
        <w:rPr>
          <w:rFonts w:cs="Times New Roman"/>
        </w:rPr>
        <w:t xml:space="preserve">“ </w:t>
      </w:r>
      <w:r w:rsidRPr="00F00580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20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1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20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1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2BED65A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2" w:name="_Hlk169085610"/>
      <w:r w:rsidRPr="00A15479">
        <w:rPr>
          <w:rFonts w:cs="Times New Roman"/>
        </w:rPr>
        <w:t>, zadávací dokumentace</w:t>
      </w:r>
      <w:bookmarkEnd w:id="22"/>
      <w:r w:rsidRPr="00A15479">
        <w:rPr>
          <w:rFonts w:cs="Times New Roman"/>
        </w:rPr>
        <w:t>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3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4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4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5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5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6" w:name="_Hlk169085903"/>
      <w:bookmarkStart w:id="27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6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7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A20F1EA" w:rsidR="00B422E2" w:rsidRPr="00401EDC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401EDC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DF0AC09" w:rsidR="00B422E2" w:rsidRPr="00401EDC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401EDC">
        <w:rPr>
          <w:rFonts w:cs="Times New Roman"/>
        </w:rPr>
        <w:t xml:space="preserve">Za každé jednotlivé porušení povinnosti uvedené v čl. </w:t>
      </w:r>
      <w:r w:rsidR="00BF3B91" w:rsidRPr="00401EDC">
        <w:rPr>
          <w:rFonts w:cs="Times New Roman"/>
        </w:rPr>
        <w:t>VIII</w:t>
      </w:r>
      <w:r w:rsidRPr="00401EDC">
        <w:rPr>
          <w:rFonts w:cs="Times New Roman"/>
        </w:rPr>
        <w:t xml:space="preserve"> odst. 1, 3 nebo 5 této smlouvy je zhotovitel povinen zaplatit objednateli smluvní pokutu ve výši </w:t>
      </w:r>
      <w:r w:rsidR="00401EDC" w:rsidRPr="00401EDC">
        <w:rPr>
          <w:rFonts w:cs="Times New Roman"/>
        </w:rPr>
        <w:t>2</w:t>
      </w:r>
      <w:r w:rsidRPr="00401EDC">
        <w:rPr>
          <w:rFonts w:cs="Times New Roman"/>
        </w:rPr>
        <w:t xml:space="preserve">5.000 Kč (slovy: </w:t>
      </w:r>
      <w:r w:rsidR="00401EDC" w:rsidRPr="00401EDC">
        <w:rPr>
          <w:rFonts w:cs="Times New Roman"/>
        </w:rPr>
        <w:t>dvacetpět</w:t>
      </w:r>
      <w:r w:rsidRPr="00401EDC">
        <w:rPr>
          <w:rFonts w:cs="Times New Roman"/>
        </w:rPr>
        <w:t xml:space="preserve"> tisíc korun českých).</w:t>
      </w:r>
    </w:p>
    <w:p w14:paraId="0E651C03" w14:textId="11636552" w:rsidR="00B422E2" w:rsidRPr="00762110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zhotovitel povinen zaplatit objednateli smluvní </w:t>
      </w:r>
      <w:r w:rsidRPr="00762110">
        <w:rPr>
          <w:rFonts w:cs="Times New Roman"/>
          <w:iCs/>
        </w:rPr>
        <w:t xml:space="preserve">pokutu ve výši </w:t>
      </w:r>
      <w:r w:rsidR="00223783" w:rsidRPr="00762110">
        <w:rPr>
          <w:rFonts w:cs="Times New Roman"/>
          <w:iCs/>
        </w:rPr>
        <w:t>50</w:t>
      </w:r>
      <w:r w:rsidRPr="00762110">
        <w:rPr>
          <w:rFonts w:cs="Times New Roman"/>
          <w:iCs/>
        </w:rPr>
        <w:t xml:space="preserve">.000 Kč </w:t>
      </w:r>
      <w:r w:rsidRPr="00762110">
        <w:rPr>
          <w:rFonts w:cs="Times New Roman"/>
        </w:rPr>
        <w:t>(slovy: sto tisíc korun českých)</w:t>
      </w:r>
      <w:r w:rsidR="00762110">
        <w:rPr>
          <w:rFonts w:cs="Times New Roman"/>
        </w:rPr>
        <w:t>.</w:t>
      </w:r>
    </w:p>
    <w:p w14:paraId="61B8A84D" w14:textId="3F427D73" w:rsidR="00627351" w:rsidRPr="00401EDC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401EDC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401EDC">
        <w:rPr>
          <w:rFonts w:cs="Times New Roman"/>
        </w:rPr>
        <w:t>5</w:t>
      </w:r>
      <w:r w:rsidRPr="00401EDC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395FF910" w14:textId="4AC88737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401EDC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8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8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</w:t>
      </w:r>
      <w:r w:rsidRPr="00A15479">
        <w:rPr>
          <w:rFonts w:cs="Times New Roman"/>
        </w:rPr>
        <w:lastRenderedPageBreak/>
        <w:t>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175FBAC7" w:rsidR="001D54B4" w:rsidRPr="00401ED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01EDC">
        <w:rPr>
          <w:rFonts w:cs="Times New Roman"/>
        </w:rPr>
        <w:t>odstoupením od smlouvy</w:t>
      </w:r>
      <w:r w:rsidR="00DA50A6" w:rsidRPr="00401EDC">
        <w:rPr>
          <w:rFonts w:cs="Times New Roman"/>
        </w:rPr>
        <w:t xml:space="preserve"> za podmínek uvedených v odst. </w:t>
      </w:r>
      <w:r w:rsidR="00036CEA">
        <w:rPr>
          <w:rFonts w:cs="Times New Roman"/>
        </w:rPr>
        <w:t>3</w:t>
      </w:r>
      <w:r w:rsidR="00DA50A6" w:rsidRPr="00401EDC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9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C614F4">
        <w:rPr>
          <w:rFonts w:eastAsia="Calibri" w:cs="Times New Roman"/>
          <w:lang w:eastAsia="en-US"/>
        </w:rPr>
        <w:t>3</w:t>
      </w:r>
      <w:r>
        <w:rPr>
          <w:rFonts w:eastAsia="Calibri" w:cs="Times New Roman"/>
          <w:lang w:eastAsia="en-US"/>
        </w:rPr>
        <w:t xml:space="preserve"> </w:t>
      </w:r>
      <w:bookmarkEnd w:id="29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9A332F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A332F">
        <w:rPr>
          <w:rFonts w:cs="Times New Roman"/>
        </w:rPr>
        <w:t>Vzhledem k tomu, že plnění, poskytnutá jako postupná dílčí plnění, v rámci etap, stanovených v čl.</w:t>
      </w:r>
      <w:r w:rsidR="00EF6B9C" w:rsidRPr="009A332F">
        <w:rPr>
          <w:rFonts w:cs="Times New Roman"/>
        </w:rPr>
        <w:t> </w:t>
      </w:r>
      <w:r w:rsidRPr="009A332F">
        <w:rPr>
          <w:rFonts w:cs="Times New Roman"/>
        </w:rPr>
        <w:t>II</w:t>
      </w:r>
      <w:r w:rsidR="00EF6B9C" w:rsidRPr="009A332F">
        <w:rPr>
          <w:rFonts w:cs="Times New Roman"/>
        </w:rPr>
        <w:t> </w:t>
      </w:r>
      <w:r w:rsidRPr="009A332F">
        <w:rPr>
          <w:rFonts w:cs="Times New Roman"/>
        </w:rPr>
        <w:t>odst. 1 této smlouvy, jež objednatel jako řádná převzal a akceptoval, mají sama o sobě pro</w:t>
      </w:r>
      <w:r w:rsidR="00EF6B9C" w:rsidRPr="009A332F">
        <w:rPr>
          <w:rFonts w:cs="Times New Roman"/>
        </w:rPr>
        <w:t> </w:t>
      </w:r>
      <w:r w:rsidRPr="009A332F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33F99F5B" w14:textId="77777777" w:rsidR="00036CEA" w:rsidRDefault="00036CEA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ABFC170" w14:textId="77777777" w:rsidR="00036CEA" w:rsidRDefault="00036CEA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9B7C9D6" w14:textId="77777777" w:rsidR="00036CEA" w:rsidRDefault="00036CEA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0FC2847" w14:textId="77777777" w:rsidR="00036CEA" w:rsidRPr="005A03D1" w:rsidRDefault="00036CEA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E8D26FB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30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401EDC">
        <w:rPr>
          <w:rStyle w:val="Siln"/>
          <w:rFonts w:cs="Times New Roman"/>
          <w:b w:val="0"/>
          <w:shd w:val="clear" w:color="auto" w:fill="FFFFFF"/>
        </w:rPr>
        <w:t>v64kmft</w:t>
      </w:r>
      <w:r w:rsidR="00036CEA">
        <w:rPr>
          <w:rStyle w:val="Siln"/>
          <w:rFonts w:cs="Times New Roman"/>
          <w:b w:val="0"/>
          <w:shd w:val="clear" w:color="auto" w:fill="FFFFFF"/>
        </w:rPr>
        <w:t>)</w:t>
      </w:r>
      <w:r w:rsidR="00320EC9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  <w:bookmarkEnd w:id="30"/>
    </w:p>
    <w:p w14:paraId="4EA324EA" w14:textId="0A70291A" w:rsidR="00F74C17" w:rsidRPr="00320EC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20EC9">
        <w:rPr>
          <w:rFonts w:cs="Times New Roman"/>
        </w:rPr>
        <w:t xml:space="preserve">Kontaktní osobou na straně objednatele je </w:t>
      </w:r>
      <w:r w:rsidR="0087375D">
        <w:rPr>
          <w:rFonts w:cs="Times New Roman"/>
        </w:rPr>
        <w:t>xxxxxxxxxxxxxx</w:t>
      </w:r>
    </w:p>
    <w:p w14:paraId="63CC12DA" w14:textId="512E2CEB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87375D">
        <w:rPr>
          <w:rFonts w:cs="Times New Roman"/>
        </w:rPr>
        <w:t>xxxxxxxxxxxxxxxx</w:t>
      </w:r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56AD22E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1" w:name="_Hlk169097072"/>
      <w:bookmarkStart w:id="32" w:name="_Hlk145937672"/>
      <w:r w:rsidRPr="00A15479">
        <w:rPr>
          <w:szCs w:val="22"/>
        </w:rPr>
        <w:t>XI</w:t>
      </w:r>
      <w:r w:rsidR="00320EC9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1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320EC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20EC9">
        <w:rPr>
          <w:rFonts w:cs="Times New Roman"/>
          <w:color w:val="auto"/>
          <w:sz w:val="22"/>
        </w:rPr>
        <w:t>Zhotovitel</w:t>
      </w:r>
      <w:r w:rsidR="002C0BFC" w:rsidRPr="00320EC9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320EC9">
        <w:rPr>
          <w:rFonts w:cs="Times New Roman"/>
          <w:color w:val="auto"/>
          <w:sz w:val="22"/>
        </w:rPr>
        <w:t> </w:t>
      </w:r>
      <w:r w:rsidR="002C0BFC" w:rsidRPr="00320EC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320EC9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20EC9">
        <w:rPr>
          <w:rFonts w:cs="Times New Roman"/>
          <w:color w:val="auto"/>
          <w:sz w:val="22"/>
        </w:rPr>
        <w:t>Zhotovitel</w:t>
      </w:r>
      <w:r w:rsidR="002C0BFC" w:rsidRPr="00320EC9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320EC9">
        <w:rPr>
          <w:rFonts w:cs="Times New Roman"/>
          <w:color w:val="auto"/>
          <w:sz w:val="22"/>
        </w:rPr>
        <w:t> </w:t>
      </w:r>
      <w:r w:rsidR="002C0BFC" w:rsidRPr="00320EC9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320EC9">
        <w:rPr>
          <w:rFonts w:cs="Times New Roman"/>
          <w:color w:val="auto"/>
          <w:sz w:val="22"/>
        </w:rPr>
        <w:t> </w:t>
      </w:r>
      <w:r w:rsidR="002C0BFC" w:rsidRPr="00320EC9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320EC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20EC9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20EC9">
        <w:rPr>
          <w:rFonts w:cs="Times New Roman"/>
          <w:color w:val="auto"/>
          <w:sz w:val="22"/>
        </w:rPr>
        <w:t>zhotovitel</w:t>
      </w:r>
      <w:r w:rsidRPr="00320EC9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20EC9">
        <w:rPr>
          <w:rFonts w:cs="Times New Roman"/>
          <w:color w:val="auto"/>
          <w:sz w:val="22"/>
        </w:rPr>
        <w:t>zhotovitel</w:t>
      </w:r>
      <w:r w:rsidRPr="00320EC9">
        <w:rPr>
          <w:rFonts w:cs="Times New Roman"/>
          <w:color w:val="auto"/>
          <w:sz w:val="22"/>
        </w:rPr>
        <w:t xml:space="preserve"> stal určenou osobou, je povinen o</w:t>
      </w:r>
      <w:r w:rsidR="00BC08EB" w:rsidRPr="00320EC9">
        <w:rPr>
          <w:rFonts w:cs="Times New Roman"/>
          <w:color w:val="auto"/>
          <w:sz w:val="22"/>
        </w:rPr>
        <w:t> </w:t>
      </w:r>
      <w:r w:rsidRPr="00320EC9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320EC9">
        <w:rPr>
          <w:rFonts w:cs="Times New Roman"/>
          <w:color w:val="auto"/>
          <w:sz w:val="22"/>
        </w:rPr>
        <w:t> </w:t>
      </w:r>
      <w:r w:rsidRPr="00320EC9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320EC9">
        <w:rPr>
          <w:rFonts w:cs="Times New Roman"/>
          <w:color w:val="auto"/>
          <w:sz w:val="22"/>
        </w:rPr>
        <w:t>o</w:t>
      </w:r>
      <w:r w:rsidRPr="00320EC9">
        <w:rPr>
          <w:rFonts w:cs="Times New Roman"/>
          <w:color w:val="auto"/>
          <w:sz w:val="22"/>
        </w:rPr>
        <w:t>bjednateli v souvislosti s</w:t>
      </w:r>
      <w:r w:rsidR="00BC08EB" w:rsidRPr="00320EC9">
        <w:rPr>
          <w:rFonts w:cs="Times New Roman"/>
          <w:color w:val="auto"/>
          <w:sz w:val="22"/>
        </w:rPr>
        <w:t> </w:t>
      </w:r>
      <w:r w:rsidRPr="00320EC9">
        <w:rPr>
          <w:rFonts w:cs="Times New Roman"/>
          <w:color w:val="auto"/>
          <w:sz w:val="22"/>
        </w:rPr>
        <w:t>porušením této</w:t>
      </w:r>
      <w:r w:rsidR="0048274C" w:rsidRPr="00320EC9">
        <w:rPr>
          <w:rFonts w:cs="Times New Roman"/>
          <w:color w:val="auto"/>
          <w:sz w:val="22"/>
        </w:rPr>
        <w:t> </w:t>
      </w:r>
      <w:r w:rsidRPr="00320EC9">
        <w:rPr>
          <w:rFonts w:cs="Times New Roman"/>
          <w:color w:val="auto"/>
          <w:sz w:val="22"/>
        </w:rPr>
        <w:t xml:space="preserve">povinnosti jakákoliv škoda, je </w:t>
      </w:r>
      <w:r w:rsidR="008C2948" w:rsidRPr="00320EC9">
        <w:rPr>
          <w:rFonts w:cs="Times New Roman"/>
          <w:color w:val="auto"/>
          <w:sz w:val="22"/>
        </w:rPr>
        <w:t>zhotovitel</w:t>
      </w:r>
      <w:r w:rsidRPr="00320EC9">
        <w:rPr>
          <w:rFonts w:cs="Times New Roman"/>
          <w:color w:val="auto"/>
          <w:sz w:val="22"/>
        </w:rPr>
        <w:t xml:space="preserve"> tuto škodu </w:t>
      </w:r>
      <w:r w:rsidR="008C2948" w:rsidRPr="00320EC9">
        <w:rPr>
          <w:rFonts w:cs="Times New Roman"/>
          <w:color w:val="auto"/>
          <w:sz w:val="22"/>
        </w:rPr>
        <w:t>o</w:t>
      </w:r>
      <w:r w:rsidRPr="00320EC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320EC9">
        <w:rPr>
          <w:rFonts w:cs="Times New Roman"/>
          <w:color w:val="auto"/>
          <w:sz w:val="22"/>
        </w:rPr>
        <w:t>o</w:t>
      </w:r>
      <w:r w:rsidRPr="00320EC9">
        <w:rPr>
          <w:rFonts w:cs="Times New Roman"/>
          <w:color w:val="auto"/>
          <w:sz w:val="22"/>
        </w:rPr>
        <w:t>bjednatele.</w:t>
      </w:r>
    </w:p>
    <w:bookmarkEnd w:id="32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22F80D52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3" w:name="_Hlk169097399"/>
      <w:r w:rsidRPr="00A15479">
        <w:rPr>
          <w:szCs w:val="22"/>
        </w:rPr>
        <w:t>X</w:t>
      </w:r>
      <w:r w:rsidR="00320EC9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3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34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5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5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6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6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7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8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C19DE3" w14:textId="77777777" w:rsidR="00036CEA" w:rsidRDefault="00036CEA" w:rsidP="00036CEA">
      <w:pPr>
        <w:spacing w:after="120" w:line="276" w:lineRule="auto"/>
        <w:jc w:val="both"/>
        <w:rPr>
          <w:rFonts w:cs="Times New Roman"/>
        </w:rPr>
      </w:pPr>
    </w:p>
    <w:p w14:paraId="17181A04" w14:textId="77777777" w:rsidR="00036CEA" w:rsidRPr="00A15479" w:rsidRDefault="00036CEA" w:rsidP="00036CEA">
      <w:pPr>
        <w:spacing w:after="120" w:line="276" w:lineRule="auto"/>
        <w:jc w:val="both"/>
        <w:rPr>
          <w:rFonts w:cs="Times New Roman"/>
        </w:rPr>
      </w:pP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9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320EC9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bookmarkStart w:id="40" w:name="_Hlk169097802"/>
      <w:r w:rsidRPr="00320EC9">
        <w:rPr>
          <w:rFonts w:cs="Times New Roman"/>
          <w:u w:val="single"/>
        </w:rPr>
        <w:t>Příloh</w:t>
      </w:r>
      <w:r w:rsidR="006C1EDF" w:rsidRPr="00320EC9">
        <w:rPr>
          <w:rFonts w:cs="Times New Roman"/>
          <w:u w:val="single"/>
        </w:rPr>
        <w:t>a</w:t>
      </w:r>
      <w:r w:rsidRPr="00320EC9">
        <w:rPr>
          <w:rFonts w:cs="Times New Roman"/>
          <w:u w:val="single"/>
        </w:rPr>
        <w:t xml:space="preserve">: </w:t>
      </w:r>
    </w:p>
    <w:p w14:paraId="5BE5437A" w14:textId="77777777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320EC9">
        <w:rPr>
          <w:rFonts w:cs="Times New Roman"/>
        </w:rPr>
        <w:t>č. 1 –</w:t>
      </w:r>
      <w:r w:rsidRPr="00320EC9">
        <w:rPr>
          <w:rFonts w:cs="Times New Roman"/>
          <w:i/>
        </w:rPr>
        <w:t xml:space="preserve"> </w:t>
      </w:r>
      <w:r w:rsidR="003C7CA5" w:rsidRPr="00320EC9">
        <w:rPr>
          <w:rFonts w:cs="Times New Roman"/>
        </w:rPr>
        <w:t>Specifikace předmětu smlouvy</w:t>
      </w:r>
    </w:p>
    <w:p w14:paraId="7524DD11" w14:textId="77777777" w:rsidR="00320EC9" w:rsidRDefault="00320EC9" w:rsidP="00F85CAB">
      <w:pPr>
        <w:spacing w:after="120" w:line="276" w:lineRule="auto"/>
        <w:ind w:hanging="284"/>
        <w:rPr>
          <w:rFonts w:cs="Times New Roman"/>
        </w:rPr>
      </w:pPr>
    </w:p>
    <w:p w14:paraId="704141F9" w14:textId="77777777" w:rsidR="00320EC9" w:rsidRDefault="00320EC9" w:rsidP="00F85CAB">
      <w:pPr>
        <w:spacing w:after="120" w:line="276" w:lineRule="auto"/>
        <w:ind w:hanging="284"/>
        <w:rPr>
          <w:rFonts w:cs="Times New Roman"/>
          <w:i/>
        </w:rPr>
      </w:pPr>
    </w:p>
    <w:p w14:paraId="2C93F3FB" w14:textId="77777777" w:rsidR="00BA6BA8" w:rsidRDefault="00BA6BA8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1C823" w14:textId="77777777" w:rsidR="00BA6BA8" w:rsidRPr="00A15479" w:rsidRDefault="00BA6BA8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7A842" w14:textId="0D1790EE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320EC9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485352">
        <w:rPr>
          <w:rFonts w:cs="Times New Roman"/>
        </w:rPr>
        <w:t>e Skalici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4110BA64" w14:textId="77777777" w:rsidR="00320EC9" w:rsidRDefault="00320EC9" w:rsidP="0007550F">
      <w:pPr>
        <w:spacing w:after="120" w:line="276" w:lineRule="auto"/>
        <w:rPr>
          <w:rFonts w:cs="Times New Roman"/>
        </w:rPr>
      </w:pPr>
    </w:p>
    <w:p w14:paraId="489C4B7F" w14:textId="77777777" w:rsidR="00320EC9" w:rsidRPr="00A15479" w:rsidRDefault="00320EC9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0D0F2D21" w:rsidR="00512330" w:rsidRPr="00485352" w:rsidRDefault="00320EC9" w:rsidP="00F818B2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>
        <w:rPr>
          <w:rFonts w:cs="Times New Roman"/>
          <w:b/>
        </w:rPr>
        <w:t>Ing. Marek Zděradička</w:t>
      </w:r>
      <w:r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Pr="00485352">
        <w:rPr>
          <w:rFonts w:cs="Times New Roman"/>
          <w:b/>
          <w:bCs/>
        </w:rPr>
        <w:t>RNDr. Lukáš Krejčí, Ph.D.</w:t>
      </w:r>
    </w:p>
    <w:p w14:paraId="1790695B" w14:textId="281314C5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320EC9">
        <w:rPr>
          <w:rFonts w:cs="Times New Roman"/>
        </w:rPr>
        <w:t xml:space="preserve">zástupce ředitele pro </w:t>
      </w:r>
      <w:r w:rsidR="00320EC9" w:rsidRPr="00320EC9">
        <w:rPr>
          <w:rFonts w:cs="Times New Roman"/>
        </w:rPr>
        <w:t>odbornou</w:t>
      </w:r>
      <w:r w:rsidRPr="00320EC9">
        <w:rPr>
          <w:rFonts w:cs="Times New Roman"/>
        </w:rPr>
        <w:t xml:space="preserve"> činnost</w:t>
      </w:r>
      <w:r w:rsidR="00320EC9" w:rsidRPr="00320EC9">
        <w:rPr>
          <w:rFonts w:cs="Times New Roman"/>
        </w:rPr>
        <w:tab/>
      </w:r>
      <w:r w:rsidR="00320EC9" w:rsidRPr="00320EC9">
        <w:rPr>
          <w:rFonts w:cs="Times New Roman"/>
        </w:rPr>
        <w:tab/>
      </w:r>
      <w:r w:rsidRPr="00320EC9">
        <w:rPr>
          <w:rFonts w:cs="Times New Roman"/>
        </w:rPr>
        <w:tab/>
      </w:r>
      <w:r w:rsidR="00320EC9" w:rsidRPr="00320EC9">
        <w:rPr>
          <w:rFonts w:cs="Times New Roman"/>
        </w:rPr>
        <w:t>jednatel</w:t>
      </w:r>
    </w:p>
    <w:p w14:paraId="1A267791" w14:textId="2F8D14E1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="00320EC9">
        <w:rPr>
          <w:rFonts w:cs="Times New Roman"/>
        </w:rPr>
        <w:tab/>
        <w:t>AQEcore s.r.o.</w:t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40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666B" w14:textId="77777777" w:rsidR="00A00711" w:rsidRDefault="00A00711">
      <w:r>
        <w:separator/>
      </w:r>
    </w:p>
  </w:endnote>
  <w:endnote w:type="continuationSeparator" w:id="0">
    <w:p w14:paraId="36E80EC6" w14:textId="77777777" w:rsidR="00A00711" w:rsidRDefault="00A0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Pro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1B7E" w14:textId="77777777" w:rsidR="00A00711" w:rsidRDefault="00A00711">
      <w:r>
        <w:separator/>
      </w:r>
    </w:p>
  </w:footnote>
  <w:footnote w:type="continuationSeparator" w:id="0">
    <w:p w14:paraId="07EDC65A" w14:textId="77777777" w:rsidR="00A00711" w:rsidRDefault="00A0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294CA57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264B34">
      <w:rPr>
        <w:sz w:val="22"/>
      </w:rPr>
      <w:t>ZAK 25-0201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264B34">
      <w:t>č. smlouvy zhotovitele</w:t>
    </w:r>
    <w:r w:rsidR="00D81B70" w:rsidRPr="00264B34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12781B"/>
    <w:multiLevelType w:val="hybridMultilevel"/>
    <w:tmpl w:val="23F032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963EF"/>
    <w:multiLevelType w:val="hybridMultilevel"/>
    <w:tmpl w:val="113A3D48"/>
    <w:lvl w:ilvl="0" w:tplc="8618B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4"/>
  </w:num>
  <w:num w:numId="4" w16cid:durableId="1576283937">
    <w:abstractNumId w:val="42"/>
  </w:num>
  <w:num w:numId="5" w16cid:durableId="1607230625">
    <w:abstractNumId w:val="32"/>
  </w:num>
  <w:num w:numId="6" w16cid:durableId="191771308">
    <w:abstractNumId w:val="45"/>
  </w:num>
  <w:num w:numId="7" w16cid:durableId="1890190331">
    <w:abstractNumId w:val="33"/>
  </w:num>
  <w:num w:numId="8" w16cid:durableId="810754593">
    <w:abstractNumId w:val="21"/>
  </w:num>
  <w:num w:numId="9" w16cid:durableId="1245846362">
    <w:abstractNumId w:val="43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9"/>
  </w:num>
  <w:num w:numId="13" w16cid:durableId="2088840954">
    <w:abstractNumId w:val="37"/>
  </w:num>
  <w:num w:numId="14" w16cid:durableId="748233719">
    <w:abstractNumId w:val="28"/>
  </w:num>
  <w:num w:numId="15" w16cid:durableId="2031488198">
    <w:abstractNumId w:val="26"/>
  </w:num>
  <w:num w:numId="16" w16cid:durableId="38215281">
    <w:abstractNumId w:val="44"/>
  </w:num>
  <w:num w:numId="17" w16cid:durableId="1628467188">
    <w:abstractNumId w:val="47"/>
  </w:num>
  <w:num w:numId="18" w16cid:durableId="103229322">
    <w:abstractNumId w:val="41"/>
  </w:num>
  <w:num w:numId="19" w16cid:durableId="1004481792">
    <w:abstractNumId w:val="36"/>
  </w:num>
  <w:num w:numId="20" w16cid:durableId="503397303">
    <w:abstractNumId w:val="39"/>
  </w:num>
  <w:num w:numId="21" w16cid:durableId="1735739072">
    <w:abstractNumId w:val="30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0"/>
  </w:num>
  <w:num w:numId="26" w16cid:durableId="1179858040">
    <w:abstractNumId w:val="31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375278546">
    <w:abstractNumId w:val="46"/>
  </w:num>
  <w:num w:numId="32" w16cid:durableId="114177235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6CE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27A3"/>
    <w:rsid w:val="000A3D29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1619F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53CD"/>
    <w:rsid w:val="001F7E7D"/>
    <w:rsid w:val="0020208B"/>
    <w:rsid w:val="002057EB"/>
    <w:rsid w:val="002159C4"/>
    <w:rsid w:val="00221B9C"/>
    <w:rsid w:val="002234EC"/>
    <w:rsid w:val="00223783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B34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089D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0EC9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578CC"/>
    <w:rsid w:val="00360039"/>
    <w:rsid w:val="003620C5"/>
    <w:rsid w:val="003724EF"/>
    <w:rsid w:val="00372526"/>
    <w:rsid w:val="00372DDF"/>
    <w:rsid w:val="00375836"/>
    <w:rsid w:val="0037586C"/>
    <w:rsid w:val="0038330D"/>
    <w:rsid w:val="00387A6E"/>
    <w:rsid w:val="003940F2"/>
    <w:rsid w:val="00395F31"/>
    <w:rsid w:val="003A306B"/>
    <w:rsid w:val="003A3BD5"/>
    <w:rsid w:val="003A4191"/>
    <w:rsid w:val="003A67C3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1EDC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4147"/>
    <w:rsid w:val="00485352"/>
    <w:rsid w:val="00487672"/>
    <w:rsid w:val="00487D9D"/>
    <w:rsid w:val="00491194"/>
    <w:rsid w:val="0049674A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17385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0B54"/>
    <w:rsid w:val="00581438"/>
    <w:rsid w:val="005815D6"/>
    <w:rsid w:val="005818CC"/>
    <w:rsid w:val="0058623D"/>
    <w:rsid w:val="00596648"/>
    <w:rsid w:val="005A03D1"/>
    <w:rsid w:val="005A0AE7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52BE"/>
    <w:rsid w:val="005F552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B7FF5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5ED9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2110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6C39"/>
    <w:rsid w:val="008675F4"/>
    <w:rsid w:val="0086767D"/>
    <w:rsid w:val="0087204D"/>
    <w:rsid w:val="0087375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A473E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42C9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1C05"/>
    <w:rsid w:val="009572F4"/>
    <w:rsid w:val="009579CA"/>
    <w:rsid w:val="00957A5B"/>
    <w:rsid w:val="00971677"/>
    <w:rsid w:val="0097291D"/>
    <w:rsid w:val="00973715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29B9"/>
    <w:rsid w:val="009A332F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C7212"/>
    <w:rsid w:val="009D2A58"/>
    <w:rsid w:val="009D328C"/>
    <w:rsid w:val="009D3A25"/>
    <w:rsid w:val="009D40D5"/>
    <w:rsid w:val="009D5F39"/>
    <w:rsid w:val="009E48D6"/>
    <w:rsid w:val="009E4AB3"/>
    <w:rsid w:val="009E58B5"/>
    <w:rsid w:val="009F127D"/>
    <w:rsid w:val="009F2B43"/>
    <w:rsid w:val="009F3C46"/>
    <w:rsid w:val="009F6503"/>
    <w:rsid w:val="00A00711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0DC1"/>
    <w:rsid w:val="00A63B63"/>
    <w:rsid w:val="00A64E25"/>
    <w:rsid w:val="00A65F52"/>
    <w:rsid w:val="00A716C7"/>
    <w:rsid w:val="00A723A5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36B8"/>
    <w:rsid w:val="00AA58BA"/>
    <w:rsid w:val="00AB01CF"/>
    <w:rsid w:val="00AB0216"/>
    <w:rsid w:val="00AB2247"/>
    <w:rsid w:val="00AB24EA"/>
    <w:rsid w:val="00AB60B1"/>
    <w:rsid w:val="00AC35D0"/>
    <w:rsid w:val="00AD055F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6BA8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4806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4F68"/>
    <w:rsid w:val="00C869EA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0BFF"/>
    <w:rsid w:val="00CC1AE0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0FB"/>
    <w:rsid w:val="00CF66AC"/>
    <w:rsid w:val="00D00A49"/>
    <w:rsid w:val="00D01187"/>
    <w:rsid w:val="00D0229D"/>
    <w:rsid w:val="00D044BC"/>
    <w:rsid w:val="00D04DC2"/>
    <w:rsid w:val="00D05529"/>
    <w:rsid w:val="00D10419"/>
    <w:rsid w:val="00D1144A"/>
    <w:rsid w:val="00D12853"/>
    <w:rsid w:val="00D131D4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03BC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202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4D87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0580"/>
    <w:rsid w:val="00F0129B"/>
    <w:rsid w:val="00F014F2"/>
    <w:rsid w:val="00F060FF"/>
    <w:rsid w:val="00F07B19"/>
    <w:rsid w:val="00F07CB6"/>
    <w:rsid w:val="00F07CEC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D24B6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9674A"/>
    <w:rPr>
      <w:rFonts w:ascii="Tahoma" w:eastAsiaTheme="minorEastAsia" w:hAnsi="Tahoma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5332</Words>
  <Characters>31677</Characters>
  <Application>Microsoft Office Word</Application>
  <DocSecurity>0</DocSecurity>
  <Lines>536</Lines>
  <Paragraphs>240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2025-11-28T14:40:00Z</cp:lastPrinted>
  <dcterms:created xsi:type="dcterms:W3CDTF">2025-12-12T10:04:00Z</dcterms:created>
  <dcterms:modified xsi:type="dcterms:W3CDTF">2025-12-12T10:07:00Z</dcterms:modified>
</cp:coreProperties>
</file>