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tbl>
      <w:tblPr>
        <w:tblW w:w="9639" w:type="dxa"/>
        <w:tblLayout w:type="fixed"/>
        <w:tblCellMar>
          <w:left w:w="0" w:type="dxa"/>
          <w:right w:w="0" w:type="dxa"/>
        </w:tblCellMar>
        <w:tblLook w:val="0000"/>
      </w:tblPr>
      <w:tblGrid>
        <w:gridCol w:w="630"/>
        <w:gridCol w:w="9009"/>
      </w:tblGrid>
      <w:tr w:rsidTr="008C1233">
        <w:tblPrEx>
          <w:tblW w:w="9639" w:type="dxa"/>
          <w:tblLayout w:type="fixed"/>
          <w:tblCellMar>
            <w:left w:w="0" w:type="dxa"/>
            <w:right w:w="0" w:type="dxa"/>
          </w:tblCellMar>
          <w:tblLook w:val="0000"/>
        </w:tblPrEx>
        <w:tc>
          <w:tcPr>
            <w:tcW w:w="9639" w:type="dxa"/>
            <w:gridSpan w:val="2"/>
            <w:tcBorders>
              <w:top w:val="nil"/>
              <w:left w:val="nil"/>
              <w:bottom w:val="nil"/>
              <w:right w:val="nil"/>
            </w:tcBorders>
            <w:noWrap/>
            <w:tcMar>
              <w:left w:w="0" w:type="dxa"/>
              <w:right w:w="0" w:type="dxa"/>
            </w:tcMar>
          </w:tcPr>
          <w:p w:rsidR="006F1C2D" w:rsidRPr="006F1C2D" w:rsidP="00EB41AE">
            <w:pPr>
              <w:spacing w:after="40"/>
              <w:jc w:val="both"/>
              <w:rPr>
                <w:rFonts w:cs="Arial"/>
                <w:sz w:val="14"/>
                <w:szCs w:val="18"/>
              </w:rPr>
            </w:pPr>
            <w:bookmarkStart w:id="0" w:name="ceska"/>
            <w:bookmarkStart w:id="1" w:name="S_D1_optJazykCZ_ALL"/>
            <w:bookmarkStart w:id="2" w:name="_GoBack"/>
            <w:bookmarkEnd w:id="2"/>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bookmarkStart w:id="3" w:name="CZ_start"/>
            <w:bookmarkEnd w:id="3"/>
          </w:p>
        </w:tc>
      </w:tr>
      <w:tr w:rsidTr="008C1233">
        <w:tblPrEx>
          <w:tblW w:w="9639" w:type="dxa"/>
          <w:tblLayout w:type="fixed"/>
          <w:tblCellMar>
            <w:left w:w="0" w:type="dxa"/>
            <w:right w:w="0" w:type="dxa"/>
          </w:tblCellMar>
          <w:tblLook w:val="0000"/>
        </w:tblPrEx>
        <w:trPr>
          <w:trHeight w:hRule="exact" w:val="57"/>
        </w:trPr>
        <w:tc>
          <w:tcPr>
            <w:tcW w:w="9639" w:type="dxa"/>
            <w:gridSpan w:val="2"/>
            <w:tcBorders>
              <w:top w:val="nil"/>
              <w:left w:val="nil"/>
              <w:bottom w:val="nil"/>
              <w:right w:val="nil"/>
            </w:tcBorders>
            <w:noWrap/>
            <w:tcMar>
              <w:left w:w="0" w:type="dxa"/>
              <w:right w:w="0" w:type="dxa"/>
            </w:tcMar>
          </w:tcPr>
          <w:p w:rsidR="006F1C2D" w:rsidRPr="00844DB6" w:rsidP="006F1C2D">
            <w:pPr>
              <w:spacing w:after="40"/>
              <w:jc w:val="both"/>
              <w:rPr>
                <w:rFonts w:cs="Arial"/>
                <w:sz w:val="14"/>
                <w:szCs w:val="1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Tr="008C1233">
        <w:tblPrEx>
          <w:tblW w:w="9639" w:type="dxa"/>
          <w:tblLayout w:type="fixed"/>
          <w:tblCellMar>
            <w:left w:w="0" w:type="dxa"/>
            <w:right w:w="0" w:type="dxa"/>
          </w:tblCellMar>
          <w:tblLook w:val="0000"/>
        </w:tblPrEx>
        <w:trPr>
          <w:trHeight w:hRule="exact" w:val="57"/>
        </w:trPr>
        <w:tc>
          <w:tcPr>
            <w:tcW w:w="9639" w:type="dxa"/>
            <w:gridSpan w:val="2"/>
            <w:tcBorders>
              <w:top w:val="nil"/>
              <w:left w:val="nil"/>
              <w:bottom w:val="nil"/>
              <w:right w:val="nil"/>
            </w:tcBorders>
            <w:noWrap/>
            <w:tcMar>
              <w:left w:w="0" w:type="dxa"/>
              <w:right w:w="0" w:type="dxa"/>
            </w:tcMar>
          </w:tcPr>
          <w:p w:rsidR="006F1C2D" w:rsidRPr="006F1C2D" w:rsidP="00E95D3B">
            <w:pPr>
              <w:keepNext/>
              <w:spacing w:after="40"/>
              <w:jc w:val="both"/>
              <w:rPr>
                <w:rFonts w:cs="Arial"/>
                <w:sz w:val="14"/>
                <w:szCs w:val="18"/>
                <w:lang w:val="en-GB"/>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6F1C2D" w:rsidRPr="006F1C2D" w:rsidP="006F1C2D">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6F1C2D" w:rsidRPr="006F1C2D" w:rsidP="006F1C2D">
            <w:pPr>
              <w:tabs>
                <w:tab w:val="num" w:pos="425"/>
              </w:tabs>
              <w:jc w:val="both"/>
              <w:rPr>
                <w:rFonts w:cs="Arial"/>
                <w:sz w:val="14"/>
                <w:szCs w:val="18"/>
              </w:rPr>
            </w:pPr>
            <w:r w:rsidRPr="006F1C2D">
              <w:rPr>
                <w:rFonts w:cs="Arial"/>
                <w:sz w:val="14"/>
                <w:szCs w:val="18"/>
              </w:rPr>
              <w:t>Identifikační údaje:</w:t>
            </w:r>
          </w:p>
          <w:p w:rsidR="006F1C2D" w:rsidRPr="006F1C2D" w:rsidP="006F1C2D">
            <w:pPr>
              <w:tabs>
                <w:tab w:val="num" w:pos="425"/>
              </w:tabs>
              <w:jc w:val="both"/>
              <w:rPr>
                <w:rFonts w:cs="Arial"/>
                <w:sz w:val="14"/>
                <w:szCs w:val="18"/>
              </w:rPr>
            </w:pPr>
            <w:r w:rsidRPr="006F1C2D">
              <w:rPr>
                <w:rFonts w:cs="Arial"/>
                <w:sz w:val="14"/>
                <w:szCs w:val="18"/>
              </w:rPr>
              <w:t>sídlo: Praha 1, Na Příkopě 33, čp. 969, PSČ 114 07,</w:t>
            </w:r>
            <w:r w:rsidR="00A7350A">
              <w:rPr>
                <w:rFonts w:cs="Arial"/>
                <w:sz w:val="14"/>
                <w:szCs w:val="18"/>
              </w:rPr>
              <w:t xml:space="preserve"> </w:t>
            </w:r>
          </w:p>
          <w:p w:rsidR="006F1C2D" w:rsidRPr="006F1C2D" w:rsidP="006F1C2D">
            <w:pPr>
              <w:tabs>
                <w:tab w:val="num" w:pos="425"/>
              </w:tabs>
              <w:jc w:val="both"/>
              <w:rPr>
                <w:rFonts w:cs="Arial"/>
                <w:sz w:val="14"/>
                <w:szCs w:val="18"/>
              </w:rPr>
            </w:pPr>
            <w:r w:rsidRPr="006F1C2D">
              <w:rPr>
                <w:rFonts w:cs="Arial"/>
                <w:sz w:val="14"/>
                <w:szCs w:val="18"/>
              </w:rPr>
              <w:t>IČO: 45317054,</w:t>
            </w:r>
            <w:r w:rsidR="00A7350A">
              <w:rPr>
                <w:rFonts w:cs="Arial"/>
                <w:sz w:val="14"/>
                <w:szCs w:val="18"/>
              </w:rPr>
              <w:t xml:space="preserve"> </w:t>
            </w:r>
          </w:p>
          <w:p w:rsidR="006F1C2D" w:rsidRPr="006F1C2D" w:rsidP="006F1C2D">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6F1C2D" w:rsidRPr="006F1C2D" w:rsidP="006F1C2D">
            <w:pPr>
              <w:tabs>
                <w:tab w:val="num" w:pos="425"/>
              </w:tabs>
              <w:jc w:val="both"/>
              <w:rPr>
                <w:rFonts w:cs="Arial"/>
                <w:sz w:val="14"/>
                <w:szCs w:val="18"/>
              </w:rPr>
            </w:pPr>
            <w:r w:rsidRPr="006F1C2D">
              <w:rPr>
                <w:rFonts w:cs="Arial"/>
                <w:sz w:val="14"/>
                <w:szCs w:val="18"/>
              </w:rPr>
              <w:t>číselný kód: 0100,</w:t>
            </w:r>
            <w:r w:rsidR="00A7350A">
              <w:rPr>
                <w:rFonts w:cs="Arial"/>
                <w:sz w:val="14"/>
                <w:szCs w:val="18"/>
              </w:rPr>
              <w:t xml:space="preserve"> </w:t>
            </w:r>
          </w:p>
          <w:p w:rsidR="006F1C2D" w:rsidRPr="006F1C2D" w:rsidP="006F1C2D">
            <w:pPr>
              <w:tabs>
                <w:tab w:val="num" w:pos="425"/>
              </w:tabs>
              <w:jc w:val="both"/>
              <w:rPr>
                <w:rFonts w:cs="Arial"/>
                <w:sz w:val="14"/>
                <w:szCs w:val="18"/>
              </w:rPr>
            </w:pPr>
            <w:r w:rsidRPr="006F1C2D">
              <w:rPr>
                <w:rFonts w:cs="Arial"/>
                <w:sz w:val="14"/>
                <w:szCs w:val="18"/>
              </w:rPr>
              <w:t>znakový kód: KOMB,</w:t>
            </w:r>
          </w:p>
          <w:p w:rsidR="006F1C2D" w:rsidRPr="006F1C2D" w:rsidP="006F1C2D">
            <w:pPr>
              <w:tabs>
                <w:tab w:val="num" w:pos="425"/>
              </w:tabs>
              <w:spacing w:after="40"/>
              <w:jc w:val="both"/>
              <w:rPr>
                <w:rFonts w:cs="Arial"/>
                <w:sz w:val="14"/>
                <w:szCs w:val="18"/>
              </w:rPr>
            </w:pPr>
            <w:r w:rsidRPr="006F1C2D">
              <w:rPr>
                <w:rFonts w:cs="Arial"/>
                <w:sz w:val="14"/>
                <w:szCs w:val="18"/>
              </w:rPr>
              <w:t>BIC / SWIFT kód: KOMBCZPPXXX (pro 8místnou variantu: KOMBCZPP).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1.3</w:t>
            </w:r>
          </w:p>
        </w:tc>
        <w:tc>
          <w:tcPr>
            <w:tcW w:w="9009" w:type="dxa"/>
            <w:tcBorders>
              <w:left w:val="single" w:sz="6" w:space="0" w:color="C8C8C8"/>
            </w:tcBorders>
            <w:noWrap/>
            <w:tcMar>
              <w:left w:w="113" w:type="dxa"/>
              <w:right w:w="113" w:type="dxa"/>
            </w:tcMar>
          </w:tcPr>
          <w:p w:rsidR="006F1C2D" w:rsidRPr="006F1C2D" w:rsidP="006F1C2D">
            <w:pPr>
              <w:tabs>
                <w:tab w:val="num" w:pos="426"/>
              </w:tabs>
              <w:overflowPunct w:val="0"/>
              <w:autoSpaceDE w:val="0"/>
              <w:autoSpaceDN w:val="0"/>
              <w:spacing w:before="40" w:after="40"/>
              <w:jc w:val="both"/>
              <w:rPr>
                <w:rFonts w:cs="Arial"/>
                <w:sz w:val="14"/>
                <w:szCs w:val="18"/>
              </w:rPr>
            </w:pPr>
            <w:r w:rsidRPr="006F1C2D">
              <w:rPr>
                <w:rFonts w:cs="Arial"/>
                <w:sz w:val="14"/>
                <w:szCs w:val="18"/>
              </w:rPr>
              <w:t>Činnost Banky podléhá dohledu ze strany ČNB.</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6F1C2D" w:rsidRPr="006F1C2D" w:rsidP="006F1C2D">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9974BF">
              <w:rPr>
                <w:rFonts w:cs="Arial"/>
                <w:sz w:val="14"/>
                <w:szCs w:val="18"/>
              </w:rPr>
              <w:t xml:space="preserve"> </w:t>
            </w:r>
            <w:r w:rsidRPr="006F1C2D">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w:t>
            </w:r>
            <w:r w:rsidR="009974BF">
              <w:rPr>
                <w:rFonts w:cs="Arial"/>
                <w:sz w:val="14"/>
                <w:szCs w:val="18"/>
              </w:rPr>
              <w:t xml:space="preserve"> </w:t>
            </w:r>
            <w:r w:rsidRPr="006F1C2D">
              <w:rPr>
                <w:rFonts w:cs="Arial"/>
                <w:sz w:val="14"/>
                <w:szCs w:val="18"/>
              </w:rPr>
              <w:t>Smluvní dokument ve znění navrhovaných změn.</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6F1C2D" w:rsidRPr="006F1C2D" w:rsidP="006F1C2D">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b/>
                <w:sz w:val="14"/>
                <w:szCs w:val="18"/>
              </w:rPr>
              <w:t>Povinné zveřejňování Smluv.</w:t>
            </w:r>
            <w:r w:rsidRPr="006F1C2D">
              <w:rPr>
                <w:rFonts w:cs="Arial"/>
                <w:sz w:val="14"/>
                <w:szCs w:val="18"/>
              </w:rPr>
              <w:t xml:space="preserve"> Ukládají-li právní předpisy</w:t>
            </w:r>
            <w:r>
              <w:rPr>
                <w:rFonts w:cs="Arial"/>
                <w:position w:val="4"/>
                <w:sz w:val="12"/>
                <w:szCs w:val="18"/>
              </w:rPr>
              <w:footnoteReference w:id="2"/>
            </w:r>
            <w:r w:rsidRPr="006F1C2D">
              <w:rPr>
                <w:rFonts w:cs="Arial"/>
                <w:sz w:val="14"/>
                <w:szCs w:val="18"/>
              </w:rPr>
              <w:t xml:space="preserve"> Klientovi povinnost zveřejnit Smlouvu a Klient takovou povinnost nesplní, je Banka oprávněna takovou Smlouvu zveřejnit příslušným způsobem sama.</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A468FF" w:rsidRPr="006F1C2D" w:rsidP="006F1C2D">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A468FF" w:rsidRPr="006F1C2D" w:rsidP="006F1C2D">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 nebo U.S. osobou.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2</w:t>
            </w:r>
          </w:p>
        </w:tc>
        <w:tc>
          <w:tcPr>
            <w:tcW w:w="9009" w:type="dxa"/>
            <w:tcBorders>
              <w:left w:val="single" w:sz="6" w:space="0" w:color="C8C8C8"/>
            </w:tcBorders>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sz w:val="14"/>
                <w:szCs w:val="18"/>
              </w:rPr>
              <w:t xml:space="preserve">Banka je oprávněna stanovit rozsah vyžadovaných dokumentů a informací. Banka je v rámci plnění svých povinností vyplývajících z právních předpisů </w:t>
            </w:r>
            <w:r>
              <w:rPr>
                <w:rFonts w:cs="Arial"/>
                <w:position w:val="4"/>
                <w:sz w:val="12"/>
                <w:szCs w:val="18"/>
              </w:rPr>
              <w:footnoteReference w:id="3"/>
            </w:r>
            <w:r w:rsidRPr="006F1C2D">
              <w:rPr>
                <w:rFonts w:cs="Arial"/>
                <w:sz w:val="14"/>
                <w:szCs w:val="18"/>
              </w:rPr>
              <w:t xml:space="preserve"> oprávněna provádět identifikaci a kontrolu, plnit svou informační povinnost, zjišťovat a zpracovávat údaje o účastnících Bankovní služby, vést evidenci takto získaných údajů, to vše v souladu se smluvními ujednáními a právními předpisy.</w:t>
            </w:r>
            <w:r>
              <w:rPr>
                <w:rFonts w:cs="Arial"/>
                <w:position w:val="4"/>
                <w:sz w:val="12"/>
                <w:szCs w:val="18"/>
              </w:rPr>
              <w:footnoteReference w:id="4"/>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3</w:t>
            </w:r>
          </w:p>
        </w:tc>
        <w:tc>
          <w:tcPr>
            <w:tcW w:w="9009" w:type="dxa"/>
            <w:tcBorders>
              <w:left w:val="single" w:sz="6" w:space="0" w:color="C8C8C8"/>
            </w:tcBorders>
            <w:noWrap/>
            <w:tcMar>
              <w:left w:w="113" w:type="dxa"/>
              <w:right w:w="113" w:type="dxa"/>
            </w:tcMar>
          </w:tcPr>
          <w:p w:rsidR="006F1C2D" w:rsidRPr="006F1C2D" w:rsidP="006F1C2D">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Banka je oprávněna pořídit si pro vlastní potřebu kopie předložených dokumentů i jakýkoli autentický (písemný, zvukový či elektronický) záznam o komunikaci s Klientem, včetně evidence a záznamu telefonických hovorů, a uchovávat je. Pokud právní předpis nestanoví jinak, Klient, Skutečný majitel, osoby jednající jménem nebo za Klienta souhlasí s pořízením záznamu, s jeho uchováním a s tím, že takovýto záznam může být v případě potřeby využit jako důkazní prostředek. Banka není povinna takovýto záznam uvedeným osobám poskytnout, nestanoví-li právní předpis jinak.</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6F1C2D" w:rsidRPr="006F1C2D" w:rsidP="006F1C2D">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Pr>
                <w:rFonts w:cs="Arial"/>
                <w:position w:val="4"/>
                <w:sz w:val="12"/>
                <w:szCs w:val="18"/>
              </w:rPr>
              <w:footnoteReference w:id="5"/>
            </w:r>
            <w:r w:rsidRPr="006F1C2D">
              <w:rPr>
                <w:rFonts w:cs="Arial"/>
                <w:sz w:val="14"/>
                <w:szCs w:val="18"/>
              </w:rPr>
              <w:t xml:space="preserve"> na svých internetových stránkách.</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4.2</w:t>
            </w:r>
          </w:p>
        </w:tc>
        <w:tc>
          <w:tcPr>
            <w:tcW w:w="9009" w:type="dxa"/>
            <w:tcBorders>
              <w:left w:val="single" w:sz="6" w:space="0" w:color="C8C8C8"/>
            </w:tcBorders>
            <w:noWrap/>
            <w:tcMar>
              <w:left w:w="113" w:type="dxa"/>
              <w:right w:w="113" w:type="dxa"/>
            </w:tcMar>
          </w:tcPr>
          <w:p w:rsidR="006F1C2D" w:rsidRPr="006F1C2D" w:rsidP="00A23369">
            <w:pPr>
              <w:spacing w:before="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6F1C2D" w:rsidRPr="006F1C2D" w:rsidP="00591D95">
            <w:pPr>
              <w:numPr>
                <w:ilvl w:val="0"/>
                <w:numId w:val="3"/>
              </w:numPr>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rsidR="006F1C2D" w:rsidRPr="006F1C2D" w:rsidP="00591D95">
            <w:pPr>
              <w:numPr>
                <w:ilvl w:val="0"/>
                <w:numId w:val="3"/>
              </w:numPr>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6F1C2D" w:rsidRPr="006F1C2D" w:rsidP="00591D95">
            <w:pPr>
              <w:numPr>
                <w:ilvl w:val="0"/>
                <w:numId w:val="3"/>
              </w:numPr>
              <w:ind w:left="227" w:hanging="227"/>
              <w:jc w:val="both"/>
              <w:rPr>
                <w:rFonts w:cs="Arial"/>
                <w:sz w:val="14"/>
                <w:szCs w:val="18"/>
              </w:rPr>
            </w:pPr>
            <w:r w:rsidRPr="006F1C2D">
              <w:rPr>
                <w:rFonts w:cs="Arial"/>
                <w:sz w:val="14"/>
                <w:szCs w:val="18"/>
              </w:rPr>
              <w:t xml:space="preserve">změně skutečností určujících status Politicky exponované osoby nebo U.S. osoby, </w:t>
            </w:r>
          </w:p>
          <w:p w:rsidR="006F1C2D" w:rsidRPr="00A23369" w:rsidP="00591D95">
            <w:pPr>
              <w:numPr>
                <w:ilvl w:val="0"/>
                <w:numId w:val="3"/>
              </w:numPr>
              <w:ind w:left="227" w:hanging="227"/>
              <w:jc w:val="both"/>
              <w:rPr>
                <w:rFonts w:cs="Arial"/>
                <w:spacing w:val="-2"/>
                <w:sz w:val="14"/>
                <w:szCs w:val="18"/>
              </w:rPr>
            </w:pPr>
            <w:r w:rsidRPr="00A23369">
              <w:rPr>
                <w:rFonts w:cs="Arial"/>
                <w:spacing w:val="-2"/>
                <w:sz w:val="14"/>
                <w:szCs w:val="18"/>
              </w:rPr>
              <w:t>dalších změnách a skutečnostech, které mají nebo mohou mít podstatný vliv na poskytování Bankovních služeb,</w:t>
            </w:r>
            <w:r w:rsidR="009974BF">
              <w:rPr>
                <w:rFonts w:cs="Arial"/>
                <w:spacing w:val="-2"/>
                <w:sz w:val="14"/>
                <w:szCs w:val="18"/>
              </w:rPr>
              <w:t xml:space="preserve"> </w:t>
            </w:r>
            <w:r w:rsidRPr="00A23369">
              <w:rPr>
                <w:rFonts w:cs="Arial"/>
                <w:spacing w:val="-2"/>
                <w:sz w:val="14"/>
                <w:szCs w:val="18"/>
              </w:rPr>
              <w:t xml:space="preserve">na plnění povinností Klienta vůči Bance a dále na právní postavení Klienta (například vstup do likvidace, zahájení insolvenčního řízení, omezení svéprávnosti a podobně) a nebo osob jednajících jménem nebo za Klienta nebo na Skutečného majitele, </w:t>
            </w:r>
          </w:p>
          <w:p w:rsidR="006F1C2D" w:rsidRPr="006F1C2D" w:rsidP="00591D95">
            <w:pPr>
              <w:numPr>
                <w:ilvl w:val="0"/>
                <w:numId w:val="3"/>
              </w:numPr>
              <w:spacing w:after="40"/>
              <w:ind w:left="227" w:hanging="227"/>
              <w:jc w:val="both"/>
              <w:rPr>
                <w:rFonts w:cs="Arial"/>
                <w:sz w:val="14"/>
                <w:szCs w:val="18"/>
              </w:rPr>
            </w:pPr>
            <w:r w:rsidRPr="006F1C2D">
              <w:rPr>
                <w:rFonts w:cs="Arial"/>
                <w:sz w:val="14"/>
                <w:szCs w:val="18"/>
              </w:rPr>
              <w:t>ztrátě dokumentů zásadního významu v souvislosti s poskytováním Bankovních služeb, jakož i dokladů identifikujících Klienta nebo osoby jednající jménem nebo za Klienta.</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4.3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4.4</w:t>
            </w:r>
          </w:p>
        </w:tc>
        <w:tc>
          <w:tcPr>
            <w:tcW w:w="9009" w:type="dxa"/>
            <w:tcBorders>
              <w:left w:val="single" w:sz="6" w:space="0" w:color="C8C8C8"/>
            </w:tcBorders>
            <w:noWrap/>
            <w:tcMar>
              <w:left w:w="113" w:type="dxa"/>
              <w:right w:w="113" w:type="dxa"/>
            </w:tcMar>
          </w:tcPr>
          <w:p w:rsidR="006F1C2D" w:rsidRPr="006F1C2D" w:rsidP="006F1C2D">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E95D3B">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6F1C2D" w:rsidRPr="006F1C2D" w:rsidP="00E95D3B">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1424D1">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6F1C2D" w:rsidRPr="006F1C2D" w:rsidP="00550AC3">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bookmarkStart w:id="4" w:name="_DV_M59"/>
            <w:bookmarkEnd w:id="4"/>
            <w:r>
              <w:rPr>
                <w:rFonts w:cs="Arial"/>
                <w:position w:val="4"/>
                <w:sz w:val="12"/>
                <w:szCs w:val="18"/>
                <w:lang w:eastAsia="cs-CZ"/>
              </w:rPr>
              <w:footnoteReference w:id="6"/>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přímého bankovnictví, kterou si Klient zřídil, nebo jiným dohodnutým způsobem. Pokud se Klient s Bankou nedohodne jinak, považuje se za Kontaktní adresu u Klienta spotřebitele adresa jeho trvalého pobytu a u ostatních Klientů adresa jejich sídla.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8.2</w:t>
            </w:r>
          </w:p>
        </w:tc>
        <w:tc>
          <w:tcPr>
            <w:tcW w:w="9009" w:type="dxa"/>
            <w:tcBorders>
              <w:left w:val="single" w:sz="6" w:space="0" w:color="C8C8C8"/>
            </w:tcBorders>
            <w:noWrap/>
            <w:tcMar>
              <w:left w:w="113" w:type="dxa"/>
              <w:right w:w="113" w:type="dxa"/>
            </w:tcMar>
          </w:tcPr>
          <w:p w:rsidR="006F1C2D" w:rsidRPr="00591D95" w:rsidP="006F1C2D">
            <w:pPr>
              <w:spacing w:before="40" w:after="40"/>
              <w:jc w:val="both"/>
              <w:rPr>
                <w:rFonts w:cs="Arial"/>
                <w:spacing w:val="-2"/>
                <w:sz w:val="14"/>
                <w:szCs w:val="18"/>
              </w:rPr>
            </w:pPr>
            <w:r w:rsidRPr="00591D95">
              <w:rPr>
                <w:rFonts w:cs="Arial"/>
                <w:spacing w:val="-2"/>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přímého bankovnictví, faxem či e-mailem. Banka se může s Klientem dohodnout na doručování Zásilek prostřednictvím Zmocněnce pro doručování. Smluvní dokumenty či jejich změny dle článku 31 VOP doručuje Banka Klientovi přednostně do příslušné schránky ve službě přímého bankovnictví, má-li Klient takovou službu zřízenu. Klient se může s Bankou dohodnout na doručování dokumentů dle předchozí věty přednostně prostřednictvím elektronické pošty (e-mailem). Sítě elektronických komunikací (veřejné telefonní linky, linky mobilních sítí, e-mail a fax) sloužící pro doručování Zásilek však nejsou pod přímou kontrolou Banky, která tak neodpovídá za škodu způsobenou Klientovi jejich případným zneužitím.</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Ostatní Zásilky Klientovi se považují za doručené 3. pracovní den po jejich odeslání na území České republiky či 15. pracovní den po jejich odeslání do zahraničí. To však neplatí v případě, pokud se Banka dozví o doručení Zásilky před uplynutím této doby.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6F1C2D" w:rsidRPr="006F1C2D" w:rsidP="005E4B7A">
            <w:pPr>
              <w:spacing w:before="40" w:after="40"/>
              <w:jc w:val="both"/>
              <w:rPr>
                <w:rFonts w:cs="Arial"/>
                <w:sz w:val="14"/>
                <w:szCs w:val="18"/>
              </w:rPr>
            </w:pPr>
            <w:r w:rsidRPr="006F1C2D">
              <w:rPr>
                <w:rFonts w:cs="Arial"/>
                <w:sz w:val="14"/>
                <w:szCs w:val="18"/>
              </w:rPr>
              <w:t xml:space="preserve">Zásilky doručované prostřednictvím služeb přímého bankovnictví se považují za doručené okamžikem jejich umístění a zobrazení v příslušné službě. Zásilky zaslané faxem se považují za doručené okamžikem potvrzení úspěšného odeslání generovaného přístrojem odesílatele. Zásilky zasílané prostřednictvím elektronické pošty se považují za doručené okamžikem oznámení o jejich přijetí serverem příjemce, </w:t>
            </w:r>
            <w:r w:rsidRPr="006F1C2D" w:rsidR="005E4B7A">
              <w:rPr>
                <w:rFonts w:cs="Arial"/>
                <w:sz w:val="14"/>
                <w:szCs w:val="18"/>
              </w:rPr>
              <w:t>nebude</w:t>
            </w:r>
            <w:r w:rsidR="005E4B7A">
              <w:rPr>
                <w:rFonts w:cs="Arial"/>
                <w:sz w:val="14"/>
                <w:szCs w:val="18"/>
              </w:rPr>
              <w:noBreakHyphen/>
            </w:r>
            <w:r w:rsidRPr="006F1C2D" w:rsidR="005E4B7A">
              <w:rPr>
                <w:rFonts w:cs="Arial"/>
                <w:sz w:val="14"/>
                <w:szCs w:val="18"/>
              </w:rPr>
              <w:t>li</w:t>
            </w:r>
            <w:r w:rsidRPr="006F1C2D">
              <w:rPr>
                <w:rFonts w:cs="Arial"/>
                <w:sz w:val="14"/>
                <w:szCs w:val="18"/>
              </w:rPr>
              <w:t xml:space="preserve"> pro příslušnou Bankovní službu nebo v souvislosti s ní stanoveno jinak.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9974BF">
              <w:rPr>
                <w:rFonts w:cs="Arial"/>
                <w:sz w:val="14"/>
                <w:szCs w:val="18"/>
              </w:rPr>
              <w:t xml:space="preserve"> </w:t>
            </w:r>
            <w:r w:rsidRPr="006F1C2D">
              <w:rPr>
                <w:rFonts w:cs="Arial"/>
                <w:sz w:val="14"/>
                <w:szCs w:val="18"/>
              </w:rPr>
              <w:t xml:space="preserve">Není-li ve Smlouvě stanoveno jinak, je Smlouva uzavírána na dobu neurčitou.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sz w:val="14"/>
                <w:szCs w:val="18"/>
              </w:rPr>
              <w:t>Smlouva je uzavřena až po dosažení shody o všech jejích náležitostech.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bookmarkStart w:id="5" w:name="_DV_C92"/>
            <w:r>
              <w:rPr>
                <w:rFonts w:cs="Arial"/>
                <w:position w:val="4"/>
                <w:sz w:val="12"/>
                <w:szCs w:val="18"/>
              </w:rPr>
              <w:footnoteReference w:id="7"/>
            </w:r>
            <w:r w:rsidRPr="006F1C2D">
              <w:rPr>
                <w:rFonts w:cs="Arial"/>
                <w:sz w:val="14"/>
                <w:szCs w:val="18"/>
              </w:rPr>
              <w:t xml:space="preserve"> na svůj smluvní vztah založený Smlouvou.</w:t>
            </w:r>
            <w:bookmarkEnd w:id="5"/>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10.3</w:t>
            </w:r>
          </w:p>
        </w:tc>
        <w:tc>
          <w:tcPr>
            <w:tcW w:w="9009" w:type="dxa"/>
            <w:tcBorders>
              <w:left w:val="single" w:sz="6" w:space="0" w:color="C8C8C8"/>
            </w:tcBorders>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w:t>
            </w:r>
            <w:bookmarkStart w:id="6" w:name="_DV_C98"/>
            <w:r w:rsidRPr="006F1C2D">
              <w:rPr>
                <w:rFonts w:cs="Arial"/>
                <w:sz w:val="14"/>
                <w:szCs w:val="18"/>
              </w:rPr>
              <w:t>souhlasí s tím</w:t>
            </w:r>
            <w:bookmarkStart w:id="7" w:name="_DV_M101"/>
            <w:bookmarkEnd w:id="6"/>
            <w:bookmarkEnd w:id="7"/>
            <w:r w:rsidRPr="006F1C2D">
              <w:rPr>
                <w:rFonts w:cs="Arial"/>
                <w:sz w:val="14"/>
                <w:szCs w:val="18"/>
              </w:rPr>
              <w:t xml:space="preserve">, že neodporuje-li to v konkrétním případě právním předpisům, promlčují se veškerá práva a pohledávky Banky za Klientem ve lhůtě </w:t>
            </w:r>
            <w:bookmarkStart w:id="8" w:name="_DV_C99"/>
            <w:r w:rsidRPr="006F1C2D">
              <w:rPr>
                <w:rFonts w:cs="Arial"/>
                <w:sz w:val="14"/>
                <w:szCs w:val="18"/>
              </w:rPr>
              <w:t>patnácti let, a tam, kde se pro daný právní vztah použije právní úprava platná před účinností občanského zákoníku</w:t>
            </w:r>
            <w:r>
              <w:rPr>
                <w:rFonts w:cs="Arial"/>
                <w:position w:val="4"/>
                <w:sz w:val="12"/>
                <w:szCs w:val="18"/>
              </w:rPr>
              <w:footnoteReference w:id="8"/>
            </w:r>
            <w:r w:rsidRPr="006F1C2D">
              <w:rPr>
                <w:rFonts w:cs="Arial"/>
                <w:sz w:val="14"/>
                <w:szCs w:val="18"/>
              </w:rPr>
              <w:t xml:space="preserve">, ve lhůtě </w:t>
            </w:r>
            <w:bookmarkStart w:id="9" w:name="_DV_M102"/>
            <w:bookmarkEnd w:id="8"/>
            <w:bookmarkEnd w:id="9"/>
            <w:r w:rsidRPr="006F1C2D">
              <w:rPr>
                <w:rFonts w:cs="Arial"/>
                <w:sz w:val="14"/>
                <w:szCs w:val="18"/>
              </w:rPr>
              <w:t xml:space="preserve">deseti let ode dne, kdy mohla být Bankou vykonána/uplatněna poprvé.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10.4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Mobilita klientů.</w:t>
            </w:r>
            <w:r w:rsidRPr="006F1C2D">
              <w:rPr>
                <w:rFonts w:cs="Arial"/>
                <w:sz w:val="14"/>
                <w:szCs w:val="18"/>
              </w:rPr>
              <w:t xml:space="preserve"> Na základě a za podmínek uvedených v Kodexu ČBA „Mobilita klientů – postup při změně banky“ umožňuje Banka přechod Klienta do jiné banky. </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 xml:space="preserve">Banka zřizuje a vede Účty na základě Smlouvy.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w:t>
            </w:r>
            <w:r w:rsidRPr="006F1C2D">
              <w:rPr>
                <w:rFonts w:cs="Arial"/>
                <w:sz w:val="14"/>
                <w:szCs w:val="18"/>
              </w:rPr>
              <w:t>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11.3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Tr="00237EEB">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85" w:type="dxa"/>
            </w:tcMar>
          </w:tcPr>
          <w:p w:rsidR="006F1C2D" w:rsidRPr="006F1C2D" w:rsidP="006F1C2D">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6F1C2D" w:rsidRPr="00237EEB" w:rsidP="00237EEB">
            <w:pPr>
              <w:spacing w:before="40" w:after="40"/>
              <w:jc w:val="both"/>
              <w:rPr>
                <w:rFonts w:cs="Arial"/>
                <w:spacing w:val="-4"/>
                <w:sz w:val="14"/>
                <w:szCs w:val="18"/>
              </w:rPr>
            </w:pPr>
            <w:r w:rsidRPr="00237EEB">
              <w:rPr>
                <w:rFonts w:cs="Arial"/>
                <w:b/>
                <w:spacing w:val="-4"/>
                <w:sz w:val="14"/>
                <w:szCs w:val="18"/>
              </w:rPr>
              <w:t>Oznámení o provádění platebního styku.</w:t>
            </w:r>
            <w:r w:rsidRPr="00237EEB">
              <w:rPr>
                <w:rFonts w:cs="Arial"/>
                <w:spacing w:val="-4"/>
                <w:sz w:val="14"/>
                <w:szCs w:val="18"/>
              </w:rPr>
              <w:t xml:space="preserve"> Další podmínky a informace týkající se Účtů a provádění platebního styku, zejména služby zahraničního a</w:t>
            </w:r>
            <w:r w:rsidR="00237EEB">
              <w:rPr>
                <w:rFonts w:cs="Arial"/>
                <w:spacing w:val="-4"/>
                <w:sz w:val="14"/>
                <w:szCs w:val="18"/>
              </w:rPr>
              <w:t> </w:t>
            </w:r>
            <w:r w:rsidRPr="00237EEB">
              <w:rPr>
                <w:rFonts w:cs="Arial"/>
                <w:spacing w:val="-4"/>
                <w:sz w:val="14"/>
                <w:szCs w:val="18"/>
              </w:rPr>
              <w:t>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vystavena platební 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6F1C2D" w:rsidRPr="003950F4" w:rsidP="006F1C2D">
            <w:pPr>
              <w:spacing w:before="40" w:after="40"/>
              <w:jc w:val="both"/>
              <w:rPr>
                <w:rFonts w:cs="Arial"/>
                <w:spacing w:val="-2"/>
                <w:sz w:val="14"/>
                <w:szCs w:val="18"/>
              </w:rPr>
            </w:pPr>
            <w:r w:rsidRPr="003950F4">
              <w:rPr>
                <w:rFonts w:cs="Arial"/>
                <w:b/>
                <w:spacing w:val="-2"/>
                <w:sz w:val="14"/>
                <w:szCs w:val="18"/>
              </w:rPr>
              <w:t>Úročení nepovoleného debetu.</w:t>
            </w:r>
            <w:r w:rsidRPr="003950F4">
              <w:rPr>
                <w:rFonts w:cs="Arial"/>
                <w:spacing w:val="-2"/>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 tj. nepovolenému debetu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14. Nakládání s prostředky na účtu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 jí Klient nepochybně prokáže, že daná Oprávněná osoba již není oprávněna za Klienta nebo jeho jménem jednat.</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rsidR="006F1C2D" w:rsidRPr="006F1C2D" w:rsidP="001655F1">
            <w:pPr>
              <w:spacing w:before="40" w:after="40"/>
              <w:jc w:val="both"/>
              <w:rPr>
                <w:rFonts w:cs="Arial"/>
                <w:sz w:val="14"/>
                <w:szCs w:val="18"/>
              </w:rPr>
            </w:pPr>
            <w:r w:rsidRPr="006F1C2D">
              <w:rPr>
                <w:rFonts w:cs="Arial"/>
                <w:sz w:val="14"/>
                <w:szCs w:val="18"/>
              </w:rPr>
              <w:t xml:space="preserve">Podpisový vzor, zmocnění Zmocněnce či jakékoli změny </w:t>
            </w:r>
            <w:r w:rsidR="001655F1">
              <w:rPr>
                <w:rFonts w:cs="Arial"/>
                <w:sz w:val="14"/>
                <w:szCs w:val="18"/>
              </w:rPr>
              <w:t xml:space="preserve">nebo zrušení těchto dokumentů </w:t>
            </w:r>
            <w:r w:rsidRPr="006F1C2D">
              <w:rPr>
                <w:rFonts w:cs="Arial"/>
                <w:sz w:val="14"/>
                <w:szCs w:val="18"/>
              </w:rPr>
              <w:t xml:space="preserve">jsou </w:t>
            </w:r>
            <w:r w:rsidR="001655F1">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bottom w:val="nil"/>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Pr>
                <w:rFonts w:cs="Arial"/>
                <w:position w:val="4"/>
                <w:sz w:val="12"/>
                <w:szCs w:val="18"/>
              </w:rPr>
              <w:footnoteReference w:id="9"/>
            </w:r>
            <w:r w:rsidRPr="006F1C2D">
              <w:rPr>
                <w:rFonts w:cs="Arial"/>
                <w:sz w:val="14"/>
                <w:szCs w:val="18"/>
              </w:rPr>
              <w:t xml:space="preserve"> z Účtu, ke kterému má Klient omezeno právo nakládat s peněžními prostředky</w:t>
            </w:r>
            <w:bookmarkStart w:id="10" w:name="_DV_M132"/>
            <w:bookmarkEnd w:id="10"/>
            <w:r w:rsidRPr="006F1C2D">
              <w:rPr>
                <w:rFonts w:cs="Arial"/>
                <w:sz w:val="14"/>
                <w:szCs w:val="18"/>
              </w:rPr>
              <w:t xml:space="preserve">, může uplatnit pouze Klient spotřebitel, a to osobně a v Klientově obchodním místě.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rsidR="006F1C2D" w:rsidRPr="006F1C2D" w:rsidP="00A23369">
            <w:pPr>
              <w:spacing w:before="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6F1C2D" w:rsidRPr="006F1C2D" w:rsidP="005E4B7A">
            <w:pPr>
              <w:numPr>
                <w:ilvl w:val="0"/>
                <w:numId w:val="4"/>
              </w:numPr>
              <w:ind w:left="227" w:hanging="227"/>
              <w:jc w:val="both"/>
              <w:rPr>
                <w:rFonts w:cs="Arial"/>
                <w:sz w:val="14"/>
                <w:szCs w:val="18"/>
              </w:rPr>
            </w:pPr>
            <w:r w:rsidRPr="006F1C2D">
              <w:rPr>
                <w:rFonts w:cs="Arial"/>
                <w:sz w:val="14"/>
                <w:szCs w:val="18"/>
              </w:rPr>
              <w:t>úhrady splatných úroků;</w:t>
            </w:r>
          </w:p>
          <w:p w:rsidR="006F1C2D" w:rsidRPr="006F1C2D" w:rsidP="005E4B7A">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bookmarkStart w:id="11" w:name="_DV_M139"/>
            <w:bookmarkEnd w:id="11"/>
            <w:r>
              <w:rPr>
                <w:rFonts w:cs="Arial"/>
                <w:position w:val="4"/>
                <w:sz w:val="12"/>
                <w:szCs w:val="18"/>
              </w:rPr>
              <w:footnoteReference w:id="10"/>
            </w:r>
            <w:r w:rsidRPr="006F1C2D">
              <w:rPr>
                <w:rFonts w:cs="Arial"/>
                <w:sz w:val="14"/>
                <w:szCs w:val="18"/>
              </w:rPr>
              <w:t xml:space="preserve">; </w:t>
            </w:r>
          </w:p>
          <w:p w:rsidR="006F1C2D" w:rsidRPr="006F1C2D" w:rsidP="005E4B7A">
            <w:pPr>
              <w:numPr>
                <w:ilvl w:val="0"/>
                <w:numId w:val="4"/>
              </w:numPr>
              <w:ind w:left="227" w:hanging="227"/>
              <w:jc w:val="both"/>
              <w:rPr>
                <w:rFonts w:cs="Arial"/>
                <w:sz w:val="14"/>
                <w:szCs w:val="18"/>
              </w:rPr>
            </w:pPr>
            <w:r w:rsidRPr="006F1C2D">
              <w:rPr>
                <w:rFonts w:cs="Arial"/>
                <w:sz w:val="14"/>
                <w:szCs w:val="18"/>
              </w:rPr>
              <w:t>úhrady v zákonem stanovených případech;</w:t>
            </w:r>
          </w:p>
          <w:p w:rsidR="006F1C2D" w:rsidRPr="006F1C2D" w:rsidP="005E4B7A">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6F1C2D" w:rsidRPr="006F1C2D" w:rsidP="005E4B7A">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6F1C2D" w:rsidRPr="006F1C2D" w:rsidP="005E4B7A">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6F1C2D" w:rsidRPr="006F1C2D" w:rsidP="005E4B7A">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6F1C2D" w:rsidRPr="006F1C2D" w:rsidP="005E4B7A">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6F1C2D" w:rsidRPr="006F1C2D" w:rsidP="005E4B7A">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bookmarkStart w:id="12" w:name="_DV_M147"/>
            <w:bookmarkEnd w:id="12"/>
            <w:r>
              <w:rPr>
                <w:rFonts w:cs="Arial"/>
                <w:position w:val="4"/>
                <w:sz w:val="12"/>
                <w:szCs w:val="18"/>
              </w:rPr>
              <w:footnoteReference w:id="11"/>
            </w:r>
            <w:r w:rsidRPr="006F1C2D">
              <w:rPr>
                <w:rFonts w:cs="Arial"/>
                <w:sz w:val="14"/>
                <w:szCs w:val="18"/>
              </w:rPr>
              <w:t>; nebo</w:t>
            </w:r>
          </w:p>
          <w:p w:rsidR="006F1C2D" w:rsidRPr="006F1C2D" w:rsidP="005E4B7A">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6F1C2D" w:rsidRPr="00591D95" w:rsidP="00844DB6">
            <w:pPr>
              <w:spacing w:before="40" w:after="40"/>
              <w:jc w:val="both"/>
              <w:rPr>
                <w:rFonts w:cs="Arial"/>
                <w:spacing w:val="-2"/>
                <w:sz w:val="14"/>
                <w:szCs w:val="18"/>
              </w:rPr>
            </w:pPr>
            <w:r w:rsidRPr="00591D95">
              <w:rPr>
                <w:rFonts w:cs="Arial"/>
                <w:b/>
                <w:spacing w:val="-2"/>
                <w:sz w:val="14"/>
                <w:szCs w:val="18"/>
              </w:rPr>
              <w:t>Forma a způsob doručování.</w:t>
            </w:r>
            <w:r w:rsidRPr="00591D95">
              <w:rPr>
                <w:rFonts w:cs="Arial"/>
                <w:spacing w:val="-2"/>
                <w:sz w:val="14"/>
                <w:szCs w:val="18"/>
              </w:rPr>
              <w:t xml:space="preserve"> Banka informuje Klienta o zůstatku prostředků na Účtu a o provedených transakcích výpisem z účtu, a</w:t>
            </w:r>
            <w:r w:rsidRPr="00591D95" w:rsidR="005E4B7A">
              <w:rPr>
                <w:rFonts w:cs="Arial"/>
                <w:spacing w:val="-2"/>
                <w:sz w:val="14"/>
                <w:szCs w:val="18"/>
              </w:rPr>
              <w:t> </w:t>
            </w:r>
            <w:r w:rsidRPr="00591D95">
              <w:rPr>
                <w:rFonts w:cs="Arial"/>
                <w:spacing w:val="-2"/>
                <w:sz w:val="14"/>
                <w:szCs w:val="18"/>
              </w:rPr>
              <w:t>to</w:t>
            </w:r>
            <w:r w:rsidRPr="00591D95" w:rsidR="005E4B7A">
              <w:rPr>
                <w:rFonts w:cs="Arial"/>
                <w:spacing w:val="-2"/>
                <w:sz w:val="14"/>
                <w:szCs w:val="18"/>
              </w:rPr>
              <w:t> </w:t>
            </w:r>
            <w:r w:rsidRPr="00591D95">
              <w:rPr>
                <w:rFonts w:cs="Arial"/>
                <w:spacing w:val="-2"/>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přímého bankovnictví nebo e-mailem.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V případě, že při zasílání Elektronických výpisů prostřednictvím sjednané Bankovní služby (např. přímého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přímého bankovnictví, má-li ji Klient zřízenu, nebo v tištěné (papírové) podobě způsobem sjednaným pro doručování ostatních Zásilek. V obou případech zůstane sjednaná četnost zasílání výpisů z účtu zachována.</w:t>
            </w:r>
            <w:r w:rsidRPr="006F1C2D">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peněžního trhu, obchodní politice Banky a postupům pro řízení finančních rizik.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16.3</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bottom w:val="nil"/>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bottom w:val="nil"/>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V případě zahájení insolvenčního řízení dle insolvenčního zákona</w:t>
            </w:r>
            <w:bookmarkStart w:id="13" w:name="_DV_M166"/>
            <w:bookmarkEnd w:id="13"/>
            <w:r>
              <w:rPr>
                <w:rFonts w:cs="Arial"/>
                <w:position w:val="4"/>
                <w:sz w:val="12"/>
                <w:szCs w:val="18"/>
              </w:rPr>
              <w:footnoteReference w:id="12"/>
            </w:r>
            <w:r w:rsidRPr="006F1C2D">
              <w:rPr>
                <w:rFonts w:cs="Arial"/>
                <w:sz w:val="14"/>
                <w:szCs w:val="18"/>
              </w:rPr>
              <w:t xml:space="preserve"> je Banka oprávněna ode dne zahájení insolvenčního řízení nepočítat úroky z debetního zůstatku a neúčtovat ceny. Úroky z povoleného debetního zůstatku na Účtu jsou splatné vždy poslední den kalendářního měsíce, za který se hradí.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14" w:name="_DV_M174"/>
            <w:bookmarkEnd w:id="14"/>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Pr>
                <w:rFonts w:cs="Arial"/>
                <w:position w:val="4"/>
                <w:sz w:val="12"/>
                <w:szCs w:val="18"/>
              </w:rPr>
              <w:footnoteReference w:id="13"/>
            </w:r>
            <w:r w:rsidRPr="006F1C2D">
              <w:rPr>
                <w:rFonts w:cs="Arial"/>
                <w:sz w:val="14"/>
                <w:szCs w:val="18"/>
              </w:rPr>
              <w:t>. V souladu se zákonem o platebním styku poskytuje Banka informace související s Platebními službami zejména prostřednictvím služby přímého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však není povinna poskytnout Kvalifikovanému klientovi informace o maximální lhůtě pro provedení a údaj o úplatě za provedení Platební služby před jejím poskytnutím ani před uzavřením Smlouvy o Platebních službách.</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Status mikropodnikatele.</w:t>
            </w:r>
            <w:r w:rsidRPr="006F1C2D">
              <w:rPr>
                <w:rFonts w:cs="Arial"/>
                <w:sz w:val="14"/>
                <w:szCs w:val="18"/>
              </w:rPr>
              <w:t xml:space="preserve"> Uzavřením Smlouvy o Platebních službách nebo jejího dodatku Klient podnikatel potvrzuje, že byl Bankou vyzván, aby jí doložil, zda splňuje podmínky pro přiznání statusu mikropodnikatele uvedené v definici Klienta mikropodnikatele. </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6F1C2D" w:rsidRPr="006F1C2D" w:rsidP="005E4B7A">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sidR="005E4B7A">
              <w:rPr>
                <w:rFonts w:cs="Arial"/>
                <w:sz w:val="14"/>
                <w:szCs w:val="18"/>
              </w:rPr>
              <w:t> </w:t>
            </w:r>
            <w:r w:rsidRPr="006F1C2D">
              <w:rPr>
                <w:rFonts w:cs="Arial"/>
                <w:sz w:val="14"/>
                <w:szCs w:val="18"/>
              </w:rPr>
              <w:t>to</w:t>
            </w:r>
            <w:r w:rsidR="005E4B7A">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Za správnost instrukcí uvedených v příkazu zodpovídá Klient.</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Pr>
                <w:rFonts w:cs="Arial"/>
                <w:position w:val="4"/>
                <w:sz w:val="12"/>
                <w:szCs w:val="18"/>
              </w:rPr>
              <w:footnoteReference w:id="14"/>
            </w:r>
            <w:r w:rsidRPr="006F1C2D">
              <w:rPr>
                <w:rFonts w:cs="Arial"/>
                <w:sz w:val="14"/>
                <w:szCs w:val="18"/>
              </w:rPr>
              <w:t xml:space="preserve"> vztahují i Všeobecné obchodní podmínky ČNB v části, která se týká šeků.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20.8</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Další podmínky a informace týkající se šeků jsou uvedeny v Oznámení o provádění platebního styku.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E95D3B">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6F1C2D" w:rsidRPr="006F1C2D" w:rsidP="00E95D3B">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Klient je povinen platit účtované ceny řádně a včas. Banka je oprávněna vázat poskytnutí Bankovní služby na zaplacení ceny nebo její části.</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6F1C2D" w:rsidRPr="00B576DE" w:rsidP="006F1C2D">
            <w:pPr>
              <w:spacing w:before="40" w:after="40"/>
              <w:jc w:val="both"/>
              <w:rPr>
                <w:rFonts w:cs="Arial"/>
                <w:spacing w:val="-4"/>
                <w:sz w:val="14"/>
                <w:szCs w:val="18"/>
              </w:rPr>
            </w:pPr>
            <w:r w:rsidRPr="00B576DE">
              <w:rPr>
                <w:rFonts w:cs="Arial"/>
                <w:b/>
                <w:spacing w:val="-4"/>
                <w:sz w:val="14"/>
                <w:szCs w:val="18"/>
              </w:rPr>
              <w:t>Způsob úhrady ceny.</w:t>
            </w:r>
            <w:r w:rsidRPr="00B576DE">
              <w:rPr>
                <w:rFonts w:cs="Arial"/>
                <w:spacing w:val="-4"/>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 Ceny se účtují v měně Bankovní služby nebo v měně, ve které je veden Účet, pokud nebude sjednáno jinak.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sidR="00A07937">
              <w:rPr>
                <w:rFonts w:cs="Arial"/>
                <w:sz w:val="14"/>
                <w:szCs w:val="18"/>
              </w:rPr>
              <w:t>. K</w:t>
            </w:r>
            <w:r w:rsidRPr="00A07937" w:rsid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Pr="00592F20" w:rsid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26. Postoupení a zástava</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FitText/>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6F1C2D" w:rsidRPr="006F1C2D" w:rsidP="005E4B7A">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sidR="005E4B7A">
              <w:rPr>
                <w:rFonts w:cs="Arial"/>
                <w:sz w:val="14"/>
                <w:szCs w:val="18"/>
              </w:rPr>
              <w:t> </w:t>
            </w:r>
            <w:r w:rsidRPr="006F1C2D">
              <w:rPr>
                <w:rFonts w:cs="Arial"/>
                <w:sz w:val="14"/>
                <w:szCs w:val="18"/>
              </w:rPr>
              <w:t>Bankou na Banku a na zastavení těchto pohledávek ve prospěch Banky a dále na zákonem předvídané postoupení pohledávky na</w:t>
            </w:r>
            <w:r w:rsidR="005E4B7A">
              <w:rPr>
                <w:rFonts w:cs="Arial"/>
                <w:sz w:val="14"/>
                <w:szCs w:val="18"/>
              </w:rPr>
              <w:t> </w:t>
            </w:r>
            <w:r w:rsidRPr="006F1C2D">
              <w:rPr>
                <w:rFonts w:cs="Arial"/>
                <w:sz w:val="14"/>
                <w:szCs w:val="18"/>
              </w:rPr>
              <w:t>základě odkazu zůstavitele z dědice obtíženého odkazem (Klienta) na odkazovníka.</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6F1C2D" w:rsidRPr="006F1C2D" w:rsidP="006F1C2D">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bookmarkStart w:id="15" w:name="_DV_M265"/>
            <w:bookmarkEnd w:id="15"/>
            <w:r>
              <w:rPr>
                <w:rFonts w:cs="Arial"/>
                <w:position w:val="4"/>
                <w:sz w:val="12"/>
                <w:szCs w:val="18"/>
              </w:rPr>
              <w:footnoteReference w:id="15"/>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Klient souhlasí s tím, aby Banka sdělovala informace o zůstatku prostředků a cenných papírů stejně jako o provedených transakcích ve smyslu příslušné Smlouvy Oprávněné osobě zmocněné k nakládání s prostředky, cennými papíry nebo k provádění či uzavírání transakcí. Klient dále souhlasí s tím, aby Banka sdělovala veškeré informace o své zajištěné pohledávce za Klientem osobám poskytujícím zajištění dané pohledávky.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28.2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Osobních údajů, potřebné k tomu, aby bylo možné Bankovní službu uskutečnit bez nepřiměřených právních a věcných rizik pro Banku. V případě, že Klient odmítne takové údaje Bance poskytnout, je Banka oprávněna odmítnout poskytnutí požadované Bankovní služby Klientovi.</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6F1C2D" w:rsidRPr="006F1C2D" w:rsidP="00844DB6">
            <w:pPr>
              <w:tabs>
                <w:tab w:val="num" w:pos="567"/>
              </w:tabs>
              <w:spacing w:before="40" w:after="40"/>
              <w:jc w:val="both"/>
              <w:rPr>
                <w:rFonts w:cs="Arial"/>
                <w:sz w:val="14"/>
                <w:szCs w:val="18"/>
              </w:rPr>
            </w:pPr>
            <w:r w:rsidRPr="006F1C2D">
              <w:rPr>
                <w:rFonts w:cs="Arial"/>
                <w:b/>
                <w:sz w:val="14"/>
                <w:szCs w:val="18"/>
              </w:rPr>
              <w:t>Souhlasy se zpracováním údajů.</w:t>
            </w:r>
            <w:r w:rsidRPr="00EB16B3" w:rsidR="00844DB6">
              <w:rPr>
                <w:sz w:val="14"/>
              </w:rPr>
              <w:t xml:space="preserve"> Klient souhlasí s tím, aby jeho Osobní údaje v případě Klienta – fyzické osoby, případně údaje o Klientovi – právnické osobě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Správcem, rozumí se i vzájemně předávány mezi Správci, za účelem zkvalitnění péče o Klienta, provádění Marketingových činností, informování ostatních Správců o bonitě a důvěryhodnosti Klienta a analyzování těchto údajů. Klient souhlasí s tím, aby Správce zpracovával výše uvedené údaje, za účelem a v rozsahu shora uvedeném po dobu od udělení tohoto souhlasu do uplynutí čtyř let od ukončení posledního smluvního nebo jiného právního vztahu mezi ním a kterýmkoli ze Správců. Tento souhlas se zpracováním údajů, udělený zejména v souladu se z. č. 21/1992 Sb., č. 89/2012 Sb., č. 480/2004 Sb., v případě Klienta – fyzické osoby i v souladu s platným z. č. 101/2000 Sb</w:t>
            </w:r>
            <w:r w:rsidRPr="006F1C2D">
              <w:rPr>
                <w:rFonts w:cs="Arial"/>
                <w:sz w:val="14"/>
                <w:szCs w:val="18"/>
              </w:rPr>
              <w:t>.</w:t>
            </w:r>
            <w:r>
              <w:rPr>
                <w:rFonts w:cs="Arial"/>
                <w:position w:val="4"/>
                <w:sz w:val="12"/>
                <w:szCs w:val="18"/>
              </w:rPr>
              <w:footnoteReference w:id="16"/>
            </w:r>
            <w:r w:rsidRPr="006F1C2D">
              <w:rPr>
                <w:rFonts w:cs="Arial"/>
                <w:sz w:val="14"/>
                <w:szCs w:val="18"/>
              </w:rPr>
              <w:t xml:space="preserve">, </w:t>
            </w:r>
            <w:r w:rsidRPr="00EB16B3" w:rsidR="00844DB6">
              <w:rPr>
                <w:sz w:val="14"/>
              </w:rPr>
              <w:t>je dobrovolný a Klient je oprávněn jej kdykoli odvolat ve vztahu k jakémukoli Správci. Odvolání souhlasu musí být učiněno písemně.</w:t>
            </w:r>
            <w:bookmarkStart w:id="16" w:name="_DV_M270"/>
            <w:bookmarkStart w:id="17" w:name="_DV_M271"/>
            <w:bookmarkStart w:id="18" w:name="_DV_M272"/>
            <w:bookmarkStart w:id="19" w:name="_DV_M273"/>
            <w:bookmarkStart w:id="20" w:name="_DV_M274"/>
            <w:bookmarkEnd w:id="16"/>
            <w:bookmarkEnd w:id="17"/>
            <w:bookmarkEnd w:id="18"/>
            <w:bookmarkEnd w:id="19"/>
            <w:bookmarkEnd w:id="20"/>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28.4</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Rozsah a účel zpracování Osobních údajů.</w:t>
            </w:r>
            <w:r w:rsidRPr="006F1C2D">
              <w:rPr>
                <w:rFonts w:cs="Arial"/>
                <w:sz w:val="14"/>
                <w:szCs w:val="18"/>
              </w:rPr>
              <w:t xml:space="preserve"> Osobní údaje o Klientovi Správce zpracovává v souladu se zákonem č. 101/2000 Sb., ve znění pozdějších předpisů. Podrobnější informace o účelech, rozsahu a způsobu zpracování Osobních údajů jsou uvedeny na www.kb.cz v dokumentu Informace o zpracování klientských údajů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28.5</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Práva Klienta při zpracování osobních údajů</w:t>
            </w:r>
            <w:r w:rsidRPr="006F1C2D">
              <w:rPr>
                <w:rFonts w:cs="Arial"/>
                <w:sz w:val="14"/>
                <w:szCs w:val="18"/>
              </w:rPr>
              <w:t>. Pokud Klient písemně požádá Správce, má právo v souladu s platnou právní úpravou na poskytnutí informace o osobních údajích o něm zpracovávaných, účelu a povaze zpracování osobních údajů, o příjemcích osobních údajů a Správcích. Klient je dále oprávněn požádat Správce o opravu osobních údajů, zjistí-li, že některým Správcem zpracovávané osobní údaje neodpovídají skutečnosti. Pokud Klient zjistí nebo se domnívá, že Správce provádí zpracování jeho osobních údajů v rozporu s ochranou soukromého a osobního života Klienta nebo v rozporu s právními předpisy, je oprávněn požadovat po Správci vysvětlení, případně je oprávněn požadovat, aby Správce odstranil takto vzniklý závadný stav. Klient má právo obrátit se v případě porušení povinností Správce na Úřad pro ochranu osobních údajů se žádostí o zajištění opatření k nápravě.</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6F1C2D" w:rsidRPr="006F1C2D" w:rsidP="00A23369">
            <w:pPr>
              <w:spacing w:before="40"/>
              <w:jc w:val="both"/>
              <w:rPr>
                <w:rFonts w:cs="Arial"/>
                <w:sz w:val="14"/>
                <w:szCs w:val="18"/>
              </w:rPr>
            </w:pPr>
            <w:r w:rsidRPr="006F1C2D">
              <w:rPr>
                <w:rFonts w:cs="Arial"/>
                <w:sz w:val="14"/>
                <w:szCs w:val="18"/>
              </w:rPr>
              <w:t>Banka neodpovídá Klientovi za škodu když:</w:t>
            </w:r>
          </w:p>
          <w:p w:rsidR="006F1C2D" w:rsidRPr="006F1C2D" w:rsidP="00591D95">
            <w:pPr>
              <w:numPr>
                <w:ilvl w:val="0"/>
                <w:numId w:val="5"/>
              </w:numPr>
              <w:ind w:left="227" w:hanging="227"/>
              <w:jc w:val="both"/>
              <w:rPr>
                <w:rFonts w:cs="Arial"/>
                <w:sz w:val="14"/>
                <w:szCs w:val="18"/>
              </w:rPr>
            </w:pPr>
            <w:r w:rsidRPr="006F1C2D">
              <w:rPr>
                <w:rFonts w:cs="Arial"/>
                <w:sz w:val="14"/>
                <w:szCs w:val="18"/>
              </w:rPr>
              <w:t>škoda byla způsobena protiprávním jednáním Klienta nebo třetí osoby,</w:t>
            </w:r>
          </w:p>
          <w:p w:rsidR="006F1C2D" w:rsidRPr="006F1C2D" w:rsidP="00591D95">
            <w:pPr>
              <w:numPr>
                <w:ilvl w:val="0"/>
                <w:numId w:val="5"/>
              </w:numPr>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6F1C2D" w:rsidRPr="006F1C2D" w:rsidP="00591D95">
            <w:pPr>
              <w:numPr>
                <w:ilvl w:val="0"/>
                <w:numId w:val="5"/>
              </w:numPr>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6F1C2D" w:rsidP="00591D95">
            <w:pPr>
              <w:numPr>
                <w:ilvl w:val="0"/>
                <w:numId w:val="5"/>
              </w:numPr>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A07937" w:rsidRPr="006F1C2D" w:rsidP="00591D95">
            <w:pPr>
              <w:numPr>
                <w:ilvl w:val="0"/>
                <w:numId w:val="5"/>
              </w:numPr>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rsidR="006F1C2D" w:rsidRPr="006F1C2D" w:rsidP="00591D95">
            <w:pPr>
              <w:numPr>
                <w:ilvl w:val="0"/>
                <w:numId w:val="5"/>
              </w:numPr>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6F1C2D" w:rsidRPr="00591D95" w:rsidP="00591D95">
            <w:pPr>
              <w:numPr>
                <w:ilvl w:val="0"/>
                <w:numId w:val="5"/>
              </w:numPr>
              <w:ind w:left="227" w:hanging="227"/>
              <w:jc w:val="both"/>
              <w:rPr>
                <w:rFonts w:cs="Arial"/>
                <w:spacing w:val="-2"/>
                <w:sz w:val="14"/>
                <w:szCs w:val="18"/>
              </w:rPr>
            </w:pPr>
            <w:r w:rsidRPr="00591D95">
              <w:rPr>
                <w:rFonts w:cs="Arial"/>
                <w:spacing w:val="-2"/>
                <w:sz w:val="14"/>
                <w:szCs w:val="18"/>
              </w:rPr>
              <w:t xml:space="preserve">porušení dané povinnosti bylo způsobeno </w:t>
            </w:r>
            <w:bookmarkStart w:id="21" w:name="_DV_C158"/>
            <w:r w:rsidRPr="00591D95">
              <w:rPr>
                <w:rFonts w:cs="Arial"/>
                <w:spacing w:val="-2"/>
                <w:sz w:val="14"/>
                <w:szCs w:val="18"/>
              </w:rPr>
              <w:t xml:space="preserve">mimořádnou nepředvídatelnou a nepřekonatelnou překážkou vzniklou nezávisle na vůli Banky nebo </w:t>
            </w:r>
            <w:bookmarkStart w:id="22" w:name="_DV_M281"/>
            <w:bookmarkEnd w:id="21"/>
            <w:bookmarkEnd w:id="22"/>
            <w:r w:rsidRPr="00591D95">
              <w:rPr>
                <w:rFonts w:cs="Arial"/>
                <w:spacing w:val="-2"/>
                <w:sz w:val="14"/>
                <w:szCs w:val="18"/>
              </w:rPr>
              <w:t>okolnostmi vylučujícími odpovědnost tam, kde se pro daný právní vztah použije právní úprava platná před účinností občanského zákoníku</w:t>
            </w:r>
            <w:r>
              <w:rPr>
                <w:rFonts w:cs="Arial"/>
                <w:spacing w:val="-2"/>
                <w:position w:val="4"/>
                <w:sz w:val="12"/>
                <w:szCs w:val="18"/>
              </w:rPr>
              <w:footnoteReference w:id="17"/>
            </w:r>
            <w:r w:rsidRPr="00591D95">
              <w:rPr>
                <w:rFonts w:cs="Arial"/>
                <w:spacing w:val="-2"/>
                <w:sz w:val="14"/>
                <w:szCs w:val="18"/>
              </w:rPr>
              <w:t xml:space="preserve">. </w:t>
            </w:r>
          </w:p>
          <w:p w:rsidR="006F1C2D" w:rsidRPr="006F1C2D" w:rsidP="006F1C2D">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2"/>
                <w:szCs w:val="2"/>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Tr="005B1CEA">
        <w:tblPrEx>
          <w:tblW w:w="9639" w:type="dxa"/>
          <w:tblBorders>
            <w:insideV w:val="single" w:sz="6" w:space="0" w:color="DCDADA"/>
          </w:tblBorders>
          <w:tblLayout w:type="fixed"/>
          <w:tblCellMar>
            <w:left w:w="0" w:type="dxa"/>
            <w:right w:w="0" w:type="dxa"/>
          </w:tblCellMar>
          <w:tblLook w:val="04A0"/>
        </w:tblPrEx>
        <w:trPr>
          <w:cantSplit/>
        </w:trPr>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6"/>
              </w:rPr>
              <w:t>31.2</w:t>
            </w:r>
          </w:p>
        </w:tc>
        <w:tc>
          <w:tcPr>
            <w:tcW w:w="9009" w:type="dxa"/>
            <w:noWrap/>
            <w:tcMar>
              <w:left w:w="113" w:type="dxa"/>
              <w:right w:w="113" w:type="dxa"/>
            </w:tcMar>
          </w:tcPr>
          <w:p w:rsidR="006F1C2D" w:rsidRPr="00081D9C" w:rsidP="00081D9C">
            <w:pPr>
              <w:spacing w:before="40" w:after="40"/>
              <w:jc w:val="both"/>
              <w:rPr>
                <w:rFonts w:cs="Arial"/>
                <w:spacing w:val="-4"/>
                <w:sz w:val="14"/>
                <w:szCs w:val="18"/>
                <w:highlight w:val="lightGray"/>
              </w:rPr>
            </w:pPr>
            <w:r w:rsidRPr="00081D9C">
              <w:rPr>
                <w:rFonts w:cs="Arial"/>
                <w:b/>
                <w:spacing w:val="-4"/>
                <w:sz w:val="14"/>
                <w:szCs w:val="16"/>
              </w:rPr>
              <w:t>Informace o navrhované změně.</w:t>
            </w:r>
            <w:r w:rsidRPr="00081D9C">
              <w:rPr>
                <w:rFonts w:cs="Arial"/>
                <w:spacing w:val="-4"/>
                <w:sz w:val="14"/>
                <w:szCs w:val="16"/>
              </w:rPr>
              <w:t xml:space="preserve"> </w:t>
            </w:r>
            <w:r w:rsidRPr="00081D9C" w:rsidR="00214DBB">
              <w:rPr>
                <w:rFonts w:eastAsia="Times New Roman"/>
                <w:spacing w:val="-4"/>
                <w:sz w:val="14"/>
                <w:szCs w:val="14"/>
                <w:lang w:eastAsia="cs-CZ"/>
              </w:rPr>
              <w:t>Banka Klientovi poskytne informace o navrhované změně VOP nejméně 2 měsíce před navrhovaným dnem jejich účinnosti. O navrhované změně Sazebníku ve vztahu k Platebním službám poskytne Banka informace Klientovi, který není Kvalifikovaným klientem, nejméně 30 kalendářních dnů před navrhovaným dnem jeho účinnosti. Informace o navrhované změně, včetně informace o</w:t>
            </w:r>
            <w:r w:rsidRPr="00081D9C" w:rsidR="00081D9C">
              <w:rPr>
                <w:rFonts w:eastAsia="Times New Roman"/>
                <w:spacing w:val="-4"/>
                <w:sz w:val="14"/>
                <w:szCs w:val="14"/>
                <w:lang w:eastAsia="cs-CZ"/>
              </w:rPr>
              <w:t> </w:t>
            </w:r>
            <w:r w:rsidRPr="00081D9C" w:rsidR="00214DBB">
              <w:rPr>
                <w:rFonts w:eastAsia="Times New Roman"/>
                <w:spacing w:val="-4"/>
                <w:sz w:val="14"/>
                <w:szCs w:val="14"/>
                <w:lang w:eastAsia="cs-CZ"/>
              </w:rPr>
              <w:t>navrhovaném dni účinnosti, poskytne Banka způsobem dle článku 8.4 VOP, ve výpise z účtu či jinými prostředky komunikace sjednanými s Klientem.</w:t>
            </w:r>
            <w:r w:rsidRPr="00081D9C">
              <w:rPr>
                <w:rFonts w:cs="Arial"/>
                <w:spacing w:val="-4"/>
                <w:sz w:val="14"/>
                <w:szCs w:val="18"/>
              </w:rPr>
              <w:t xml:space="preserve">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 xml:space="preserve">Klient je povinen se s navrhovaným zněním seznámit. Banka je povinna mít navrhované znění VOP k dispozici v obchodních místech Banky a vyvěsit je na internetových stránkách Banky.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31.4</w:t>
            </w:r>
          </w:p>
        </w:tc>
        <w:tc>
          <w:tcPr>
            <w:tcW w:w="9009" w:type="dxa"/>
            <w:noWrap/>
            <w:tcMar>
              <w:left w:w="113" w:type="dxa"/>
              <w:right w:w="113" w:type="dxa"/>
            </w:tcMar>
          </w:tcPr>
          <w:p w:rsidR="006F1C2D" w:rsidRPr="00081D9C" w:rsidP="006F1C2D">
            <w:pPr>
              <w:spacing w:before="40" w:after="40"/>
              <w:jc w:val="both"/>
              <w:rPr>
                <w:rFonts w:cs="Arial"/>
                <w:spacing w:val="-2"/>
                <w:sz w:val="14"/>
                <w:szCs w:val="18"/>
              </w:rPr>
            </w:pPr>
            <w:r w:rsidRPr="00081D9C">
              <w:rPr>
                <w:rFonts w:cs="Arial"/>
                <w:b/>
                <w:spacing w:val="-2"/>
                <w:sz w:val="14"/>
                <w:szCs w:val="18"/>
              </w:rPr>
              <w:t>Účinnost a odmítnutí změny u Platebních služeb.</w:t>
            </w:r>
            <w:r w:rsidRPr="00081D9C">
              <w:rPr>
                <w:rFonts w:cs="Arial"/>
                <w:spacing w:val="-2"/>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31.5</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Pokud Kvalifikovaný klient písemně odmítne návrh na změnu VOP ve vztahu k Platebním službám, je oprávněn bezúplatně vypovědět Smlouvu s okamžitou účinností. Výpověď musí být doručena Bance přede dnem, kdy má navrhovaná změna nabýt účinnosti. Pokud Kvalifikovaný klient návrh na změnu VOP písemně odmítne, ale Smlouvu o Platebních službách nevypoví, platí, že Banka smlouvu vypověděla v den, kdy Kvalifikovanému klientovi poskytla informace o navrhované změně, přičemž výpovědní doba činí 2 měsíce.</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31.6</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Pokud Klient, který není Kvalifikovaným klientem, písemně odmítne návrh na změnu VOP ve vztahu k Platebním službám, Klient i Banka mají právo vypovědět Smlouvu. Výpovědní doba počíná běžet dnem doručení výpovědi druhé straně, přičemž skončí ke dni účinnosti změny VOP. Výpověď musí být doručena druhé smluvní straně přede dnem, kdy má navrhovaná změna nabýt účinnosti.</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31.7</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Účinnost a odmítnutí změny u jiných Bankovních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31.8</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31.5 až 31.7 VOP musí mít písemnou formu, podpis Klienta na nich musí být úředně ověřen nebo učiněn před zaměstnancem Banky (neakceptuje-li Banka jiný způsob ověření) a musí být doručeny Bance dle článku 8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31.9</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31.10</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31.7, 31.8 a 31.9 VOP.</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31.11</w:t>
            </w:r>
          </w:p>
        </w:tc>
        <w:tc>
          <w:tcPr>
            <w:tcW w:w="9009" w:type="dxa"/>
            <w:noWrap/>
            <w:tcMar>
              <w:left w:w="113" w:type="dxa"/>
              <w:right w:w="113" w:type="dxa"/>
            </w:tcMar>
          </w:tcPr>
          <w:p w:rsidR="006F1C2D" w:rsidRPr="006F1C2D" w:rsidP="00A23369">
            <w:pPr>
              <w:spacing w:before="40"/>
              <w:jc w:val="both"/>
              <w:rPr>
                <w:rFonts w:cs="Arial"/>
                <w:sz w:val="14"/>
                <w:szCs w:val="18"/>
              </w:rPr>
            </w:pPr>
            <w:r w:rsidRPr="006F1C2D">
              <w:rPr>
                <w:rFonts w:cs="Arial"/>
                <w:sz w:val="14"/>
                <w:szCs w:val="18"/>
              </w:rPr>
              <w:t>Změny s okamžitou účinností. Banka a Klient se odchylně od článků 31.1 až 31.10 VOP dohodli, že je Banka oprávněna provést s okamžitou účinností jednostrannou změnu:</w:t>
            </w:r>
          </w:p>
          <w:p w:rsidR="006F1C2D" w:rsidRPr="006F1C2D" w:rsidP="00591D95">
            <w:pPr>
              <w:numPr>
                <w:ilvl w:val="0"/>
                <w:numId w:val="6"/>
              </w:numPr>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6F1C2D" w:rsidRPr="006F1C2D" w:rsidP="00591D95">
            <w:pPr>
              <w:numPr>
                <w:ilvl w:val="0"/>
                <w:numId w:val="6"/>
              </w:numPr>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6F1C2D" w:rsidRPr="006F1C2D" w:rsidP="00591D95">
            <w:pPr>
              <w:numPr>
                <w:ilvl w:val="0"/>
                <w:numId w:val="6"/>
              </w:numPr>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6F1C2D" w:rsidRPr="006F1C2D" w:rsidP="006F1C2D">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32. Uveřejňování a poskytování informací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32.1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VOP, Produktové podmínky, Oznámení, Sazebník a kurzovní lístek Banka uveřejňuje v obchodních místech a na internetových stránkách Banky. Na internetových stránkách Banky mohou být uveřejněny pouze části Sazebníku.</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33. Rozhodné právo a řešení sporů</w:t>
            </w:r>
          </w:p>
        </w:tc>
      </w:tr>
      <w:tr w:rsidTr="00E95D3B">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2"/>
                <w:szCs w:val="2"/>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33.1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 xml:space="preserve">Právní vztahy mezi Bankou a Klientem se řídí právním řádem České republiky. </w:t>
            </w:r>
            <w:bookmarkStart w:id="23" w:name="_DV_C209"/>
            <w:r w:rsidRPr="006F1C2D">
              <w:rPr>
                <w:rFonts w:cs="Arial"/>
                <w:sz w:val="14"/>
                <w:szCs w:val="18"/>
              </w:rPr>
              <w:t>Pro účely Smluv, na které se použije právní úprava platná před účinností občanského zákoníku,</w:t>
            </w:r>
            <w:r>
              <w:rPr>
                <w:rFonts w:cs="Arial"/>
                <w:position w:val="4"/>
                <w:sz w:val="12"/>
                <w:szCs w:val="18"/>
              </w:rPr>
              <w:footnoteReference w:id="18"/>
            </w:r>
            <w:r w:rsidRPr="006F1C2D">
              <w:rPr>
                <w:rFonts w:cs="Arial"/>
                <w:sz w:val="14"/>
                <w:szCs w:val="18"/>
              </w:rPr>
              <w:t xml:space="preserve"> platí, že</w:t>
            </w:r>
            <w:bookmarkStart w:id="24" w:name="_DV_M336"/>
            <w:bookmarkEnd w:id="23"/>
            <w:bookmarkEnd w:id="24"/>
            <w:r w:rsidRPr="006F1C2D">
              <w:rPr>
                <w:rFonts w:cs="Arial"/>
                <w:sz w:val="14"/>
                <w:szCs w:val="18"/>
              </w:rPr>
              <w:t xml:space="preserve"> se právní vztahy mezi Klientem a Bankou řídí obchodním zákoníkem</w:t>
            </w:r>
            <w:bookmarkStart w:id="25" w:name="_DV_M337"/>
            <w:bookmarkEnd w:id="25"/>
            <w:r>
              <w:rPr>
                <w:rFonts w:cs="Arial"/>
                <w:position w:val="4"/>
                <w:sz w:val="12"/>
                <w:szCs w:val="18"/>
              </w:rPr>
              <w:footnoteReference w:id="19"/>
            </w:r>
            <w:r w:rsidRPr="006F1C2D">
              <w:rPr>
                <w:rFonts w:cs="Arial"/>
                <w:sz w:val="14"/>
                <w:szCs w:val="18"/>
              </w:rPr>
              <w:t>.</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33.2</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33.3</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lang w:eastAsia="cs-CZ"/>
              </w:rPr>
              <w:t>V</w:t>
            </w:r>
            <w:r w:rsidR="009974BF">
              <w:rPr>
                <w:rFonts w:cs="Arial"/>
                <w:sz w:val="14"/>
                <w:szCs w:val="18"/>
                <w:lang w:eastAsia="cs-CZ"/>
              </w:rPr>
              <w:t xml:space="preserve"> </w:t>
            </w:r>
            <w:r w:rsidRPr="006F1C2D">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Pr>
                <w:rFonts w:cs="Arial"/>
                <w:position w:val="4"/>
                <w:sz w:val="12"/>
                <w:szCs w:val="18"/>
              </w:rPr>
              <w:footnoteReference w:id="20"/>
            </w:r>
            <w:r w:rsidRPr="006F1C2D">
              <w:rPr>
                <w:rFonts w:cs="Arial"/>
                <w:sz w:val="14"/>
                <w:szCs w:val="18"/>
                <w:lang w:eastAsia="cs-CZ"/>
              </w:rPr>
              <w:t xml:space="preserve"> Právo Klienta obrátit se na soud tímto není dotčeno.</w:t>
            </w:r>
          </w:p>
        </w:tc>
      </w:tr>
      <w:tr w:rsidTr="00A07937">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A07937" w:rsidRPr="006F1C2D" w:rsidP="00512D5C">
            <w:pPr>
              <w:spacing w:before="40" w:after="40"/>
              <w:jc w:val="right"/>
              <w:rPr>
                <w:rFonts w:cs="Arial"/>
                <w:b/>
                <w:sz w:val="14"/>
                <w:szCs w:val="18"/>
              </w:rPr>
            </w:pPr>
            <w:r>
              <w:rPr>
                <w:rFonts w:cs="Arial"/>
                <w:b/>
                <w:sz w:val="14"/>
                <w:szCs w:val="18"/>
              </w:rPr>
              <w:t>33.4</w:t>
            </w:r>
          </w:p>
        </w:tc>
        <w:tc>
          <w:tcPr>
            <w:tcW w:w="9009" w:type="dxa"/>
            <w:tcBorders>
              <w:left w:val="single" w:sz="6" w:space="0" w:color="DCDADA"/>
            </w:tcBorders>
            <w:noWrap/>
            <w:tcMar>
              <w:left w:w="113" w:type="dxa"/>
              <w:right w:w="113" w:type="dxa"/>
            </w:tcMar>
          </w:tcPr>
          <w:p w:rsidR="00A07937" w:rsidRPr="006F1C2D" w:rsidP="00512D5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Pr>
                <w:rFonts w:cs="Arial"/>
                <w:position w:val="4"/>
                <w:sz w:val="12"/>
                <w:szCs w:val="18"/>
              </w:rPr>
              <w:footnoteReference w:id="21"/>
            </w:r>
            <w:r w:rsidR="00C942EC">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r w:rsidR="009974BF">
              <w:rPr>
                <w:rFonts w:cs="Arial"/>
                <w:sz w:val="14"/>
                <w:szCs w:val="18"/>
                <w:lang w:eastAsia="cs-CZ"/>
              </w:rPr>
              <w:t xml:space="preserve">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A07937">
            <w:pPr>
              <w:spacing w:before="40" w:after="40"/>
              <w:jc w:val="right"/>
              <w:rPr>
                <w:rFonts w:cs="Arial"/>
                <w:b/>
                <w:sz w:val="14"/>
                <w:szCs w:val="18"/>
              </w:rPr>
            </w:pPr>
            <w:r w:rsidRPr="006F1C2D">
              <w:rPr>
                <w:rFonts w:cs="Arial"/>
                <w:b/>
                <w:sz w:val="14"/>
                <w:szCs w:val="18"/>
              </w:rPr>
              <w:t>33.</w:t>
            </w:r>
            <w:r w:rsidR="00A07937">
              <w:rPr>
                <w:rFonts w:cs="Arial"/>
                <w:b/>
                <w:sz w:val="14"/>
                <w:szCs w:val="18"/>
              </w:rPr>
              <w:t>5</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1.3 VOP.</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34. Přechodná ustanovení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34.1</w:t>
            </w:r>
          </w:p>
        </w:tc>
        <w:tc>
          <w:tcPr>
            <w:tcW w:w="9009" w:type="dxa"/>
            <w:noWrap/>
            <w:tcMar>
              <w:left w:w="113" w:type="dxa"/>
              <w:right w:w="113" w:type="dxa"/>
            </w:tcMar>
          </w:tcPr>
          <w:p w:rsidR="006F1C2D" w:rsidRPr="006F1C2D" w:rsidP="006F1C2D">
            <w:pPr>
              <w:tabs>
                <w:tab w:val="num" w:pos="426"/>
              </w:tabs>
              <w:spacing w:before="40" w:after="40"/>
              <w:jc w:val="both"/>
              <w:rPr>
                <w:rFonts w:cs="Arial"/>
                <w:sz w:val="14"/>
                <w:szCs w:val="18"/>
              </w:rPr>
            </w:pPr>
            <w:bookmarkStart w:id="26" w:name="_DV_C214"/>
            <w:r w:rsidRPr="006F1C2D">
              <w:rPr>
                <w:rFonts w:cs="Arial"/>
                <w:sz w:val="14"/>
                <w:szCs w:val="18"/>
              </w:rPr>
              <w:t>Pro Smlouvy, na které se použije právní úprava platná před účinností občanského zákoníku,</w:t>
            </w:r>
            <w:r>
              <w:rPr>
                <w:rFonts w:cs="Arial"/>
                <w:position w:val="4"/>
                <w:sz w:val="12"/>
                <w:szCs w:val="18"/>
              </w:rPr>
              <w:footnoteReference w:id="22"/>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bookmarkEnd w:id="26"/>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35. Oddělitelnost ustanovení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35.1</w:t>
            </w:r>
          </w:p>
        </w:tc>
        <w:tc>
          <w:tcPr>
            <w:tcW w:w="9009" w:type="dxa"/>
            <w:noWrap/>
            <w:tcMar>
              <w:left w:w="113" w:type="dxa"/>
              <w:right w:w="113" w:type="dxa"/>
            </w:tcMar>
          </w:tcPr>
          <w:p w:rsidR="006F1C2D" w:rsidRPr="006F1C2D" w:rsidP="006F1C2D">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36. Vymezení pojmů a výkladová pravidla</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36.1</w:t>
            </w:r>
          </w:p>
        </w:tc>
        <w:tc>
          <w:tcPr>
            <w:tcW w:w="9009" w:type="dxa"/>
            <w:tcBorders>
              <w:left w:val="single" w:sz="6" w:space="0" w:color="C8C8C8"/>
            </w:tcBorders>
            <w:noWrap/>
            <w:tcMar>
              <w:left w:w="113" w:type="dxa"/>
              <w:right w:w="113" w:type="dxa"/>
            </w:tcMar>
          </w:tcPr>
          <w:p w:rsidR="006F1C2D" w:rsidRPr="006F1C2D" w:rsidP="006F1C2D">
            <w:pPr>
              <w:spacing w:before="40" w:after="40"/>
              <w:jc w:val="both"/>
              <w:rPr>
                <w:rFonts w:cs="Arial"/>
                <w:sz w:val="14"/>
                <w:szCs w:val="18"/>
                <w:lang w:eastAsia="cs-CZ"/>
              </w:rPr>
            </w:pPr>
            <w:r w:rsidRPr="006F1C2D">
              <w:rPr>
                <w:rFonts w:cs="Arial"/>
                <w:sz w:val="14"/>
                <w:szCs w:val="18"/>
                <w:lang w:eastAsia="cs-CZ"/>
              </w:rPr>
              <w:t xml:space="preserve">Pojmy s velkým počátečním písmenem mají ve VOP následující význam: </w:t>
            </w:r>
          </w:p>
          <w:p w:rsidR="006F1C2D" w:rsidRPr="006F1C2D" w:rsidP="00A23369">
            <w:pPr>
              <w:spacing w:after="40"/>
              <w:jc w:val="both"/>
              <w:rPr>
                <w:rFonts w:cs="Arial"/>
                <w:sz w:val="14"/>
                <w:szCs w:val="18"/>
                <w:lang w:eastAsia="cs-CZ"/>
              </w:rPr>
            </w:pPr>
            <w:bookmarkStart w:id="27" w:name="_DV_M348"/>
            <w:bookmarkStart w:id="28" w:name="_DV_M349"/>
            <w:bookmarkEnd w:id="27"/>
            <w:bookmarkEnd w:id="28"/>
            <w:r w:rsidRPr="006F1C2D">
              <w:rPr>
                <w:rFonts w:cs="Arial"/>
                <w:sz w:val="14"/>
                <w:szCs w:val="18"/>
                <w:lang w:eastAsia="cs-CZ"/>
              </w:rPr>
              <w:t>„</w:t>
            </w:r>
            <w:r w:rsidRPr="006F1C2D">
              <w:rPr>
                <w:rFonts w:cs="Arial"/>
                <w:b/>
                <w:sz w:val="14"/>
                <w:szCs w:val="18"/>
                <w:lang w:eastAsia="cs-CZ"/>
              </w:rPr>
              <w:t>Banka</w:t>
            </w:r>
            <w:r w:rsidRPr="006F1C2D">
              <w:rPr>
                <w:rFonts w:cs="Arial"/>
                <w:sz w:val="14"/>
                <w:szCs w:val="18"/>
                <w:lang w:eastAsia="cs-CZ"/>
              </w:rPr>
              <w:t>“ je Komerční banka, a.s., se sídlem Praha 1, Na Příkopě 33, čp. 969, PSČ 114 07, IČO: 45317054, zapsaná v obchodním rejstříku vedeném Městským soudem v Praze, oddíl B, vložka 1360.</w:t>
            </w:r>
          </w:p>
          <w:p w:rsidR="006F1C2D" w:rsidRPr="006F1C2D" w:rsidP="00A23369">
            <w:pPr>
              <w:spacing w:after="40"/>
              <w:jc w:val="both"/>
              <w:rPr>
                <w:rFonts w:cs="Arial"/>
                <w:sz w:val="14"/>
                <w:szCs w:val="18"/>
                <w:lang w:eastAsia="cs-CZ"/>
              </w:rPr>
            </w:pPr>
            <w:bookmarkStart w:id="29" w:name="_DV_M350"/>
            <w:bookmarkEnd w:id="29"/>
            <w:r w:rsidRPr="006F1C2D">
              <w:rPr>
                <w:rFonts w:cs="Arial"/>
                <w:sz w:val="14"/>
                <w:szCs w:val="18"/>
                <w:lang w:eastAsia="cs-CZ"/>
              </w:rPr>
              <w:t>„</w:t>
            </w:r>
            <w:r w:rsidRPr="006F1C2D">
              <w:rPr>
                <w:rFonts w:cs="Arial"/>
                <w:b/>
                <w:sz w:val="14"/>
                <w:szCs w:val="18"/>
                <w:lang w:eastAsia="cs-CZ"/>
              </w:rPr>
              <w:t>Bankovní služby</w:t>
            </w:r>
            <w:r w:rsidRPr="006F1C2D">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6F1C2D" w:rsidRPr="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ČBA</w:t>
            </w:r>
            <w:r w:rsidRPr="006F1C2D">
              <w:rPr>
                <w:rFonts w:cs="Arial"/>
                <w:sz w:val="14"/>
                <w:szCs w:val="18"/>
                <w:lang w:eastAsia="cs-CZ"/>
              </w:rPr>
              <w:t>“ je Česká bankovní asociace.</w:t>
            </w:r>
          </w:p>
          <w:p w:rsidR="006F1C2D" w:rsidRPr="006F1C2D" w:rsidP="00A23369">
            <w:pPr>
              <w:spacing w:after="40"/>
              <w:jc w:val="both"/>
              <w:rPr>
                <w:rFonts w:cs="Arial"/>
                <w:sz w:val="14"/>
                <w:szCs w:val="18"/>
                <w:lang w:eastAsia="cs-CZ"/>
              </w:rPr>
            </w:pPr>
            <w:bookmarkStart w:id="30" w:name="_DV_M351"/>
            <w:bookmarkEnd w:id="30"/>
            <w:r w:rsidRPr="006F1C2D">
              <w:rPr>
                <w:rFonts w:cs="Arial"/>
                <w:sz w:val="14"/>
                <w:szCs w:val="18"/>
                <w:lang w:eastAsia="cs-CZ"/>
              </w:rPr>
              <w:t>„</w:t>
            </w:r>
            <w:r w:rsidRPr="006F1C2D">
              <w:rPr>
                <w:rFonts w:cs="Arial"/>
                <w:b/>
                <w:sz w:val="14"/>
                <w:szCs w:val="18"/>
                <w:lang w:eastAsia="cs-CZ"/>
              </w:rPr>
              <w:t>ČNB</w:t>
            </w:r>
            <w:r w:rsidRPr="006F1C2D">
              <w:rPr>
                <w:rFonts w:cs="Arial"/>
                <w:sz w:val="14"/>
                <w:szCs w:val="18"/>
                <w:lang w:eastAsia="cs-CZ"/>
              </w:rPr>
              <w:t>“ je Česká národní banka</w:t>
            </w:r>
            <w:r w:rsidRPr="006F1C2D">
              <w:rPr>
                <w:rFonts w:cs="Arial"/>
                <w:sz w:val="14"/>
                <w:szCs w:val="18"/>
              </w:rPr>
              <w:t>, se sídlem Na Příkopě 28, 115 03 Praha 1</w:t>
            </w:r>
            <w:r w:rsidRPr="006F1C2D">
              <w:rPr>
                <w:rFonts w:cs="Arial"/>
                <w:sz w:val="14"/>
                <w:szCs w:val="18"/>
                <w:lang w:eastAsia="cs-CZ"/>
              </w:rPr>
              <w:t>.</w:t>
            </w:r>
          </w:p>
          <w:p w:rsidR="006F1C2D" w:rsidRPr="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Člen finanční skupiny Banky</w:t>
            </w:r>
            <w:r w:rsidRPr="006F1C2D">
              <w:rPr>
                <w:rFonts w:cs="Arial"/>
                <w:sz w:val="14"/>
                <w:szCs w:val="18"/>
                <w:lang w:eastAsia="cs-CZ"/>
              </w:rPr>
              <w:t>“ nebo „</w:t>
            </w:r>
            <w:r w:rsidRPr="006F1C2D">
              <w:rPr>
                <w:rFonts w:cs="Arial"/>
                <w:b/>
                <w:sz w:val="14"/>
                <w:szCs w:val="18"/>
                <w:lang w:eastAsia="cs-CZ"/>
              </w:rPr>
              <w:t>Člen FSKB</w:t>
            </w:r>
            <w:r w:rsidRPr="006F1C2D">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6F1C2D" w:rsidRPr="006F1C2D" w:rsidP="00A23369">
            <w:pPr>
              <w:spacing w:after="40"/>
              <w:jc w:val="both"/>
              <w:rPr>
                <w:rFonts w:cs="Arial"/>
                <w:sz w:val="14"/>
                <w:szCs w:val="18"/>
                <w:lang w:eastAsia="cs-CZ"/>
              </w:rPr>
            </w:pPr>
            <w:bookmarkStart w:id="31" w:name="_DV_M352"/>
            <w:bookmarkStart w:id="32" w:name="_DV_M353"/>
            <w:bookmarkEnd w:id="31"/>
            <w:bookmarkEnd w:id="32"/>
            <w:r w:rsidRPr="006F1C2D">
              <w:rPr>
                <w:rFonts w:cs="Arial"/>
                <w:sz w:val="14"/>
                <w:szCs w:val="18"/>
                <w:lang w:eastAsia="cs-CZ"/>
              </w:rPr>
              <w:t>„</w:t>
            </w:r>
            <w:r w:rsidRPr="006F1C2D">
              <w:rPr>
                <w:rFonts w:cs="Arial"/>
                <w:b/>
                <w:sz w:val="14"/>
                <w:szCs w:val="18"/>
                <w:lang w:eastAsia="cs-CZ"/>
              </w:rPr>
              <w:t>Elektronické výpisy</w:t>
            </w:r>
            <w:r w:rsidRPr="006F1C2D">
              <w:rPr>
                <w:rFonts w:cs="Arial"/>
                <w:sz w:val="14"/>
                <w:szCs w:val="18"/>
                <w:lang w:eastAsia="cs-CZ"/>
              </w:rPr>
              <w:t>“ jsou zprávy o zúčtování, kterými Banka informuje Klienta o provedených transakcích a o zůstatku na příslušném Účtu, a to v elektronickém formátu PDF, doručované Klientovi prostřednictvím služby přímého bankovnictví nebo jiným dohodnutým způsobem (např. e-mailem).</w:t>
            </w:r>
          </w:p>
          <w:p w:rsidR="006F1C2D" w:rsidRPr="006F1C2D" w:rsidP="00A23369">
            <w:pPr>
              <w:spacing w:after="40"/>
              <w:jc w:val="both"/>
              <w:rPr>
                <w:rFonts w:cs="Arial"/>
                <w:sz w:val="14"/>
                <w:szCs w:val="18"/>
                <w:lang w:eastAsia="cs-CZ"/>
              </w:rPr>
            </w:pPr>
            <w:bookmarkStart w:id="33" w:name="_DV_M354"/>
            <w:bookmarkStart w:id="34" w:name="_DV_M355"/>
            <w:bookmarkEnd w:id="33"/>
            <w:bookmarkEnd w:id="34"/>
            <w:r w:rsidRPr="006F1C2D">
              <w:rPr>
                <w:rFonts w:cs="Arial"/>
                <w:sz w:val="14"/>
                <w:szCs w:val="18"/>
                <w:lang w:eastAsia="cs-CZ"/>
              </w:rPr>
              <w:t>„</w:t>
            </w:r>
            <w:r w:rsidRPr="006F1C2D">
              <w:rPr>
                <w:rFonts w:cs="Arial"/>
                <w:b/>
                <w:sz w:val="14"/>
                <w:szCs w:val="18"/>
                <w:lang w:eastAsia="cs-CZ"/>
              </w:rPr>
              <w:t>Jedinečný identifikátor</w:t>
            </w:r>
            <w:r w:rsidRPr="006F1C2D">
              <w:rPr>
                <w:rFonts w:cs="Arial"/>
                <w:sz w:val="14"/>
                <w:szCs w:val="18"/>
                <w:lang w:eastAsia="cs-CZ"/>
              </w:rPr>
              <w:t xml:space="preserve">“ je bankovní spojení ve formátu IBAN (příp. číslo účtu) a BIC anebo v tuzemském platebním styku ve formátu čísla účtu a kódu banky. </w:t>
            </w:r>
          </w:p>
          <w:p w:rsidR="006F1C2D" w:rsidRPr="006F1C2D" w:rsidP="00A23369">
            <w:pPr>
              <w:spacing w:after="40"/>
              <w:jc w:val="both"/>
              <w:rPr>
                <w:rFonts w:cs="Arial"/>
                <w:sz w:val="14"/>
                <w:szCs w:val="18"/>
                <w:lang w:eastAsia="cs-CZ"/>
              </w:rPr>
            </w:pPr>
            <w:bookmarkStart w:id="35" w:name="_DV_M356"/>
            <w:bookmarkEnd w:id="35"/>
            <w:r w:rsidRPr="006F1C2D">
              <w:rPr>
                <w:rFonts w:cs="Arial"/>
                <w:sz w:val="14"/>
                <w:szCs w:val="18"/>
                <w:lang w:eastAsia="cs-CZ"/>
              </w:rPr>
              <w:t>„</w:t>
            </w:r>
            <w:r w:rsidRPr="006F1C2D">
              <w:rPr>
                <w:rFonts w:cs="Arial"/>
                <w:b/>
                <w:sz w:val="14"/>
                <w:szCs w:val="18"/>
                <w:lang w:eastAsia="cs-CZ"/>
              </w:rPr>
              <w:t>Jednající osoba</w:t>
            </w:r>
            <w:r w:rsidRPr="006F1C2D">
              <w:rPr>
                <w:rFonts w:cs="Arial"/>
                <w:sz w:val="14"/>
                <w:szCs w:val="18"/>
                <w:lang w:eastAsia="cs-CZ"/>
              </w:rPr>
              <w:t xml:space="preserve">“ je statutární orgán právnické osoby, případně členové statutárního orgánu právnické osoby, kteří jsou oprávněni jednat </w:t>
            </w:r>
            <w:bookmarkStart w:id="36" w:name="_DV_C219"/>
            <w:r w:rsidRPr="006F1C2D">
              <w:rPr>
                <w:rFonts w:cs="Arial"/>
                <w:sz w:val="14"/>
                <w:szCs w:val="18"/>
                <w:lang w:eastAsia="cs-CZ"/>
              </w:rPr>
              <w:t>za právnickou osobu</w:t>
            </w:r>
            <w:bookmarkStart w:id="37" w:name="_DV_M357"/>
            <w:bookmarkEnd w:id="36"/>
            <w:bookmarkEnd w:id="37"/>
            <w:r w:rsidRPr="006F1C2D">
              <w:rPr>
                <w:rFonts w:cs="Arial"/>
                <w:sz w:val="14"/>
                <w:szCs w:val="18"/>
                <w:lang w:eastAsia="cs-CZ"/>
              </w:rPr>
              <w:t xml:space="preserve"> navenek. </w:t>
            </w:r>
          </w:p>
          <w:p w:rsidR="006F1C2D" w:rsidRPr="006F1C2D" w:rsidP="00A23369">
            <w:pPr>
              <w:spacing w:after="40"/>
              <w:jc w:val="both"/>
              <w:rPr>
                <w:rFonts w:cs="Arial"/>
                <w:sz w:val="14"/>
                <w:szCs w:val="18"/>
                <w:lang w:eastAsia="cs-CZ"/>
              </w:rPr>
            </w:pPr>
            <w:bookmarkStart w:id="38" w:name="_DV_M358"/>
            <w:bookmarkEnd w:id="38"/>
            <w:r w:rsidRPr="006F1C2D">
              <w:rPr>
                <w:rFonts w:cs="Arial"/>
                <w:sz w:val="14"/>
                <w:szCs w:val="18"/>
                <w:lang w:eastAsia="cs-CZ"/>
              </w:rPr>
              <w:t>„</w:t>
            </w:r>
            <w:r w:rsidRPr="006F1C2D">
              <w:rPr>
                <w:rFonts w:cs="Arial"/>
                <w:b/>
                <w:sz w:val="14"/>
                <w:szCs w:val="18"/>
                <w:lang w:eastAsia="cs-CZ"/>
              </w:rPr>
              <w:t>Klient</w:t>
            </w:r>
            <w:r w:rsidRPr="006F1C2D">
              <w:rPr>
                <w:rFonts w:cs="Arial"/>
                <w:sz w:val="14"/>
                <w:szCs w:val="18"/>
                <w:lang w:eastAsia="cs-CZ"/>
              </w:rPr>
              <w:t xml:space="preserve">“ je </w:t>
            </w:r>
            <w:bookmarkStart w:id="39" w:name="_DV_M359"/>
            <w:bookmarkEnd w:id="39"/>
            <w:r w:rsidRPr="006F1C2D">
              <w:rPr>
                <w:rFonts w:cs="Arial"/>
                <w:sz w:val="14"/>
                <w:szCs w:val="18"/>
                <w:lang w:eastAsia="cs-CZ"/>
              </w:rPr>
              <w:t xml:space="preserve">jakákoli </w:t>
            </w:r>
            <w:bookmarkStart w:id="40" w:name="_DV_C222"/>
            <w:r w:rsidRPr="006F1C2D">
              <w:rPr>
                <w:rFonts w:cs="Arial"/>
                <w:sz w:val="14"/>
                <w:szCs w:val="18"/>
                <w:lang w:eastAsia="cs-CZ"/>
              </w:rPr>
              <w:t>osoba</w:t>
            </w:r>
            <w:bookmarkStart w:id="41" w:name="_DV_M360"/>
            <w:bookmarkEnd w:id="40"/>
            <w:bookmarkEnd w:id="41"/>
            <w:r w:rsidRPr="006F1C2D">
              <w:rPr>
                <w:rFonts w:cs="Arial"/>
                <w:sz w:val="14"/>
                <w:szCs w:val="18"/>
                <w:lang w:eastAsia="cs-CZ"/>
              </w:rPr>
              <w:t xml:space="preserve">, která využívá Bankovní služby, případně </w:t>
            </w:r>
            <w:bookmarkStart w:id="42" w:name="_DV_C224"/>
            <w:r w:rsidRPr="006F1C2D">
              <w:rPr>
                <w:rFonts w:cs="Arial"/>
                <w:sz w:val="14"/>
                <w:szCs w:val="18"/>
                <w:lang w:eastAsia="cs-CZ"/>
              </w:rPr>
              <w:t>žádá</w:t>
            </w:r>
            <w:bookmarkStart w:id="43" w:name="_DV_M361"/>
            <w:bookmarkEnd w:id="42"/>
            <w:bookmarkEnd w:id="43"/>
            <w:r w:rsidRPr="006F1C2D">
              <w:rPr>
                <w:rFonts w:cs="Arial"/>
                <w:sz w:val="14"/>
                <w:szCs w:val="18"/>
                <w:lang w:eastAsia="cs-CZ"/>
              </w:rPr>
              <w:t xml:space="preserve"> o poskytnutí Bankovních služeb.</w:t>
            </w:r>
          </w:p>
          <w:p w:rsidR="006F1C2D" w:rsidRPr="003E40D2" w:rsidP="00A23369">
            <w:pPr>
              <w:spacing w:after="40"/>
              <w:jc w:val="both"/>
              <w:rPr>
                <w:rFonts w:cs="Arial"/>
                <w:spacing w:val="-2"/>
                <w:sz w:val="14"/>
                <w:szCs w:val="18"/>
                <w:lang w:eastAsia="cs-CZ"/>
              </w:rPr>
            </w:pPr>
            <w:bookmarkStart w:id="44" w:name="_DV_M362"/>
            <w:bookmarkEnd w:id="44"/>
            <w:r w:rsidRPr="003E40D2">
              <w:rPr>
                <w:rFonts w:cs="Arial"/>
                <w:spacing w:val="-2"/>
                <w:sz w:val="14"/>
                <w:szCs w:val="18"/>
                <w:lang w:eastAsia="cs-CZ"/>
              </w:rPr>
              <w:t>„</w:t>
            </w:r>
            <w:r w:rsidRPr="003E40D2">
              <w:rPr>
                <w:rFonts w:cs="Arial"/>
                <w:b/>
                <w:spacing w:val="-2"/>
                <w:sz w:val="14"/>
                <w:szCs w:val="18"/>
                <w:lang w:eastAsia="cs-CZ"/>
              </w:rPr>
              <w:t>Klient mikropodnikatel</w:t>
            </w:r>
            <w:r w:rsidRPr="003E40D2">
              <w:rPr>
                <w:rFonts w:cs="Arial"/>
                <w:spacing w:val="-2"/>
                <w:sz w:val="14"/>
                <w:szCs w:val="18"/>
                <w:lang w:eastAsia="cs-CZ"/>
              </w:rPr>
              <w:t>“ je drobný podnikatel podle zákona o platebním styku, tj. právnická osoba podnikatel nebo fyzická osoba podnikatel, (a) který při uzavření Smlouvy dostatečným způsobem doloží, (i) že má méně než 10 zaměstnanců v hlavním pracovním poměru</w:t>
            </w:r>
            <w:bookmarkStart w:id="45" w:name="_DV_M363"/>
            <w:bookmarkEnd w:id="45"/>
            <w:r>
              <w:rPr>
                <w:rFonts w:cs="Arial"/>
                <w:spacing w:val="-2"/>
                <w:position w:val="4"/>
                <w:sz w:val="12"/>
                <w:szCs w:val="18"/>
                <w:lang w:eastAsia="cs-CZ"/>
              </w:rPr>
              <w:footnoteReference w:id="23"/>
            </w:r>
            <w:r w:rsidRPr="003E40D2">
              <w:rPr>
                <w:rFonts w:cs="Arial"/>
                <w:spacing w:val="-2"/>
                <w:sz w:val="14"/>
                <w:szCs w:val="18"/>
                <w:lang w:eastAsia="cs-CZ"/>
              </w:rPr>
              <w:t xml:space="preserve"> a zároveň (ii) roční obrat nebo bilanční sumu roční rozvahy nejvýše v částce odpovídající částce 2 000 000 EUR</w:t>
            </w:r>
            <w:bookmarkStart w:id="46" w:name="_DV_M364"/>
            <w:bookmarkEnd w:id="46"/>
            <w:r>
              <w:rPr>
                <w:rFonts w:cs="Arial"/>
                <w:spacing w:val="-2"/>
                <w:position w:val="4"/>
                <w:sz w:val="12"/>
                <w:szCs w:val="18"/>
                <w:lang w:eastAsia="cs-CZ"/>
              </w:rPr>
              <w:footnoteReference w:id="24"/>
            </w:r>
            <w:r w:rsidRPr="003E40D2">
              <w:rPr>
                <w:rFonts w:cs="Arial"/>
                <w:spacing w:val="-2"/>
                <w:sz w:val="14"/>
                <w:szCs w:val="18"/>
                <w:vertAlign w:val="superscript"/>
                <w:lang w:eastAsia="cs-CZ"/>
              </w:rPr>
              <w:t xml:space="preserve"> </w:t>
            </w:r>
            <w:r w:rsidRPr="003E40D2">
              <w:rPr>
                <w:rFonts w:cs="Arial"/>
                <w:spacing w:val="-2"/>
                <w:sz w:val="14"/>
                <w:szCs w:val="18"/>
                <w:lang w:eastAsia="cs-CZ"/>
              </w:rPr>
              <w:t xml:space="preserve">nebo v případě, že od vzniku Klienta nebo zahájení jeho podnikání uplynulo méně než jedno účetní období, prohlásí, že očekávaný roční obrat nebo bilanční suma roční rozvahy za první účetní období nepřesáhne uvedenou částku nebo (b) který splní výše uvedené podmínky v době uzavření dodatku ke Smlouvě za účelem zohlednění změn v plnění výše uvedených podmínek pro přiznání statusu Klienta mikropodnikatele. Banka je přitom oprávněna považovat splnění výše uvedených podmínek za neprokázané, pokud Klient Bance na její výzvu nedoloží, že výše uvedené podmínky k danému datu splňuje. </w:t>
            </w:r>
          </w:p>
          <w:p w:rsidR="006F1C2D" w:rsidRPr="006F1C2D" w:rsidP="00A23369">
            <w:pPr>
              <w:spacing w:after="40"/>
              <w:jc w:val="both"/>
              <w:rPr>
                <w:rFonts w:cs="Arial"/>
                <w:sz w:val="14"/>
                <w:szCs w:val="18"/>
                <w:lang w:eastAsia="cs-CZ"/>
              </w:rPr>
            </w:pPr>
            <w:bookmarkStart w:id="47" w:name="_DV_M365"/>
            <w:bookmarkEnd w:id="47"/>
            <w:r w:rsidRPr="006F1C2D">
              <w:rPr>
                <w:rFonts w:cs="Arial"/>
                <w:sz w:val="14"/>
                <w:szCs w:val="18"/>
                <w:lang w:eastAsia="cs-CZ"/>
              </w:rPr>
              <w:t>„</w:t>
            </w:r>
            <w:r w:rsidRPr="006F1C2D">
              <w:rPr>
                <w:rFonts w:cs="Arial"/>
                <w:b/>
                <w:sz w:val="14"/>
                <w:szCs w:val="18"/>
                <w:lang w:eastAsia="cs-CZ"/>
              </w:rPr>
              <w:t>Klient spotřebitel</w:t>
            </w:r>
            <w:r w:rsidRPr="006F1C2D">
              <w:rPr>
                <w:rFonts w:cs="Arial"/>
                <w:sz w:val="14"/>
                <w:szCs w:val="18"/>
                <w:lang w:eastAsia="cs-CZ"/>
              </w:rPr>
              <w:t xml:space="preserve">“ je fyzická osoba, která při uzavírání a plnění Smlouvy nejedná v rámci </w:t>
            </w:r>
            <w:bookmarkStart w:id="48" w:name="_DV_C233"/>
            <w:r w:rsidRPr="006F1C2D">
              <w:rPr>
                <w:rFonts w:cs="Arial"/>
                <w:sz w:val="14"/>
                <w:szCs w:val="18"/>
                <w:lang w:eastAsia="cs-CZ"/>
              </w:rPr>
              <w:t xml:space="preserve">své </w:t>
            </w:r>
            <w:bookmarkStart w:id="49" w:name="_DV_M366"/>
            <w:bookmarkEnd w:id="48"/>
            <w:bookmarkEnd w:id="49"/>
            <w:r w:rsidRPr="006F1C2D">
              <w:rPr>
                <w:rFonts w:cs="Arial"/>
                <w:sz w:val="14"/>
                <w:szCs w:val="18"/>
                <w:lang w:eastAsia="cs-CZ"/>
              </w:rPr>
              <w:t>podnikatelské činnosti anebo v rámci samostatného výkonu svého povolání, případně osoba, která žádá o poskytnutí Bankovní služby.</w:t>
            </w:r>
          </w:p>
          <w:p w:rsidR="006F1C2D" w:rsidRPr="006F1C2D" w:rsidP="00A23369">
            <w:pPr>
              <w:spacing w:after="40"/>
              <w:jc w:val="both"/>
              <w:rPr>
                <w:rFonts w:cs="Arial"/>
                <w:sz w:val="14"/>
                <w:szCs w:val="18"/>
                <w:lang w:eastAsia="cs-CZ"/>
              </w:rPr>
            </w:pPr>
            <w:bookmarkStart w:id="50" w:name="_DV_M367"/>
            <w:bookmarkEnd w:id="50"/>
            <w:r w:rsidRPr="006F1C2D">
              <w:rPr>
                <w:rFonts w:cs="Arial"/>
                <w:sz w:val="14"/>
                <w:szCs w:val="18"/>
                <w:lang w:eastAsia="cs-CZ"/>
              </w:rPr>
              <w:t>„</w:t>
            </w:r>
            <w:r w:rsidRPr="006F1C2D">
              <w:rPr>
                <w:rFonts w:cs="Arial"/>
                <w:b/>
                <w:sz w:val="14"/>
                <w:szCs w:val="18"/>
                <w:lang w:eastAsia="cs-CZ"/>
              </w:rPr>
              <w:t>Klientovo obchodní místo</w:t>
            </w:r>
            <w:r w:rsidRPr="006F1C2D">
              <w:rPr>
                <w:rFonts w:cs="Arial"/>
                <w:sz w:val="14"/>
                <w:szCs w:val="18"/>
                <w:lang w:eastAsia="cs-CZ"/>
              </w:rPr>
              <w:t>“ je obchodní místo Banky, které vede Klientovi Účet nebo kde Klient uzavřel příslušnou Smlouvu.</w:t>
            </w:r>
          </w:p>
          <w:p w:rsidR="006F1C2D" w:rsidRPr="006F1C2D" w:rsidP="00A23369">
            <w:pPr>
              <w:spacing w:after="40"/>
              <w:jc w:val="both"/>
              <w:rPr>
                <w:rFonts w:cs="Arial"/>
                <w:sz w:val="14"/>
                <w:szCs w:val="18"/>
                <w:lang w:eastAsia="cs-CZ"/>
              </w:rPr>
            </w:pPr>
            <w:bookmarkStart w:id="51" w:name="_DV_C234"/>
            <w:r w:rsidRPr="006F1C2D">
              <w:rPr>
                <w:rFonts w:cs="Arial"/>
                <w:sz w:val="14"/>
                <w:szCs w:val="18"/>
                <w:lang w:eastAsia="cs-CZ"/>
              </w:rPr>
              <w:t>„</w:t>
            </w:r>
            <w:r w:rsidRPr="006F1C2D">
              <w:rPr>
                <w:rFonts w:cs="Arial"/>
                <w:b/>
                <w:sz w:val="14"/>
                <w:szCs w:val="18"/>
                <w:lang w:eastAsia="cs-CZ"/>
              </w:rPr>
              <w:t>Kontaktní adresa</w:t>
            </w:r>
            <w:r w:rsidRPr="006F1C2D">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bookmarkEnd w:id="51"/>
          </w:p>
          <w:p w:rsidR="006F1C2D" w:rsidRPr="006F1C2D" w:rsidP="00A23369">
            <w:pPr>
              <w:spacing w:after="40"/>
              <w:jc w:val="both"/>
              <w:rPr>
                <w:rFonts w:cs="Arial"/>
                <w:i/>
                <w:sz w:val="14"/>
                <w:szCs w:val="18"/>
                <w:lang w:eastAsia="cs-CZ"/>
              </w:rPr>
            </w:pPr>
            <w:bookmarkStart w:id="52" w:name="_DV_M368"/>
            <w:bookmarkEnd w:id="52"/>
            <w:r w:rsidRPr="006F1C2D">
              <w:rPr>
                <w:rFonts w:cs="Arial"/>
                <w:sz w:val="14"/>
                <w:szCs w:val="18"/>
                <w:lang w:eastAsia="cs-CZ"/>
              </w:rPr>
              <w:t>„</w:t>
            </w:r>
            <w:r w:rsidRPr="006F1C2D">
              <w:rPr>
                <w:rFonts w:cs="Arial"/>
                <w:b/>
                <w:sz w:val="14"/>
                <w:szCs w:val="18"/>
                <w:lang w:eastAsia="cs-CZ"/>
              </w:rPr>
              <w:t>Kurz</w:t>
            </w:r>
            <w:r w:rsidRPr="006F1C2D">
              <w:rPr>
                <w:rFonts w:cs="Arial"/>
                <w:sz w:val="14"/>
                <w:szCs w:val="18"/>
                <w:lang w:eastAsia="cs-CZ"/>
              </w:rPr>
              <w:t xml:space="preserve">“ je směnný kurz vyhlašovaný Bankou. </w:t>
            </w:r>
          </w:p>
          <w:p w:rsidR="006F1C2D" w:rsidRPr="006F1C2D" w:rsidP="00A23369">
            <w:pPr>
              <w:spacing w:after="40"/>
              <w:jc w:val="both"/>
              <w:rPr>
                <w:rFonts w:cs="Arial"/>
                <w:sz w:val="14"/>
                <w:szCs w:val="18"/>
                <w:lang w:eastAsia="cs-CZ"/>
              </w:rPr>
            </w:pPr>
            <w:bookmarkStart w:id="53" w:name="_DV_M369"/>
            <w:bookmarkEnd w:id="53"/>
            <w:r w:rsidRPr="006F1C2D">
              <w:rPr>
                <w:rFonts w:cs="Arial"/>
                <w:sz w:val="14"/>
                <w:szCs w:val="18"/>
                <w:lang w:eastAsia="cs-CZ"/>
              </w:rPr>
              <w:t>„</w:t>
            </w:r>
            <w:r w:rsidRPr="006F1C2D">
              <w:rPr>
                <w:rFonts w:cs="Arial"/>
                <w:b/>
                <w:sz w:val="14"/>
                <w:szCs w:val="18"/>
                <w:lang w:eastAsia="cs-CZ"/>
              </w:rPr>
              <w:t>Kvalifikovaný klient</w:t>
            </w:r>
            <w:r w:rsidRPr="006F1C2D">
              <w:rPr>
                <w:rFonts w:cs="Arial"/>
                <w:sz w:val="14"/>
                <w:szCs w:val="18"/>
                <w:lang w:eastAsia="cs-CZ"/>
              </w:rPr>
              <w:t>“</w:t>
            </w:r>
            <w:r w:rsidRPr="006F1C2D">
              <w:rPr>
                <w:rFonts w:cs="Arial"/>
                <w:i/>
                <w:sz w:val="14"/>
                <w:szCs w:val="18"/>
                <w:lang w:eastAsia="cs-CZ"/>
              </w:rPr>
              <w:t xml:space="preserve"> </w:t>
            </w:r>
            <w:r w:rsidRPr="006F1C2D">
              <w:rPr>
                <w:rFonts w:cs="Arial"/>
                <w:sz w:val="14"/>
                <w:szCs w:val="18"/>
                <w:lang w:eastAsia="cs-CZ"/>
              </w:rPr>
              <w:t>je Klient mikropodnikatel nebo Klient spotřebitel v souvislosti s poskytováním Platebních služeb.</w:t>
            </w:r>
          </w:p>
          <w:p w:rsidR="00844DB6" w:rsidP="00A23369">
            <w:pPr>
              <w:spacing w:after="40"/>
              <w:jc w:val="both"/>
              <w:rPr>
                <w:rFonts w:cs="Arial"/>
                <w:sz w:val="14"/>
                <w:szCs w:val="18"/>
                <w:lang w:eastAsia="cs-CZ"/>
              </w:rPr>
            </w:pPr>
            <w:bookmarkStart w:id="54" w:name="_DV_M370"/>
            <w:bookmarkEnd w:id="54"/>
            <w:r w:rsidRPr="006F1C2D">
              <w:rPr>
                <w:rFonts w:cs="Arial"/>
                <w:sz w:val="14"/>
                <w:szCs w:val="18"/>
                <w:lang w:eastAsia="cs-CZ"/>
              </w:rPr>
              <w:t>„</w:t>
            </w:r>
            <w:r w:rsidRPr="006F1C2D">
              <w:rPr>
                <w:rFonts w:cs="Arial"/>
                <w:b/>
                <w:sz w:val="14"/>
                <w:szCs w:val="18"/>
                <w:lang w:eastAsia="cs-CZ"/>
              </w:rPr>
              <w:t>Marketingová činnost</w:t>
            </w:r>
            <w:r w:rsidRPr="006F1C2D">
              <w:rPr>
                <w:rFonts w:cs="Arial"/>
                <w:sz w:val="14"/>
                <w:szCs w:val="18"/>
                <w:lang w:eastAsia="cs-CZ"/>
              </w:rPr>
              <w:t xml:space="preserve">“ </w:t>
            </w:r>
            <w:r w:rsidRPr="00844DB6">
              <w:rPr>
                <w:rFonts w:cs="Arial"/>
                <w:sz w:val="14"/>
                <w:szCs w:val="18"/>
                <w:lang w:eastAsia="cs-CZ"/>
              </w:rPr>
              <w:t>je soubor činností vedoucích k 1) poznání Klientovy situace, životního stylu a potřeb, prostřednictvím zjišťování a</w:t>
            </w:r>
            <w:r>
              <w:rPr>
                <w:rFonts w:cs="Arial"/>
                <w:sz w:val="14"/>
                <w:szCs w:val="18"/>
                <w:lang w:eastAsia="cs-CZ"/>
              </w:rPr>
              <w:t> </w:t>
            </w:r>
            <w:r w:rsidRPr="00844DB6">
              <w:rPr>
                <w:rFonts w:cs="Arial"/>
                <w:sz w:val="14"/>
                <w:szCs w:val="18"/>
                <w:lang w:eastAsia="cs-CZ"/>
              </w:rPr>
              <w:t>vyhodnocování jeho představ, možností, specifických potřeb a událostí; 2) informování Klientů o produktech a službách Správce a</w:t>
            </w:r>
            <w:r>
              <w:rPr>
                <w:rFonts w:cs="Arial"/>
                <w:sz w:val="14"/>
                <w:szCs w:val="18"/>
                <w:lang w:eastAsia="cs-CZ"/>
              </w:rPr>
              <w:t> </w:t>
            </w:r>
            <w:r w:rsidRPr="00844DB6">
              <w:rPr>
                <w:rFonts w:cs="Arial"/>
                <w:sz w:val="14"/>
                <w:szCs w:val="18"/>
                <w:lang w:eastAsia="cs-CZ"/>
              </w:rPr>
              <w:t>vybraných obchodních partnerů;</w:t>
            </w:r>
            <w:r w:rsidR="009974BF">
              <w:rPr>
                <w:rFonts w:cs="Arial"/>
                <w:sz w:val="14"/>
                <w:szCs w:val="18"/>
                <w:lang w:eastAsia="cs-CZ"/>
              </w:rPr>
              <w:t xml:space="preserve"> </w:t>
            </w:r>
            <w:r w:rsidRPr="00844DB6">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Pr="00844DB6">
              <w:rPr>
                <w:rFonts w:cs="Arial"/>
                <w:sz w:val="14"/>
                <w:szCs w:val="18"/>
                <w:lang w:eastAsia="cs-CZ"/>
              </w:rPr>
              <w:t xml:space="preserve"> </w:t>
            </w:r>
            <w:bookmarkStart w:id="55" w:name="_DV_M371"/>
            <w:bookmarkEnd w:id="55"/>
          </w:p>
          <w:p w:rsidR="006F1C2D" w:rsidRPr="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Obchodní den</w:t>
            </w:r>
            <w:r w:rsidRPr="006F1C2D">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6F1C2D" w:rsidRPr="006F1C2D" w:rsidP="00A23369">
            <w:pPr>
              <w:spacing w:after="40"/>
              <w:jc w:val="both"/>
              <w:rPr>
                <w:rFonts w:cs="Arial"/>
                <w:sz w:val="14"/>
                <w:szCs w:val="18"/>
                <w:lang w:eastAsia="cs-CZ"/>
              </w:rPr>
            </w:pPr>
            <w:bookmarkStart w:id="56" w:name="_DV_M372"/>
            <w:bookmarkStart w:id="57" w:name="_DV_M373"/>
            <w:bookmarkEnd w:id="56"/>
            <w:bookmarkEnd w:id="57"/>
            <w:r w:rsidRPr="006F1C2D">
              <w:rPr>
                <w:rFonts w:cs="Arial"/>
                <w:sz w:val="14"/>
                <w:szCs w:val="18"/>
                <w:lang w:eastAsia="cs-CZ"/>
              </w:rPr>
              <w:t>„</w:t>
            </w:r>
            <w:r w:rsidRPr="006F1C2D">
              <w:rPr>
                <w:rFonts w:cs="Arial"/>
                <w:b/>
                <w:sz w:val="14"/>
                <w:szCs w:val="18"/>
                <w:lang w:eastAsia="cs-CZ"/>
              </w:rPr>
              <w:t>Oprávněná osoba</w:t>
            </w:r>
            <w:r w:rsidRPr="006F1C2D">
              <w:rPr>
                <w:rFonts w:cs="Arial"/>
                <w:sz w:val="14"/>
                <w:szCs w:val="18"/>
                <w:lang w:eastAsia="cs-CZ"/>
              </w:rPr>
              <w:t xml:space="preserve">“ je osoba uvedená na Podpisovém vzoru Klienta. </w:t>
            </w:r>
          </w:p>
          <w:p w:rsidR="006F1C2D" w:rsidRPr="006F1C2D" w:rsidP="00A23369">
            <w:pPr>
              <w:spacing w:after="40"/>
              <w:jc w:val="both"/>
              <w:rPr>
                <w:rFonts w:cs="Arial"/>
                <w:sz w:val="14"/>
                <w:szCs w:val="18"/>
                <w:lang w:eastAsia="cs-CZ"/>
              </w:rPr>
            </w:pPr>
            <w:bookmarkStart w:id="58" w:name="_DV_M374"/>
            <w:bookmarkEnd w:id="58"/>
            <w:r w:rsidRPr="006F1C2D">
              <w:rPr>
                <w:rFonts w:cs="Arial"/>
                <w:sz w:val="14"/>
                <w:szCs w:val="18"/>
                <w:lang w:eastAsia="cs-CZ"/>
              </w:rPr>
              <w:t>„</w:t>
            </w:r>
            <w:r w:rsidRPr="006F1C2D">
              <w:rPr>
                <w:rFonts w:cs="Arial"/>
                <w:b/>
                <w:sz w:val="14"/>
                <w:szCs w:val="18"/>
                <w:lang w:eastAsia="cs-CZ"/>
              </w:rPr>
              <w:t>Osoba se zvláštním vztahem k Bance</w:t>
            </w:r>
            <w:r w:rsidRPr="006F1C2D">
              <w:rPr>
                <w:rFonts w:cs="Arial"/>
                <w:sz w:val="14"/>
                <w:szCs w:val="18"/>
                <w:lang w:eastAsia="cs-CZ"/>
              </w:rPr>
              <w:t>“ je osoba uvedená v § 19 z. č. 21/1992 Sb., zákon o bankách, ve znění pozdějších předpisů.</w:t>
            </w:r>
          </w:p>
          <w:p w:rsidR="006F1C2D" w:rsidRPr="006F1C2D" w:rsidP="00A23369">
            <w:pPr>
              <w:spacing w:after="40"/>
              <w:jc w:val="both"/>
              <w:rPr>
                <w:rFonts w:cs="Arial"/>
                <w:sz w:val="14"/>
                <w:szCs w:val="18"/>
                <w:lang w:eastAsia="cs-CZ"/>
              </w:rPr>
            </w:pPr>
            <w:bookmarkStart w:id="59" w:name="_DV_M375"/>
            <w:bookmarkEnd w:id="59"/>
            <w:r w:rsidRPr="006F1C2D">
              <w:rPr>
                <w:rFonts w:cs="Arial"/>
                <w:sz w:val="14"/>
                <w:szCs w:val="18"/>
                <w:lang w:eastAsia="cs-CZ"/>
              </w:rPr>
              <w:t>„</w:t>
            </w:r>
            <w:r w:rsidRPr="006F1C2D">
              <w:rPr>
                <w:rFonts w:cs="Arial"/>
                <w:b/>
                <w:sz w:val="14"/>
                <w:szCs w:val="18"/>
                <w:lang w:eastAsia="cs-CZ"/>
              </w:rPr>
              <w:t>Osoba ovládaná SG</w:t>
            </w:r>
            <w:r w:rsidRPr="006F1C2D">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844DB6" w:rsidRPr="003E40D2" w:rsidP="00A23369">
            <w:pPr>
              <w:spacing w:after="40"/>
              <w:jc w:val="both"/>
              <w:rPr>
                <w:spacing w:val="-2"/>
                <w:sz w:val="14"/>
                <w:lang w:eastAsia="cs-CZ"/>
              </w:rPr>
            </w:pPr>
            <w:bookmarkStart w:id="60" w:name="_DV_M376"/>
            <w:bookmarkEnd w:id="60"/>
            <w:r w:rsidRPr="003E40D2">
              <w:rPr>
                <w:rFonts w:cs="Arial"/>
                <w:spacing w:val="-2"/>
                <w:sz w:val="14"/>
                <w:szCs w:val="18"/>
                <w:lang w:eastAsia="cs-CZ"/>
              </w:rPr>
              <w:t>„</w:t>
            </w:r>
            <w:r w:rsidRPr="003E40D2">
              <w:rPr>
                <w:rFonts w:cs="Arial"/>
                <w:b/>
                <w:spacing w:val="-2"/>
                <w:sz w:val="14"/>
                <w:szCs w:val="18"/>
                <w:lang w:eastAsia="cs-CZ"/>
              </w:rPr>
              <w:t>Osobní údaje</w:t>
            </w:r>
            <w:r w:rsidRPr="003E40D2">
              <w:rPr>
                <w:rFonts w:cs="Arial"/>
                <w:spacing w:val="-2"/>
                <w:sz w:val="14"/>
                <w:szCs w:val="18"/>
                <w:lang w:eastAsia="cs-CZ"/>
              </w:rPr>
              <w:t xml:space="preserve">“ </w:t>
            </w:r>
            <w:r w:rsidRPr="003E40D2">
              <w:rPr>
                <w:spacing w:val="-2"/>
                <w:sz w:val="14"/>
                <w:lang w:eastAsia="cs-CZ"/>
              </w:rPr>
              <w:t>jsou identifikační údaje, zejména jméno, příjmení, adresa, datum narození, rodné číslo, kontaktní údaje pro osobní, písemnou, telefonickou či elektronickou komunikaci, obchodní a organizační vazby na podnikatele, údaje charakterizující Klientovu bonitu a důvěryhodnost, včetně příslušných podkladů pro jejich vyhodnocení, například účetní výkazy Klienta údaje vystihující obchodní a</w:t>
            </w:r>
            <w:r w:rsidRPr="003E40D2" w:rsidR="003E40D2">
              <w:rPr>
                <w:spacing w:val="-2"/>
                <w:sz w:val="14"/>
                <w:lang w:eastAsia="cs-CZ"/>
              </w:rPr>
              <w:t> </w:t>
            </w:r>
            <w:r w:rsidRPr="003E40D2">
              <w:rPr>
                <w:spacing w:val="-2"/>
                <w:sz w:val="14"/>
                <w:lang w:eastAsia="cs-CZ"/>
              </w:rPr>
              <w:t>marketingovou charakteristiku Klienta, Klientem poskytnuté údaje, údaje o užívání služeb a produktů Správců, údaje o přístupu a používání internetových stránek (vč. Klientem zadaných informací, místa a času užití), o platebních i jiných finančních operacích a další finanční ukazatele a výkazy. Osobní údaje neobsahují citlivé osobní údaje dle z. č. 101/2000 Sb.</w:t>
            </w:r>
          </w:p>
          <w:p w:rsidR="006F1C2D" w:rsidRPr="006F1C2D" w:rsidP="00A23369">
            <w:pPr>
              <w:spacing w:after="40"/>
              <w:jc w:val="both"/>
              <w:rPr>
                <w:rFonts w:cs="Arial"/>
                <w:sz w:val="14"/>
                <w:szCs w:val="18"/>
                <w:lang w:eastAsia="cs-CZ"/>
              </w:rPr>
            </w:pPr>
            <w:bookmarkStart w:id="61" w:name="_DV_M377"/>
            <w:bookmarkStart w:id="62" w:name="_Toc78800503"/>
            <w:bookmarkEnd w:id="61"/>
            <w:r w:rsidRPr="006F1C2D">
              <w:rPr>
                <w:rFonts w:cs="Arial"/>
                <w:b/>
                <w:sz w:val="14"/>
                <w:szCs w:val="18"/>
                <w:lang w:eastAsia="cs-CZ"/>
              </w:rPr>
              <w:t>Oznámení</w:t>
            </w:r>
            <w:r w:rsidRPr="006F1C2D">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bookmarkStart w:id="63" w:name="_DV_M378"/>
            <w:bookmarkEnd w:id="62"/>
            <w:bookmarkEnd w:id="63"/>
          </w:p>
          <w:p w:rsidR="006F1C2D" w:rsidRPr="006F1C2D" w:rsidP="00A23369">
            <w:pPr>
              <w:spacing w:after="40"/>
              <w:jc w:val="both"/>
              <w:rPr>
                <w:rFonts w:cs="Arial"/>
                <w:sz w:val="14"/>
                <w:szCs w:val="18"/>
                <w:lang w:eastAsia="cs-CZ"/>
              </w:rPr>
            </w:pPr>
            <w:bookmarkStart w:id="64" w:name="_DV_M379"/>
            <w:bookmarkEnd w:id="64"/>
            <w:r w:rsidRPr="006F1C2D">
              <w:rPr>
                <w:rFonts w:cs="Arial"/>
                <w:sz w:val="14"/>
                <w:szCs w:val="18"/>
                <w:lang w:eastAsia="cs-CZ"/>
              </w:rPr>
              <w:t>„</w:t>
            </w:r>
            <w:r w:rsidRPr="006F1C2D">
              <w:rPr>
                <w:rFonts w:cs="Arial"/>
                <w:b/>
                <w:sz w:val="14"/>
                <w:szCs w:val="18"/>
                <w:lang w:eastAsia="cs-CZ"/>
              </w:rPr>
              <w:t>Oznámení o provádění platebního styku</w:t>
            </w:r>
            <w:r w:rsidRPr="006F1C2D">
              <w:rPr>
                <w:rFonts w:cs="Arial"/>
                <w:sz w:val="14"/>
                <w:szCs w:val="18"/>
                <w:lang w:eastAsia="cs-CZ"/>
              </w:rPr>
              <w:t>“ je Oznámením, v němž jsou stanoveny podmínky poskytování služeb platebního styku, zejména lhůty pro provádění platebních transakcí.</w:t>
            </w:r>
          </w:p>
          <w:p w:rsidR="006F1C2D" w:rsidRPr="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Oznámení o úrokových sazbách</w:t>
            </w:r>
            <w:r w:rsidRPr="006F1C2D">
              <w:rPr>
                <w:rFonts w:cs="Arial"/>
                <w:sz w:val="14"/>
                <w:szCs w:val="18"/>
                <w:lang w:eastAsia="cs-CZ"/>
              </w:rPr>
              <w:t xml:space="preserve">“ je přehled všech úrokových sazeb vkladů a úvěrů a sazeb s nimi souvisejících. Tento přehled není Oznámením. </w:t>
            </w:r>
          </w:p>
          <w:p w:rsidR="006F1C2D" w:rsidRPr="006F1C2D" w:rsidP="00A23369">
            <w:pPr>
              <w:spacing w:after="40"/>
              <w:jc w:val="both"/>
              <w:rPr>
                <w:rFonts w:cs="Arial"/>
                <w:sz w:val="14"/>
                <w:szCs w:val="18"/>
                <w:lang w:eastAsia="cs-CZ"/>
              </w:rPr>
            </w:pPr>
            <w:bookmarkStart w:id="65" w:name="_DV_M380"/>
            <w:bookmarkEnd w:id="65"/>
            <w:r w:rsidRPr="006F1C2D">
              <w:rPr>
                <w:rFonts w:cs="Arial"/>
                <w:sz w:val="14"/>
                <w:szCs w:val="18"/>
                <w:lang w:eastAsia="cs-CZ"/>
              </w:rPr>
              <w:t>„</w:t>
            </w:r>
            <w:r w:rsidRPr="006F1C2D">
              <w:rPr>
                <w:rFonts w:cs="Arial"/>
                <w:b/>
                <w:sz w:val="14"/>
                <w:szCs w:val="18"/>
                <w:lang w:eastAsia="cs-CZ"/>
              </w:rPr>
              <w:t>Platební prostředek</w:t>
            </w:r>
            <w:r w:rsidRPr="006F1C2D">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6F1C2D" w:rsidRPr="006F1C2D" w:rsidP="00A23369">
            <w:pPr>
              <w:spacing w:after="40"/>
              <w:jc w:val="both"/>
              <w:rPr>
                <w:rFonts w:cs="Arial"/>
                <w:sz w:val="14"/>
                <w:szCs w:val="18"/>
                <w:lang w:eastAsia="cs-CZ"/>
              </w:rPr>
            </w:pPr>
            <w:bookmarkStart w:id="66" w:name="_DV_M381"/>
            <w:bookmarkEnd w:id="66"/>
            <w:r w:rsidRPr="006F1C2D">
              <w:rPr>
                <w:rFonts w:cs="Arial"/>
                <w:sz w:val="14"/>
                <w:szCs w:val="18"/>
                <w:lang w:eastAsia="cs-CZ"/>
              </w:rPr>
              <w:t>„</w:t>
            </w:r>
            <w:r w:rsidRPr="006F1C2D">
              <w:rPr>
                <w:rFonts w:cs="Arial"/>
                <w:b/>
                <w:sz w:val="14"/>
                <w:szCs w:val="18"/>
                <w:lang w:eastAsia="cs-CZ"/>
              </w:rPr>
              <w:t>Platební služby</w:t>
            </w:r>
            <w:r w:rsidRPr="006F1C2D">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6F1C2D" w:rsidRPr="006F1C2D" w:rsidP="00A23369">
            <w:pPr>
              <w:spacing w:after="40"/>
              <w:jc w:val="both"/>
              <w:rPr>
                <w:rFonts w:cs="Arial"/>
                <w:sz w:val="14"/>
                <w:szCs w:val="18"/>
                <w:lang w:eastAsia="cs-CZ"/>
              </w:rPr>
            </w:pPr>
            <w:bookmarkStart w:id="67" w:name="_DV_M382"/>
            <w:bookmarkEnd w:id="67"/>
            <w:r w:rsidRPr="006F1C2D">
              <w:rPr>
                <w:rFonts w:cs="Arial"/>
                <w:sz w:val="14"/>
                <w:szCs w:val="18"/>
                <w:lang w:eastAsia="cs-CZ"/>
              </w:rPr>
              <w:t>„</w:t>
            </w:r>
            <w:r w:rsidRPr="006F1C2D">
              <w:rPr>
                <w:rFonts w:cs="Arial"/>
                <w:b/>
                <w:sz w:val="14"/>
                <w:szCs w:val="18"/>
                <w:lang w:eastAsia="cs-CZ"/>
              </w:rPr>
              <w:t>Platební Účet</w:t>
            </w:r>
            <w:r w:rsidRPr="006F1C2D">
              <w:rPr>
                <w:rFonts w:cs="Arial"/>
                <w:sz w:val="14"/>
                <w:szCs w:val="18"/>
                <w:lang w:eastAsia="cs-CZ"/>
              </w:rPr>
              <w:t xml:space="preserve">“ je Účet, který je platebním účtem ve smyslu zákona o platebním styku, tj. účet, který slouží k provádění platebních transakcí. </w:t>
            </w:r>
          </w:p>
          <w:p w:rsidR="006F1C2D" w:rsidRPr="003E40D2" w:rsidP="00A23369">
            <w:pPr>
              <w:spacing w:after="40"/>
              <w:jc w:val="both"/>
              <w:rPr>
                <w:rFonts w:cs="Arial"/>
                <w:spacing w:val="-2"/>
                <w:sz w:val="14"/>
                <w:szCs w:val="18"/>
                <w:lang w:eastAsia="cs-CZ"/>
              </w:rPr>
            </w:pPr>
            <w:bookmarkStart w:id="68" w:name="_DV_M383"/>
            <w:bookmarkEnd w:id="68"/>
            <w:r w:rsidRPr="003E40D2">
              <w:rPr>
                <w:rFonts w:cs="Arial"/>
                <w:spacing w:val="-2"/>
                <w:sz w:val="14"/>
                <w:szCs w:val="18"/>
                <w:lang w:eastAsia="cs-CZ"/>
              </w:rPr>
              <w:t>„</w:t>
            </w:r>
            <w:r w:rsidRPr="003E40D2">
              <w:rPr>
                <w:rFonts w:cs="Arial"/>
                <w:b/>
                <w:spacing w:val="-2"/>
                <w:sz w:val="14"/>
                <w:szCs w:val="18"/>
                <w:lang w:eastAsia="cs-CZ"/>
              </w:rPr>
              <w:t>Podpisový vzor</w:t>
            </w:r>
            <w:r w:rsidRPr="003E40D2">
              <w:rPr>
                <w:rFonts w:cs="Arial"/>
                <w:spacing w:val="-2"/>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6F1C2D" w:rsidRPr="006F1C2D" w:rsidP="00A23369">
            <w:pPr>
              <w:spacing w:after="40"/>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Politicky exponovaná osoba</w:t>
            </w:r>
            <w:r w:rsidRPr="006F1C2D">
              <w:rPr>
                <w:rFonts w:cs="Arial"/>
                <w:bCs/>
                <w:sz w:val="14"/>
                <w:szCs w:val="18"/>
                <w:lang w:eastAsia="cs-CZ"/>
              </w:rPr>
              <w:t>“</w:t>
            </w:r>
            <w:r w:rsidRPr="006F1C2D">
              <w:rPr>
                <w:rFonts w:cs="Arial"/>
                <w:sz w:val="14"/>
                <w:szCs w:val="18"/>
                <w:lang w:eastAsia="cs-CZ"/>
              </w:rPr>
              <w:t xml:space="preserve"> je fyzická osoba, která zastává významnou veřejnou funkci s celostátní působností nebo se jedná o osobu blízkou k této osobě. Politická exponovanost osoby trvá po dobu výkonu funkce a dále po dobu jednoho roku po ukončení výkonu této funkce. </w:t>
            </w:r>
          </w:p>
          <w:p w:rsidR="006F1C2D" w:rsidRPr="006F1C2D" w:rsidP="00A23369">
            <w:pPr>
              <w:spacing w:after="40"/>
              <w:jc w:val="both"/>
              <w:rPr>
                <w:rFonts w:cs="Arial"/>
                <w:sz w:val="14"/>
                <w:szCs w:val="18"/>
                <w:lang w:eastAsia="cs-CZ"/>
              </w:rPr>
            </w:pPr>
            <w:bookmarkStart w:id="69" w:name="_DV_M384"/>
            <w:bookmarkEnd w:id="69"/>
            <w:r w:rsidRPr="006F1C2D">
              <w:rPr>
                <w:rFonts w:cs="Arial"/>
                <w:sz w:val="14"/>
                <w:szCs w:val="18"/>
                <w:lang w:eastAsia="cs-CZ"/>
              </w:rPr>
              <w:t>„</w:t>
            </w:r>
            <w:r w:rsidRPr="006F1C2D">
              <w:rPr>
                <w:rFonts w:cs="Arial"/>
                <w:b/>
                <w:sz w:val="14"/>
                <w:szCs w:val="18"/>
                <w:lang w:eastAsia="cs-CZ"/>
              </w:rPr>
              <w:t>Produktové podmínky</w:t>
            </w:r>
            <w:r w:rsidRPr="006F1C2D">
              <w:rPr>
                <w:rFonts w:cs="Arial"/>
                <w:sz w:val="14"/>
                <w:szCs w:val="18"/>
                <w:lang w:eastAsia="cs-CZ"/>
              </w:rPr>
              <w:t>“ jsou podmínky Banky upravující poskytování jednotlivých Bankovních služeb.</w:t>
            </w:r>
          </w:p>
          <w:p w:rsidR="006F1C2D" w:rsidRPr="006F1C2D" w:rsidP="00A23369">
            <w:pPr>
              <w:spacing w:after="40"/>
              <w:jc w:val="both"/>
              <w:rPr>
                <w:rFonts w:cs="Arial"/>
                <w:sz w:val="14"/>
                <w:szCs w:val="18"/>
                <w:lang w:eastAsia="cs-CZ"/>
              </w:rPr>
            </w:pPr>
            <w:bookmarkStart w:id="70" w:name="_DV_M385"/>
            <w:bookmarkEnd w:id="70"/>
            <w:r w:rsidRPr="006F1C2D">
              <w:rPr>
                <w:rFonts w:cs="Arial"/>
                <w:sz w:val="14"/>
                <w:szCs w:val="18"/>
                <w:lang w:eastAsia="cs-CZ"/>
              </w:rPr>
              <w:t>„</w:t>
            </w:r>
            <w:r w:rsidRPr="006F1C2D">
              <w:rPr>
                <w:rFonts w:cs="Arial"/>
                <w:b/>
                <w:sz w:val="14"/>
                <w:szCs w:val="18"/>
                <w:lang w:eastAsia="cs-CZ"/>
              </w:rPr>
              <w:t>Příkaz</w:t>
            </w:r>
            <w:r w:rsidRPr="006F1C2D">
              <w:rPr>
                <w:rFonts w:cs="Arial"/>
                <w:sz w:val="14"/>
                <w:szCs w:val="18"/>
                <w:lang w:eastAsia="cs-CZ"/>
              </w:rPr>
              <w:t>“ je platební příkaz, tj. pokyn Klienta, jímž Banku žádá o provedení platební transakce.</w:t>
            </w:r>
          </w:p>
          <w:p w:rsidR="006F1C2D" w:rsidRPr="006F1C2D" w:rsidP="00A23369">
            <w:pPr>
              <w:spacing w:after="40"/>
              <w:jc w:val="both"/>
              <w:rPr>
                <w:rFonts w:cs="Arial"/>
                <w:sz w:val="14"/>
                <w:szCs w:val="18"/>
                <w:lang w:eastAsia="cs-CZ"/>
              </w:rPr>
            </w:pPr>
            <w:bookmarkStart w:id="71" w:name="_DV_M386"/>
            <w:bookmarkEnd w:id="71"/>
            <w:r w:rsidRPr="006F1C2D">
              <w:rPr>
                <w:rFonts w:cs="Arial"/>
                <w:sz w:val="14"/>
                <w:szCs w:val="18"/>
                <w:lang w:eastAsia="cs-CZ"/>
              </w:rPr>
              <w:t>„</w:t>
            </w:r>
            <w:r w:rsidRPr="006F1C2D">
              <w:rPr>
                <w:rFonts w:cs="Arial"/>
                <w:b/>
                <w:sz w:val="14"/>
                <w:szCs w:val="18"/>
                <w:lang w:eastAsia="cs-CZ"/>
              </w:rPr>
              <w:t>Rozhodný den</w:t>
            </w:r>
            <w:r w:rsidRPr="006F1C2D">
              <w:rPr>
                <w:rFonts w:cs="Arial"/>
                <w:sz w:val="14"/>
                <w:szCs w:val="18"/>
                <w:lang w:eastAsia="cs-CZ"/>
              </w:rPr>
              <w:t>“ je den, kdy se Banka hodnověrným způsobem dozví o úmrtí klienta</w:t>
            </w:r>
            <w:bookmarkStart w:id="72" w:name="_DV_C235"/>
            <w:r w:rsidRPr="006F1C2D">
              <w:rPr>
                <w:rFonts w:cs="Arial"/>
                <w:sz w:val="14"/>
                <w:szCs w:val="18"/>
                <w:lang w:eastAsia="cs-CZ"/>
              </w:rPr>
              <w:t xml:space="preserve"> nebo o jeho prohlášení za nezvěstného</w:t>
            </w:r>
            <w:bookmarkStart w:id="73" w:name="_DV_M387"/>
            <w:bookmarkEnd w:id="72"/>
            <w:bookmarkEnd w:id="73"/>
            <w:r w:rsidRPr="006F1C2D">
              <w:rPr>
                <w:rFonts w:cs="Arial"/>
                <w:sz w:val="14"/>
                <w:szCs w:val="18"/>
                <w:lang w:eastAsia="cs-CZ"/>
              </w:rPr>
              <w:t>, tj. den, kdy jsou Klientovu</w:t>
            </w:r>
            <w:bookmarkStart w:id="74" w:name="_DV_M388"/>
            <w:bookmarkEnd w:id="74"/>
            <w:r w:rsidRPr="006F1C2D">
              <w:rPr>
                <w:rFonts w:cs="Arial"/>
                <w:sz w:val="14"/>
                <w:szCs w:val="18"/>
                <w:lang w:eastAsia="cs-CZ"/>
              </w:rPr>
              <w:t xml:space="preserve"> obchodnímu místu Banky doručeny průkazné doklady o skutečnosti, že Klient zemřel nebo byl prohlášen za mrtvého</w:t>
            </w:r>
            <w:bookmarkStart w:id="75" w:name="_DV_C236"/>
            <w:r w:rsidRPr="006F1C2D">
              <w:rPr>
                <w:rFonts w:cs="Arial"/>
                <w:sz w:val="14"/>
                <w:szCs w:val="18"/>
                <w:lang w:eastAsia="cs-CZ"/>
              </w:rPr>
              <w:t xml:space="preserve"> nebo nezvěstného</w:t>
            </w:r>
            <w:bookmarkStart w:id="76" w:name="_DV_M389"/>
            <w:bookmarkEnd w:id="75"/>
            <w:bookmarkEnd w:id="76"/>
            <w:r w:rsidRPr="006F1C2D">
              <w:rPr>
                <w:rFonts w:cs="Arial"/>
                <w:sz w:val="14"/>
                <w:szCs w:val="18"/>
                <w:lang w:eastAsia="cs-CZ"/>
              </w:rPr>
              <w:t xml:space="preserve"> (např. úmrtní list, přípis soudu nebo notáře provádějícího dědické řízení, rozhodnutí soudu s doložkou právní moci o prohlášení Klienta za mrtvého</w:t>
            </w:r>
            <w:bookmarkStart w:id="77" w:name="_DV_C238"/>
            <w:r w:rsidRPr="006F1C2D">
              <w:rPr>
                <w:rFonts w:cs="Arial"/>
                <w:sz w:val="14"/>
                <w:szCs w:val="18"/>
                <w:lang w:eastAsia="cs-CZ"/>
              </w:rPr>
              <w:t xml:space="preserve"> nebo nezvěstného</w:t>
            </w:r>
            <w:bookmarkEnd w:id="77"/>
            <w:r w:rsidRPr="006F1C2D">
              <w:rPr>
                <w:rFonts w:cs="Arial"/>
                <w:sz w:val="14"/>
                <w:szCs w:val="18"/>
                <w:lang w:eastAsia="cs-CZ"/>
              </w:rPr>
              <w:t>).</w:t>
            </w:r>
          </w:p>
          <w:p w:rsidR="006F1C2D" w:rsidRPr="006F1C2D" w:rsidP="00A23369">
            <w:pPr>
              <w:spacing w:after="40"/>
              <w:jc w:val="both"/>
              <w:rPr>
                <w:rFonts w:cs="Arial"/>
                <w:sz w:val="14"/>
                <w:szCs w:val="18"/>
                <w:lang w:eastAsia="cs-CZ"/>
              </w:rPr>
            </w:pPr>
            <w:bookmarkStart w:id="78" w:name="_DV_M390"/>
            <w:bookmarkEnd w:id="78"/>
            <w:r w:rsidRPr="006F1C2D">
              <w:rPr>
                <w:rFonts w:cs="Arial"/>
                <w:sz w:val="14"/>
                <w:szCs w:val="18"/>
                <w:lang w:eastAsia="cs-CZ"/>
              </w:rPr>
              <w:t>„</w:t>
            </w:r>
            <w:r w:rsidRPr="006F1C2D">
              <w:rPr>
                <w:rFonts w:cs="Arial"/>
                <w:b/>
                <w:sz w:val="14"/>
                <w:szCs w:val="18"/>
                <w:lang w:eastAsia="cs-CZ"/>
              </w:rPr>
              <w:t>Sazebník</w:t>
            </w:r>
            <w:r w:rsidRPr="006F1C2D">
              <w:rPr>
                <w:rFonts w:cs="Arial"/>
                <w:sz w:val="14"/>
                <w:szCs w:val="18"/>
                <w:lang w:eastAsia="cs-CZ"/>
              </w:rPr>
              <w:t>“ je přehled všech poplatků, ostatních cen a jiných plateb za Bankovní služby a za úkony s Bankovními službami související.</w:t>
            </w:r>
          </w:p>
          <w:p w:rsidR="006F1C2D" w:rsidRPr="006F1C2D" w:rsidP="00A23369">
            <w:pPr>
              <w:spacing w:after="40"/>
              <w:jc w:val="both"/>
              <w:rPr>
                <w:rFonts w:cs="Arial"/>
                <w:sz w:val="14"/>
                <w:szCs w:val="18"/>
                <w:lang w:eastAsia="cs-CZ"/>
              </w:rPr>
            </w:pPr>
            <w:bookmarkStart w:id="79" w:name="_DV_M391"/>
            <w:bookmarkEnd w:id="79"/>
            <w:r w:rsidRPr="006F1C2D">
              <w:rPr>
                <w:rFonts w:cs="Arial"/>
                <w:sz w:val="14"/>
                <w:szCs w:val="18"/>
                <w:lang w:eastAsia="cs-CZ"/>
              </w:rPr>
              <w:t>„</w:t>
            </w:r>
            <w:r w:rsidRPr="006F1C2D">
              <w:rPr>
                <w:rFonts w:cs="Arial"/>
                <w:b/>
                <w:sz w:val="14"/>
                <w:szCs w:val="18"/>
                <w:lang w:eastAsia="cs-CZ"/>
              </w:rPr>
              <w:t>SG</w:t>
            </w:r>
            <w:r w:rsidRPr="006F1C2D">
              <w:rPr>
                <w:rFonts w:cs="Arial"/>
                <w:sz w:val="14"/>
                <w:szCs w:val="18"/>
                <w:lang w:eastAsia="cs-CZ"/>
              </w:rPr>
              <w:t>“ je Société Générale SA, B 552 120 222, se sídlem 29, Boulevard Haussmann, 75009 Paříž, Francie.</w:t>
            </w:r>
          </w:p>
          <w:p w:rsidR="006F1C2D" w:rsidRPr="006F1C2D" w:rsidP="00A23369">
            <w:pPr>
              <w:spacing w:after="40"/>
              <w:jc w:val="both"/>
              <w:rPr>
                <w:rFonts w:cs="Arial"/>
                <w:sz w:val="14"/>
                <w:szCs w:val="18"/>
                <w:lang w:eastAsia="cs-CZ"/>
              </w:rPr>
            </w:pPr>
            <w:bookmarkStart w:id="80" w:name="_DV_M392"/>
            <w:bookmarkEnd w:id="80"/>
            <w:r w:rsidRPr="006F1C2D">
              <w:rPr>
                <w:rFonts w:cs="Arial"/>
                <w:sz w:val="14"/>
                <w:szCs w:val="18"/>
                <w:lang w:eastAsia="cs-CZ"/>
              </w:rPr>
              <w:t>„</w:t>
            </w:r>
            <w:r w:rsidRPr="006F1C2D">
              <w:rPr>
                <w:rFonts w:cs="Arial"/>
                <w:b/>
                <w:sz w:val="14"/>
                <w:szCs w:val="18"/>
                <w:lang w:eastAsia="cs-CZ"/>
              </w:rPr>
              <w:t>Skutečný majitel</w:t>
            </w:r>
            <w:r w:rsidRPr="006F1C2D">
              <w:rPr>
                <w:rFonts w:cs="Arial"/>
                <w:sz w:val="14"/>
                <w:szCs w:val="18"/>
                <w:lang w:eastAsia="cs-CZ"/>
              </w:rPr>
              <w:t>“ je fyzická osoba, která vykonává rozhodující vliv na řízení nebo provozování podnikatele nebo disponuje více než 25% hlasovacích práv podnikatele nebo jednající ve shodě s jinými fyzickými osobami, které disponují více než 25% hlasovacích práv podnikatele nebo která je příjemcem výnosů z činnosti podnikatele nebo jiná osoba, která splňuje znaky skutečného majitele ve smyslu zákona o některých opatřeních proti legalizaci výnosů z trestné činnosti a financování terorismu</w:t>
            </w:r>
            <w:bookmarkStart w:id="81" w:name="_DV_M394"/>
            <w:bookmarkEnd w:id="81"/>
            <w:r>
              <w:rPr>
                <w:rFonts w:cs="Arial"/>
                <w:position w:val="4"/>
                <w:sz w:val="12"/>
                <w:szCs w:val="18"/>
                <w:lang w:eastAsia="cs-CZ"/>
              </w:rPr>
              <w:footnoteReference w:id="25"/>
            </w:r>
            <w:r w:rsidRPr="006F1C2D">
              <w:rPr>
                <w:rFonts w:cs="Arial"/>
                <w:sz w:val="14"/>
                <w:szCs w:val="18"/>
                <w:lang w:eastAsia="cs-CZ"/>
              </w:rPr>
              <w:t>. Banka je v odůvodněných případech oprávněna při zjišťování Skutečného majitele považovat za určující i nižší procento hlasovacích práv.</w:t>
            </w:r>
          </w:p>
          <w:p w:rsidR="006F1C2D" w:rsidRPr="006F1C2D" w:rsidP="00A23369">
            <w:pPr>
              <w:spacing w:after="40"/>
              <w:jc w:val="both"/>
              <w:rPr>
                <w:rFonts w:cs="Arial"/>
                <w:sz w:val="14"/>
                <w:szCs w:val="18"/>
                <w:lang w:eastAsia="cs-CZ"/>
              </w:rPr>
            </w:pPr>
            <w:bookmarkStart w:id="82" w:name="_DV_M395"/>
            <w:bookmarkEnd w:id="82"/>
            <w:r w:rsidRPr="006F1C2D">
              <w:rPr>
                <w:rFonts w:cs="Arial"/>
                <w:sz w:val="14"/>
                <w:szCs w:val="18"/>
                <w:lang w:eastAsia="cs-CZ"/>
              </w:rPr>
              <w:t>„</w:t>
            </w:r>
            <w:r w:rsidRPr="006F1C2D">
              <w:rPr>
                <w:rFonts w:cs="Arial"/>
                <w:b/>
                <w:sz w:val="14"/>
                <w:szCs w:val="18"/>
                <w:lang w:eastAsia="cs-CZ"/>
              </w:rPr>
              <w:t>Smlouva</w:t>
            </w:r>
            <w:r w:rsidRPr="006F1C2D">
              <w:rPr>
                <w:rFonts w:cs="Arial"/>
                <w:sz w:val="14"/>
                <w:szCs w:val="18"/>
                <w:lang w:eastAsia="cs-CZ"/>
              </w:rPr>
              <w:t>“ je smlouva nebo dohoda o poskytnutí Bankovní služby uzavřená mezi Klientem a Bankou.</w:t>
            </w:r>
          </w:p>
          <w:p w:rsidR="006F1C2D" w:rsidRPr="006F1C2D" w:rsidP="00A23369">
            <w:pPr>
              <w:spacing w:after="40"/>
              <w:jc w:val="both"/>
              <w:rPr>
                <w:rFonts w:cs="Arial"/>
                <w:sz w:val="14"/>
                <w:szCs w:val="18"/>
                <w:lang w:eastAsia="cs-CZ"/>
              </w:rPr>
            </w:pPr>
            <w:bookmarkStart w:id="83" w:name="_DV_M396"/>
            <w:bookmarkEnd w:id="83"/>
            <w:r w:rsidRPr="006F1C2D">
              <w:rPr>
                <w:rFonts w:cs="Arial"/>
                <w:sz w:val="14"/>
                <w:szCs w:val="18"/>
                <w:lang w:eastAsia="cs-CZ"/>
              </w:rPr>
              <w:t>„</w:t>
            </w:r>
            <w:r w:rsidRPr="006F1C2D">
              <w:rPr>
                <w:rFonts w:cs="Arial"/>
                <w:b/>
                <w:sz w:val="14"/>
                <w:szCs w:val="18"/>
                <w:lang w:eastAsia="cs-CZ"/>
              </w:rPr>
              <w:t>Smlouva o Platebních službách</w:t>
            </w:r>
            <w:r w:rsidRPr="006F1C2D">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6F1C2D" w:rsidRPr="006F1C2D" w:rsidP="00A23369">
            <w:pPr>
              <w:spacing w:after="40"/>
              <w:jc w:val="both"/>
              <w:rPr>
                <w:rFonts w:cs="Arial"/>
                <w:sz w:val="14"/>
                <w:szCs w:val="18"/>
                <w:lang w:eastAsia="cs-CZ"/>
              </w:rPr>
            </w:pPr>
            <w:bookmarkStart w:id="84" w:name="_DV_M397"/>
            <w:bookmarkEnd w:id="84"/>
            <w:r w:rsidRPr="006F1C2D">
              <w:rPr>
                <w:rFonts w:cs="Arial"/>
                <w:sz w:val="14"/>
                <w:szCs w:val="18"/>
                <w:lang w:eastAsia="cs-CZ"/>
              </w:rPr>
              <w:t>„</w:t>
            </w:r>
            <w:r w:rsidRPr="006F1C2D">
              <w:rPr>
                <w:rFonts w:cs="Arial"/>
                <w:b/>
                <w:sz w:val="14"/>
                <w:szCs w:val="18"/>
                <w:lang w:eastAsia="cs-CZ"/>
              </w:rPr>
              <w:t>Správce</w:t>
            </w:r>
            <w:r w:rsidRPr="006F1C2D">
              <w:rPr>
                <w:rFonts w:cs="Arial"/>
                <w:sz w:val="14"/>
                <w:szCs w:val="18"/>
                <w:lang w:eastAsia="cs-CZ"/>
              </w:rPr>
              <w:t>“ je SG, Banka, Členové FSKB a Osoby ovládané SG a Investiční kapitálová společnost KB, a.s., IČO: 60196769.</w:t>
            </w:r>
          </w:p>
          <w:p w:rsidR="006F1C2D" w:rsidRPr="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Transakce mimo EHP</w:t>
            </w:r>
            <w:r w:rsidRPr="006F1C2D">
              <w:rPr>
                <w:rFonts w:cs="Arial"/>
                <w:sz w:val="14"/>
                <w:szCs w:val="18"/>
                <w:lang w:eastAsia="cs-CZ"/>
              </w:rPr>
              <w:t>“ jsou platební transakce (i) z nebo do státu, který není členem Evropského hospodářského prostoru, nebo (ii) v měnách, které nejsou měnou státu Evropského hospodářského prostoru.</w:t>
            </w:r>
          </w:p>
          <w:p w:rsidR="006F1C2D" w:rsidRPr="006F1C2D" w:rsidP="00A23369">
            <w:pPr>
              <w:spacing w:after="40"/>
              <w:jc w:val="both"/>
              <w:rPr>
                <w:rFonts w:cs="Arial"/>
                <w:sz w:val="14"/>
                <w:szCs w:val="18"/>
                <w:lang w:eastAsia="cs-CZ"/>
              </w:rPr>
            </w:pPr>
            <w:bookmarkStart w:id="85" w:name="_DV_M398"/>
            <w:bookmarkStart w:id="86" w:name="_DV_M399"/>
            <w:bookmarkEnd w:id="85"/>
            <w:bookmarkEnd w:id="86"/>
            <w:r w:rsidRPr="006F1C2D">
              <w:rPr>
                <w:rFonts w:cs="Arial"/>
                <w:sz w:val="14"/>
                <w:szCs w:val="18"/>
                <w:lang w:eastAsia="cs-CZ"/>
              </w:rPr>
              <w:t>„</w:t>
            </w:r>
            <w:r w:rsidRPr="006F1C2D">
              <w:rPr>
                <w:rFonts w:cs="Arial"/>
                <w:b/>
                <w:sz w:val="14"/>
                <w:szCs w:val="18"/>
                <w:lang w:eastAsia="cs-CZ"/>
              </w:rPr>
              <w:t>Účet</w:t>
            </w:r>
            <w:r w:rsidRPr="006F1C2D">
              <w:rPr>
                <w:rFonts w:cs="Arial"/>
                <w:sz w:val="14"/>
                <w:szCs w:val="18"/>
                <w:lang w:eastAsia="cs-CZ"/>
              </w:rPr>
              <w:t>“ je běžný, spořící nebo termínovaný účet Klienta vedený Bankou.</w:t>
            </w:r>
          </w:p>
          <w:p w:rsidR="006F1C2D" w:rsidRPr="006F1C2D" w:rsidP="00A23369">
            <w:pPr>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U.S. osoba</w:t>
            </w:r>
            <w:r w:rsidRPr="006F1C2D">
              <w:rPr>
                <w:rFonts w:cs="Arial"/>
                <w:bCs/>
                <w:sz w:val="14"/>
                <w:szCs w:val="18"/>
                <w:lang w:eastAsia="cs-CZ"/>
              </w:rPr>
              <w:t>“</w:t>
            </w:r>
            <w:r w:rsidRPr="006F1C2D">
              <w:rPr>
                <w:rFonts w:cs="Arial"/>
                <w:sz w:val="14"/>
                <w:szCs w:val="18"/>
                <w:lang w:eastAsia="cs-CZ"/>
              </w:rPr>
              <w:t xml:space="preserve"> je </w:t>
            </w:r>
          </w:p>
          <w:p w:rsidR="006F1C2D" w:rsidRPr="006F1C2D" w:rsidP="00562D0E">
            <w:pPr>
              <w:numPr>
                <w:ilvl w:val="0"/>
                <w:numId w:val="7"/>
              </w:numPr>
              <w:ind w:left="227" w:hanging="227"/>
              <w:jc w:val="both"/>
              <w:rPr>
                <w:rFonts w:cs="Arial"/>
                <w:sz w:val="14"/>
                <w:szCs w:val="18"/>
                <w:lang w:eastAsia="cs-CZ"/>
              </w:rPr>
            </w:pPr>
            <w:r w:rsidRPr="006F1C2D">
              <w:rPr>
                <w:rFonts w:cs="Arial"/>
                <w:sz w:val="14"/>
                <w:szCs w:val="18"/>
                <w:lang w:eastAsia="cs-CZ"/>
              </w:rPr>
              <w:t>fyzická osoba, která má státní občanství Spojených států amerických (dále jen jako „USA“) a/nebo je rezidentem USA. Rezident USA je definován jako osoba, která</w:t>
            </w:r>
          </w:p>
          <w:p w:rsidR="006F1C2D" w:rsidRPr="006F1C2D" w:rsidP="00562D0E">
            <w:pPr>
              <w:numPr>
                <w:ilvl w:val="0"/>
                <w:numId w:val="1"/>
              </w:numPr>
              <w:ind w:left="454" w:hanging="227"/>
              <w:contextualSpacing/>
              <w:jc w:val="both"/>
              <w:rPr>
                <w:sz w:val="14"/>
              </w:rPr>
            </w:pPr>
            <w:r w:rsidRPr="006F1C2D">
              <w:rPr>
                <w:sz w:val="14"/>
              </w:rPr>
              <w:t>je držitelem zelené karty (bez ohledu na státní občanství kterékoli jiné země) a/nebo</w:t>
            </w:r>
          </w:p>
          <w:p w:rsidR="006F1C2D" w:rsidRPr="006F1C2D" w:rsidP="00562D0E">
            <w:pPr>
              <w:numPr>
                <w:ilvl w:val="0"/>
                <w:numId w:val="1"/>
              </w:numPr>
              <w:ind w:left="454" w:hanging="227"/>
              <w:jc w:val="both"/>
              <w:rPr>
                <w:sz w:val="14"/>
              </w:rPr>
            </w:pPr>
            <w:r w:rsidRPr="006F1C2D">
              <w:rPr>
                <w:sz w:val="14"/>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6F1C2D" w:rsidRPr="003E40D2" w:rsidP="00562D0E">
            <w:pPr>
              <w:numPr>
                <w:ilvl w:val="0"/>
                <w:numId w:val="7"/>
              </w:numPr>
              <w:spacing w:before="40" w:after="40"/>
              <w:ind w:left="227" w:hanging="227"/>
              <w:jc w:val="both"/>
              <w:rPr>
                <w:rFonts w:cs="Arial"/>
                <w:spacing w:val="-2"/>
                <w:sz w:val="14"/>
                <w:szCs w:val="18"/>
                <w:lang w:eastAsia="cs-CZ"/>
              </w:rPr>
            </w:pPr>
            <w:r w:rsidRPr="003E40D2">
              <w:rPr>
                <w:rFonts w:cs="Arial"/>
                <w:spacing w:val="-2"/>
                <w:sz w:val="14"/>
                <w:szCs w:val="18"/>
                <w:lang w:eastAsia="cs-CZ"/>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6F1C2D" w:rsidRPr="006F1C2D" w:rsidP="006F1C2D">
            <w:pPr>
              <w:spacing w:before="40" w:after="40"/>
              <w:jc w:val="both"/>
              <w:rPr>
                <w:rFonts w:cs="Arial"/>
                <w:sz w:val="14"/>
                <w:szCs w:val="18"/>
                <w:lang w:eastAsia="cs-CZ"/>
              </w:rPr>
            </w:pPr>
            <w:bookmarkStart w:id="87" w:name="_DV_M400"/>
            <w:bookmarkStart w:id="88" w:name="_DV_M401"/>
            <w:bookmarkEnd w:id="87"/>
            <w:bookmarkEnd w:id="88"/>
            <w:r w:rsidRPr="006F1C2D">
              <w:rPr>
                <w:rFonts w:cs="Arial"/>
                <w:sz w:val="14"/>
                <w:szCs w:val="18"/>
                <w:lang w:eastAsia="cs-CZ"/>
              </w:rPr>
              <w:t>„</w:t>
            </w:r>
            <w:r w:rsidRPr="006F1C2D">
              <w:rPr>
                <w:rFonts w:cs="Arial"/>
                <w:b/>
                <w:sz w:val="14"/>
                <w:szCs w:val="18"/>
                <w:lang w:eastAsia="cs-CZ"/>
              </w:rPr>
              <w:t>Zásilky</w:t>
            </w:r>
            <w:r w:rsidRPr="006F1C2D">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6F1C2D" w:rsidRPr="006F1C2D" w:rsidP="006F1C2D">
            <w:pPr>
              <w:spacing w:before="40" w:after="40"/>
              <w:jc w:val="both"/>
              <w:rPr>
                <w:rFonts w:cs="Arial"/>
                <w:sz w:val="14"/>
                <w:szCs w:val="18"/>
              </w:rPr>
            </w:pPr>
            <w:bookmarkStart w:id="89" w:name="_DV_M402"/>
            <w:bookmarkEnd w:id="89"/>
            <w:r w:rsidRPr="006F1C2D">
              <w:rPr>
                <w:rFonts w:cs="Arial"/>
                <w:sz w:val="14"/>
                <w:szCs w:val="18"/>
                <w:lang w:eastAsia="cs-CZ"/>
              </w:rPr>
              <w:t>„</w:t>
            </w:r>
            <w:r w:rsidRPr="006F1C2D">
              <w:rPr>
                <w:rFonts w:cs="Arial"/>
                <w:b/>
                <w:sz w:val="14"/>
                <w:szCs w:val="18"/>
                <w:lang w:eastAsia="cs-CZ"/>
              </w:rPr>
              <w:t>Zmocněnec</w:t>
            </w:r>
            <w:r w:rsidRPr="006F1C2D">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36.2</w:t>
            </w:r>
          </w:p>
        </w:tc>
        <w:tc>
          <w:tcPr>
            <w:tcW w:w="9009" w:type="dxa"/>
            <w:tcBorders>
              <w:left w:val="single" w:sz="6" w:space="0" w:color="C8C8C8"/>
            </w:tcBorders>
            <w:noWrap/>
            <w:tcMar>
              <w:left w:w="113" w:type="dxa"/>
              <w:right w:w="113" w:type="dxa"/>
            </w:tcMar>
          </w:tcPr>
          <w:p w:rsidR="006F1C2D" w:rsidRPr="006F1C2D" w:rsidP="00A23369">
            <w:pPr>
              <w:spacing w:before="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6F1C2D" w:rsidRPr="006F1C2D" w:rsidP="00591D95">
            <w:pPr>
              <w:numPr>
                <w:ilvl w:val="0"/>
                <w:numId w:val="8"/>
              </w:numPr>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6F1C2D" w:rsidRPr="006F1C2D" w:rsidP="00591D95">
            <w:pPr>
              <w:numPr>
                <w:ilvl w:val="0"/>
                <w:numId w:val="8"/>
              </w:numPr>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6F1C2D" w:rsidRPr="006F1C2D" w:rsidP="00591D95">
            <w:pPr>
              <w:numPr>
                <w:ilvl w:val="0"/>
                <w:numId w:val="8"/>
              </w:numPr>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6F1C2D" w:rsidRPr="006F1C2D" w:rsidP="00591D95">
            <w:pPr>
              <w:numPr>
                <w:ilvl w:val="0"/>
                <w:numId w:val="8"/>
              </w:numPr>
              <w:ind w:left="227" w:hanging="227"/>
              <w:jc w:val="both"/>
              <w:rPr>
                <w:rFonts w:cs="Arial"/>
                <w:sz w:val="14"/>
                <w:szCs w:val="18"/>
              </w:rPr>
            </w:pPr>
            <w:r w:rsidRPr="006F1C2D">
              <w:rPr>
                <w:rFonts w:cs="Arial"/>
                <w:sz w:val="14"/>
                <w:szCs w:val="18"/>
              </w:rPr>
              <w:t>pojmem „příkaz“ se rozumí jak Příkaz, tak případně i jiný pokyn Klienta Bance;</w:t>
            </w:r>
          </w:p>
          <w:p w:rsidR="006F1C2D" w:rsidRPr="006F1C2D" w:rsidP="00591D95">
            <w:pPr>
              <w:numPr>
                <w:ilvl w:val="0"/>
                <w:numId w:val="8"/>
              </w:numPr>
              <w:ind w:left="227" w:hanging="227"/>
              <w:jc w:val="both"/>
              <w:rPr>
                <w:rFonts w:cs="Arial"/>
                <w:sz w:val="14"/>
                <w:szCs w:val="18"/>
              </w:rPr>
            </w:pPr>
            <w:r w:rsidRPr="006F1C2D">
              <w:rPr>
                <w:rFonts w:cs="Arial"/>
                <w:sz w:val="14"/>
                <w:szCs w:val="18"/>
              </w:rPr>
              <w:t>platební transakcí se rozumí vklad peněžních prostředků na Účet nebo výběr peněžních prostředků z Účtu nebo bezhotovostní převod peněžních prostředků z Účtu nebo na Účet;</w:t>
            </w:r>
          </w:p>
          <w:p w:rsidR="006F1C2D" w:rsidRPr="006F1C2D" w:rsidP="00591D95">
            <w:pPr>
              <w:numPr>
                <w:ilvl w:val="0"/>
                <w:numId w:val="8"/>
              </w:numPr>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6F1C2D" w:rsidRPr="006F1C2D" w:rsidP="00591D95">
            <w:pPr>
              <w:numPr>
                <w:ilvl w:val="0"/>
                <w:numId w:val="8"/>
              </w:numPr>
              <w:ind w:left="227" w:hanging="227"/>
              <w:jc w:val="both"/>
              <w:rPr>
                <w:rFonts w:cs="Arial"/>
                <w:sz w:val="14"/>
                <w:szCs w:val="18"/>
              </w:rPr>
            </w:pPr>
            <w:r w:rsidRPr="006F1C2D">
              <w:rPr>
                <w:rFonts w:cs="Arial"/>
                <w:sz w:val="14"/>
                <w:szCs w:val="18"/>
              </w:rPr>
              <w:t>poštou se rozumí provozovatel poštovních služeb;</w:t>
            </w:r>
          </w:p>
          <w:p w:rsidR="006F1C2D" w:rsidRPr="006F1C2D" w:rsidP="00591D95">
            <w:pPr>
              <w:numPr>
                <w:ilvl w:val="0"/>
                <w:numId w:val="8"/>
              </w:numPr>
              <w:ind w:left="227" w:hanging="227"/>
              <w:jc w:val="both"/>
              <w:rPr>
                <w:rFonts w:cs="Arial"/>
                <w:sz w:val="14"/>
                <w:szCs w:val="18"/>
              </w:rPr>
            </w:pPr>
            <w:r w:rsidRPr="006F1C2D">
              <w:rPr>
                <w:rFonts w:cs="Arial"/>
                <w:sz w:val="14"/>
                <w:szCs w:val="18"/>
              </w:rPr>
              <w:t>osobami jednajícími jménem či za Klienta se rozumí Zmocněnec, Jednající osoba a Oprávněna osoba.</w:t>
            </w:r>
          </w:p>
          <w:p w:rsidR="006F1C2D" w:rsidRPr="006F1C2D" w:rsidP="00591D95">
            <w:pPr>
              <w:numPr>
                <w:ilvl w:val="0"/>
                <w:numId w:val="8"/>
              </w:numPr>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p>
          <w:p w:rsidR="006F1C2D" w:rsidRPr="006F1C2D" w:rsidP="00562D0E">
            <w:pPr>
              <w:numPr>
                <w:ilvl w:val="0"/>
                <w:numId w:val="8"/>
              </w:numPr>
              <w:spacing w:after="40"/>
              <w:ind w:left="227" w:hanging="227"/>
              <w:jc w:val="both"/>
              <w:rPr>
                <w:rFonts w:cs="Arial"/>
                <w:sz w:val="14"/>
                <w:szCs w:val="18"/>
                <w:lang w:eastAsia="cs-CZ"/>
              </w:rPr>
            </w:pPr>
            <w:r w:rsidRPr="006F1C2D">
              <w:rPr>
                <w:rFonts w:cs="Arial"/>
                <w:sz w:val="14"/>
                <w:szCs w:val="18"/>
              </w:rPr>
              <w:t>službou přímého bankovnictví se rozumí i Expresní linka Plus.</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6F1C2D">
            <w:pPr>
              <w:spacing w:before="40" w:after="40"/>
              <w:jc w:val="right"/>
              <w:rPr>
                <w:rFonts w:cs="Arial"/>
                <w:sz w:val="8"/>
                <w:szCs w:val="8"/>
              </w:rPr>
            </w:pPr>
          </w:p>
        </w:tc>
      </w:tr>
      <w:tr w:rsidTr="008C1233">
        <w:tblPrEx>
          <w:tblW w:w="9639" w:type="dxa"/>
          <w:tblBorders>
            <w:insideV w:val="single" w:sz="6" w:space="0" w:color="DCDADA"/>
          </w:tblBorders>
          <w:shd w:val="clear" w:color="auto" w:fill="EF6D63"/>
          <w:tblLayout w:type="fixed"/>
          <w:tblCellMar>
            <w:left w:w="0" w:type="dxa"/>
            <w:right w:w="0" w:type="dxa"/>
          </w:tblCellMar>
          <w:tblLook w:val="0680"/>
        </w:tblPrEx>
        <w:trPr>
          <w:trHeight w:hRule="exact" w:val="369"/>
        </w:trPr>
        <w:tc>
          <w:tcPr>
            <w:tcW w:w="9639" w:type="dxa"/>
            <w:gridSpan w:val="2"/>
            <w:shd w:val="clear" w:color="auto" w:fill="ED6B61"/>
            <w:tcMar>
              <w:left w:w="113" w:type="dxa"/>
              <w:right w:w="113" w:type="dxa"/>
            </w:tcMar>
            <w:vAlign w:val="center"/>
          </w:tcPr>
          <w:p w:rsidR="006F1C2D" w:rsidRPr="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37. Zrušovací ustanovení</w:t>
            </w:r>
          </w:p>
        </w:tc>
      </w:tr>
      <w:tr w:rsidTr="008C1233">
        <w:tblPrEx>
          <w:tblW w:w="9639" w:type="dxa"/>
          <w:tblBorders>
            <w:insideV w:val="single" w:sz="6" w:space="0" w:color="DCDADA"/>
          </w:tblBorders>
          <w:tblLayout w:type="fixed"/>
          <w:tblCellMar>
            <w:left w:w="0" w:type="dxa"/>
            <w:right w:w="0" w:type="dxa"/>
          </w:tblCellMar>
          <w:tblLook w:val="04A0"/>
        </w:tblPrEx>
        <w:trPr>
          <w:trHeight w:hRule="exact" w:val="57"/>
        </w:trPr>
        <w:tc>
          <w:tcPr>
            <w:tcW w:w="9639" w:type="dxa"/>
            <w:gridSpan w:val="2"/>
            <w:tcMar>
              <w:left w:w="113" w:type="dxa"/>
              <w:right w:w="113" w:type="dxa"/>
            </w:tcMar>
          </w:tcPr>
          <w:p w:rsidR="006F1C2D" w:rsidRPr="006F1C2D" w:rsidP="00E95D3B">
            <w:pPr>
              <w:keepNext/>
              <w:spacing w:before="40" w:after="40"/>
              <w:jc w:val="right"/>
              <w:rPr>
                <w:rFonts w:cs="Arial"/>
                <w:sz w:val="8"/>
                <w:szCs w:val="8"/>
              </w:rPr>
            </w:pPr>
          </w:p>
        </w:tc>
      </w:tr>
      <w:tr w:rsidTr="008C1233">
        <w:tblPrEx>
          <w:tblW w:w="9639" w:type="dxa"/>
          <w:tblBorders>
            <w:insideV w:val="single" w:sz="6" w:space="0" w:color="DCDADA"/>
          </w:tblBorders>
          <w:tblLayout w:type="fixed"/>
          <w:tblCellMar>
            <w:left w:w="0" w:type="dxa"/>
            <w:right w:w="0" w:type="dxa"/>
          </w:tblCellMar>
          <w:tblLook w:val="04A0"/>
        </w:tblPrEx>
        <w:tc>
          <w:tcPr>
            <w:tcW w:w="630" w:type="dxa"/>
            <w:tcBorders>
              <w:right w:val="single" w:sz="6" w:space="0" w:color="C8C8C8"/>
            </w:tcBorders>
            <w:noWrap/>
            <w:tcMar>
              <w:left w:w="113" w:type="dxa"/>
              <w:right w:w="113" w:type="dxa"/>
            </w:tcMar>
          </w:tcPr>
          <w:p w:rsidR="006F1C2D" w:rsidRPr="006F1C2D" w:rsidP="006F1C2D">
            <w:pPr>
              <w:spacing w:before="40" w:after="40"/>
              <w:jc w:val="right"/>
              <w:rPr>
                <w:rFonts w:cs="Arial"/>
                <w:b/>
                <w:sz w:val="14"/>
                <w:szCs w:val="18"/>
              </w:rPr>
            </w:pPr>
            <w:r w:rsidRPr="006F1C2D">
              <w:rPr>
                <w:rFonts w:cs="Arial"/>
                <w:b/>
                <w:sz w:val="14"/>
                <w:szCs w:val="18"/>
              </w:rPr>
              <w:t>37.1</w:t>
            </w:r>
          </w:p>
        </w:tc>
        <w:tc>
          <w:tcPr>
            <w:tcW w:w="9009" w:type="dxa"/>
            <w:tcBorders>
              <w:left w:val="single" w:sz="6" w:space="0" w:color="C8C8C8"/>
            </w:tcBorders>
            <w:noWrap/>
            <w:tcMar>
              <w:left w:w="113" w:type="dxa"/>
              <w:right w:w="113" w:type="dxa"/>
            </w:tcMar>
          </w:tcPr>
          <w:p w:rsidR="006A5C74" w:rsidRPr="006F1C2D" w:rsidP="00C03D1B">
            <w:pPr>
              <w:spacing w:before="40" w:after="40"/>
              <w:jc w:val="both"/>
              <w:rPr>
                <w:rFonts w:cs="Arial"/>
                <w:sz w:val="14"/>
                <w:szCs w:val="18"/>
              </w:rPr>
            </w:pPr>
            <w:r w:rsidRPr="006F1C2D">
              <w:rPr>
                <w:rFonts w:cs="Arial"/>
                <w:sz w:val="14"/>
                <w:szCs w:val="18"/>
              </w:rPr>
              <w:t xml:space="preserve">Tyto VOP nabývají účinnosti dne </w:t>
            </w:r>
            <w:r w:rsidR="00A07937">
              <w:rPr>
                <w:rFonts w:cs="Arial"/>
                <w:sz w:val="14"/>
                <w:szCs w:val="18"/>
              </w:rPr>
              <w:t>1</w:t>
            </w:r>
            <w:r w:rsidRPr="006F1C2D">
              <w:rPr>
                <w:rFonts w:cs="Arial"/>
                <w:sz w:val="14"/>
                <w:szCs w:val="18"/>
              </w:rPr>
              <w:t>.</w:t>
            </w:r>
            <w:r w:rsidR="00CD7ADB">
              <w:rPr>
                <w:rFonts w:cs="Arial"/>
                <w:sz w:val="14"/>
                <w:szCs w:val="18"/>
              </w:rPr>
              <w:t xml:space="preserve"> </w:t>
            </w:r>
            <w:r w:rsidR="00214DBB">
              <w:rPr>
                <w:rFonts w:cs="Arial"/>
                <w:sz w:val="14"/>
                <w:szCs w:val="18"/>
              </w:rPr>
              <w:t>9</w:t>
            </w:r>
            <w:r w:rsidRPr="006F1C2D">
              <w:rPr>
                <w:rFonts w:cs="Arial"/>
                <w:sz w:val="14"/>
                <w:szCs w:val="18"/>
              </w:rPr>
              <w:t>.</w:t>
            </w:r>
            <w:r w:rsidR="00CD7ADB">
              <w:rPr>
                <w:rFonts w:cs="Arial"/>
                <w:sz w:val="14"/>
                <w:szCs w:val="18"/>
              </w:rPr>
              <w:t xml:space="preserve"> </w:t>
            </w:r>
            <w:r w:rsidRPr="006F1C2D">
              <w:rPr>
                <w:rFonts w:cs="Arial"/>
                <w:sz w:val="14"/>
                <w:szCs w:val="18"/>
              </w:rPr>
              <w:t>201</w:t>
            </w:r>
            <w:r w:rsidR="00A07937">
              <w:rPr>
                <w:rFonts w:cs="Arial"/>
                <w:sz w:val="14"/>
                <w:szCs w:val="18"/>
              </w:rPr>
              <w:t>6</w:t>
            </w:r>
            <w:r w:rsidRPr="006F1C2D">
              <w:rPr>
                <w:rFonts w:cs="Arial"/>
                <w:sz w:val="14"/>
                <w:szCs w:val="18"/>
              </w:rPr>
              <w:t xml:space="preserve"> a ruší a nahrazují VOP účinné od </w:t>
            </w:r>
            <w:r w:rsidR="00214DBB">
              <w:rPr>
                <w:rFonts w:cs="Arial"/>
                <w:sz w:val="14"/>
                <w:szCs w:val="18"/>
              </w:rPr>
              <w:t>1</w:t>
            </w:r>
            <w:r w:rsidRPr="006F1C2D">
              <w:rPr>
                <w:rFonts w:cs="Arial"/>
                <w:sz w:val="14"/>
                <w:szCs w:val="18"/>
              </w:rPr>
              <w:t xml:space="preserve">. </w:t>
            </w:r>
            <w:r w:rsidR="00214DBB">
              <w:rPr>
                <w:rFonts w:cs="Arial"/>
                <w:sz w:val="14"/>
                <w:szCs w:val="18"/>
              </w:rPr>
              <w:t>6</w:t>
            </w:r>
            <w:r w:rsidRPr="006F1C2D">
              <w:rPr>
                <w:rFonts w:cs="Arial"/>
                <w:sz w:val="14"/>
                <w:szCs w:val="18"/>
              </w:rPr>
              <w:t>. 201</w:t>
            </w:r>
            <w:r w:rsidR="00214DBB">
              <w:rPr>
                <w:rFonts w:cs="Arial"/>
                <w:sz w:val="14"/>
                <w:szCs w:val="18"/>
              </w:rPr>
              <w:t>6</w:t>
            </w:r>
            <w:r w:rsidRPr="006F1C2D">
              <w:rPr>
                <w:rFonts w:cs="Arial"/>
                <w:sz w:val="14"/>
                <w:szCs w:val="18"/>
              </w:rPr>
              <w:t xml:space="preserve">. Souhlas Klienta dle článku 28 těchto VOP je účinný pouze ve vztahu ke Klientovi, který smluvní vztah nebo dodatek k existujícímu smluvnímu vztahu s Bankou, jejichž nedílnou součástí jsou tyto </w:t>
            </w:r>
            <w:r w:rsidRPr="006F1C2D">
              <w:rPr>
                <w:rFonts w:cs="Arial"/>
                <w:sz w:val="14"/>
                <w:szCs w:val="18"/>
              </w:rPr>
              <w:t>VOP, uzavře, nejdříve v den účinnosti těchto VOP. Pro Klienta, který podepsal, odmítl podepsat či odvolal obdobný souhlas již dříve, zůstává právní režim souhlasu jím uděleného, odmítnutého či odvolaného změnou VOP nedotčen.</w:t>
            </w:r>
          </w:p>
        </w:tc>
      </w:tr>
      <w:tr w:rsidTr="00BC1B5F">
        <w:tblPrEx>
          <w:tblW w:w="9639" w:type="dxa"/>
          <w:tblLayout w:type="fixed"/>
          <w:tblCellMar>
            <w:left w:w="0" w:type="dxa"/>
            <w:right w:w="0" w:type="dxa"/>
          </w:tblCellMar>
          <w:tblLook w:val="0000"/>
        </w:tblPrEx>
        <w:tc>
          <w:tcPr>
            <w:tcW w:w="9639" w:type="dxa"/>
            <w:gridSpan w:val="2"/>
            <w:tcBorders>
              <w:top w:val="nil"/>
              <w:left w:val="nil"/>
              <w:bottom w:val="nil"/>
              <w:right w:val="nil"/>
            </w:tcBorders>
            <w:noWrap/>
            <w:tcMar>
              <w:left w:w="0" w:type="dxa"/>
              <w:right w:w="0" w:type="dxa"/>
            </w:tcMar>
          </w:tcPr>
          <w:p w:rsidR="000E329A" w:rsidP="00BC1B5F">
            <w:pPr>
              <w:jc w:val="both"/>
              <w:rPr>
                <w:sz w:val="14"/>
                <w:lang w:val="en-GB"/>
              </w:rPr>
            </w:pPr>
          </w:p>
        </w:tc>
      </w:tr>
    </w:tbl>
    <w:p w:rsidR="00D033B9" w:rsidRPr="007107ED" w:rsidP="00B043A9">
      <w:pPr>
        <w:rPr>
          <w:sz w:val="6"/>
          <w:szCs w:val="6"/>
          <w:lang w:val="en-GB"/>
        </w:rPr>
      </w:pPr>
      <w:bookmarkStart w:id="90" w:name="S_D1_optJazykAJ_ALL"/>
      <w:bookmarkEnd w:id="0"/>
    </w:p>
    <w:p w:rsidR="00D033B9" w:rsidRPr="003B3A84" w:rsidP="00D033B9">
      <w:pPr>
        <w:jc w:val="both"/>
        <w:rPr>
          <w:vanish/>
          <w:color w:val="FF0000"/>
          <w:lang w:val="en-GB"/>
        </w:rPr>
      </w:pPr>
      <w:bookmarkEnd w:id="1"/>
      <w:bookmarkEnd w:id="90"/>
    </w:p>
    <w:sectPr w:rsidSect="00E95D3B">
      <w:headerReference w:type="default" r:id="rId6"/>
      <w:footerReference w:type="default" r:id="rId7"/>
      <w:headerReference w:type="first" r:id="rId8"/>
      <w:footerReference w:type="first" r:id="rId9"/>
      <w:type w:val="continuous"/>
      <w:pgSz w:w="11906" w:h="16838" w:code="9"/>
      <w:pgMar w:top="1871" w:right="1134" w:bottom="1588" w:left="1134" w:header="103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tblPr>
    <w:tblGrid>
      <w:gridCol w:w="4820"/>
      <w:gridCol w:w="4819"/>
    </w:tblGrid>
    <w:tr w:rsidTr="008C1233">
      <w:tblPrEx>
        <w:tblW w:w="9639" w:type="dxa"/>
        <w:tblBorders>
          <w:top w:val="single" w:sz="6" w:space="0" w:color="C8C8C8"/>
        </w:tblBorders>
        <w:tblLayout w:type="fixed"/>
        <w:tblCellMar>
          <w:left w:w="0" w:type="dxa"/>
          <w:right w:w="0" w:type="dxa"/>
        </w:tblCellMar>
        <w:tblLook w:val="0000"/>
      </w:tblPrEx>
      <w:trPr>
        <w:trHeight w:hRule="exact" w:val="907"/>
      </w:trPr>
      <w:tc>
        <w:tcPr>
          <w:tcW w:w="4820" w:type="dxa"/>
          <w:shd w:val="clear" w:color="auto" w:fill="auto"/>
          <w:vAlign w:val="bottom"/>
        </w:tcPr>
        <w:p w:rsidR="0028680C" w:rsidP="008C1233">
          <w:pPr>
            <w:pStyle w:val="kbFixedtext"/>
          </w:pPr>
          <w:bookmarkStart w:id="93" w:name="SR_D1_optJazykCZ_Z2" w:colFirst="0" w:colLast="2"/>
          <w:bookmarkStart w:id="94" w:name="cj_4" w:colFirst="0" w:colLast="1"/>
          <w:r>
            <w:t xml:space="preserve">Komerční banka, a. s., se sídlem: </w:t>
          </w:r>
        </w:p>
        <w:p w:rsidR="0028680C" w:rsidP="008C1233">
          <w:pPr>
            <w:pStyle w:val="kbFixedtext"/>
          </w:pPr>
          <w:r>
            <w:t>Praha 1, Na Příkopě 33 čp. 969, PSČ 114 07, IČO: 45317054</w:t>
          </w:r>
        </w:p>
        <w:p w:rsidR="0028680C" w:rsidP="008C1233">
          <w:pPr>
            <w:pStyle w:val="kbRegistration"/>
          </w:pPr>
          <w:r>
            <w:t>ZAPSANÁ V OBCHODNÍM REJSTŘÍKU VEDENÉM MĚSTSKÝm SOUDEM V PRAZE, ODDÍL B, VLOŽKA 1360</w:t>
          </w:r>
        </w:p>
      </w:tc>
      <w:tc>
        <w:tcPr>
          <w:tcW w:w="4819" w:type="dxa"/>
          <w:shd w:val="clear" w:color="auto" w:fill="auto"/>
          <w:vAlign w:val="bottom"/>
        </w:tcPr>
        <w:p w:rsidR="0028680C" w:rsidP="008C1233">
          <w:pPr>
            <w:pStyle w:val="kbFixedtext"/>
            <w:jc w:val="right"/>
            <w:rPr>
              <w:sz w:val="8"/>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p w:rsidR="0028680C" w:rsidP="008C1233">
          <w:pPr>
            <w:pStyle w:val="Registration"/>
            <w:jc w:val="right"/>
          </w:pPr>
          <w:r>
            <w:t>Datum účinnosti šablony</w:t>
          </w:r>
          <w:r w:rsidR="009974BF">
            <w:t xml:space="preserve"> </w:t>
          </w:r>
          <w:r>
            <w:t xml:space="preserve">1. </w:t>
          </w:r>
          <w:r w:rsidR="00E75F3A">
            <w:t>9</w:t>
          </w:r>
          <w:r>
            <w:t>. 2016</w:t>
          </w:r>
        </w:p>
        <w:p w:rsidR="0028680C" w:rsidP="008C1233">
          <w:pPr>
            <w:pStyle w:val="Registration"/>
            <w:jc w:val="right"/>
          </w:pPr>
          <w:r>
            <w:t>VER F</w:t>
          </w:r>
          <w:r w:rsidR="009974BF">
            <w:t xml:space="preserve"> </w:t>
          </w:r>
          <w:r w:rsidRPr="006F1C2D">
            <w:t>VOPKB</w:t>
          </w:r>
          <w:r>
            <w:t>.doT</w:t>
          </w:r>
          <w:r w:rsidR="009974BF">
            <w:t xml:space="preserve"> </w:t>
          </w:r>
          <w:r w:rsidRPr="00C314F7">
            <w:fldChar w:fldCharType="begin"/>
          </w:r>
          <w:r w:rsidRPr="00C314F7">
            <w:instrText>\DATE</w:instrText>
          </w:r>
          <w:r w:rsidRPr="00C314F7">
            <w:fldChar w:fldCharType="separate"/>
          </w:r>
          <w:r w:rsidRPr="00C314F7">
            <w:t>12.9.2017</w:t>
          </w:r>
          <w:r w:rsidRPr="00C314F7">
            <w:fldChar w:fldCharType="end"/>
          </w:r>
          <w:r w:rsidRPr="00C314F7">
            <w:t xml:space="preserve"> </w:t>
          </w:r>
          <w:r w:rsidRPr="00C314F7">
            <w:fldChar w:fldCharType="begin"/>
          </w:r>
          <w:r w:rsidRPr="00C314F7">
            <w:instrText>\TIME</w:instrText>
          </w:r>
          <w:r w:rsidRPr="00C314F7">
            <w:fldChar w:fldCharType="separate"/>
          </w:r>
          <w:r w:rsidRPr="00C314F7">
            <w:t>13:42</w:t>
          </w:r>
          <w:r w:rsidRPr="00C314F7">
            <w:fldChar w:fldCharType="end"/>
          </w:r>
        </w:p>
      </w:tc>
    </w:tr>
  </w:tbl>
  <w:p w:rsidR="0028680C" w:rsidRPr="00E95D3B">
    <w:pPr>
      <w:pStyle w:val="Footer"/>
      <w:rPr>
        <w:vanish/>
        <w:color w:val="FF0000"/>
      </w:rPr>
    </w:pPr>
    <w:bookmarkEnd w:id="93"/>
    <w:bookmarkEnd w:id="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tblPr>
    <w:tblGrid>
      <w:gridCol w:w="5811"/>
      <w:gridCol w:w="3828"/>
    </w:tblGrid>
    <w:tr w:rsidTr="00317FD6">
      <w:tblPrEx>
        <w:tblW w:w="9639" w:type="dxa"/>
        <w:tblBorders>
          <w:top w:val="single" w:sz="6" w:space="0" w:color="C8C8C8"/>
        </w:tblBorders>
        <w:tblLayout w:type="fixed"/>
        <w:tblCellMar>
          <w:left w:w="0" w:type="dxa"/>
          <w:right w:w="0" w:type="dxa"/>
        </w:tblCellMar>
        <w:tblLook w:val="0000"/>
      </w:tblPrEx>
      <w:trPr>
        <w:trHeight w:hRule="exact" w:val="907"/>
      </w:trPr>
      <w:tc>
        <w:tcPr>
          <w:tcW w:w="5811" w:type="dxa"/>
          <w:shd w:val="clear" w:color="auto" w:fill="auto"/>
          <w:vAlign w:val="bottom"/>
        </w:tcPr>
        <w:p w:rsidR="0028680C" w:rsidP="008C1233">
          <w:pPr>
            <w:pStyle w:val="kbFixedtext"/>
          </w:pPr>
          <w:bookmarkStart w:id="97" w:name="SR_D1_optJazykCZ_Z1" w:colFirst="0" w:colLast="2"/>
          <w:bookmarkStart w:id="98" w:name="cj_3" w:colFirst="0" w:colLast="1"/>
          <w:r>
            <w:t xml:space="preserve">Komerční banka, a. s., se sídlem: </w:t>
          </w:r>
        </w:p>
        <w:p w:rsidR="0028680C" w:rsidP="008C1233">
          <w:pPr>
            <w:pStyle w:val="kbFixedtext"/>
          </w:pPr>
          <w:r>
            <w:t>Praha 1, Na Příkopě 33 čp. 969, PSČ 114 07, IČO: 45317054</w:t>
          </w:r>
        </w:p>
        <w:p w:rsidR="0028680C" w:rsidP="008C1233">
          <w:pPr>
            <w:pStyle w:val="kbRegistration"/>
          </w:pPr>
          <w:r>
            <w:t>ZAPSANÁ V OBCHODNÍM REJSTŘÍKU VEDENÉM MĚSTSKÝm SOUDEM V PRAZE, ODDÍL B, VLOŽKA 1360</w:t>
          </w:r>
        </w:p>
      </w:tc>
      <w:tc>
        <w:tcPr>
          <w:tcW w:w="3828" w:type="dxa"/>
          <w:shd w:val="clear" w:color="auto" w:fill="auto"/>
          <w:vAlign w:val="bottom"/>
        </w:tcPr>
        <w:p w:rsidR="0028680C" w:rsidP="008C1233">
          <w:pPr>
            <w:pStyle w:val="kbFixedtext"/>
            <w:jc w:val="right"/>
            <w:rPr>
              <w:sz w:val="8"/>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p w:rsidR="0028680C" w:rsidP="008C1233">
          <w:pPr>
            <w:pStyle w:val="Registration"/>
            <w:jc w:val="right"/>
          </w:pPr>
          <w:r>
            <w:t>Datum účinnosti šablony</w:t>
          </w:r>
          <w:r w:rsidR="009974BF">
            <w:t xml:space="preserve"> </w:t>
          </w:r>
          <w:r>
            <w:t xml:space="preserve">1. </w:t>
          </w:r>
          <w:r w:rsidR="00E75F3A">
            <w:t>9</w:t>
          </w:r>
          <w:r>
            <w:t>. 2016</w:t>
          </w:r>
        </w:p>
        <w:p w:rsidR="0028680C" w:rsidP="008C1233">
          <w:pPr>
            <w:pStyle w:val="Registration"/>
            <w:jc w:val="right"/>
          </w:pPr>
          <w:r>
            <w:t>VER F</w:t>
          </w:r>
          <w:r w:rsidR="009974BF">
            <w:t xml:space="preserve"> </w:t>
          </w:r>
          <w:r w:rsidRPr="006F1C2D">
            <w:t>VOPKB</w:t>
          </w:r>
          <w:r>
            <w:t>.doT</w:t>
          </w:r>
          <w:r w:rsidR="009974BF">
            <w:t xml:space="preserve"> </w:t>
          </w:r>
          <w:r w:rsidRPr="00C314F7">
            <w:fldChar w:fldCharType="begin"/>
          </w:r>
          <w:r w:rsidRPr="00C314F7">
            <w:instrText>\DATE</w:instrText>
          </w:r>
          <w:r w:rsidRPr="00C314F7">
            <w:fldChar w:fldCharType="separate"/>
          </w:r>
          <w:r w:rsidRPr="00C314F7">
            <w:t>12.9.2017</w:t>
          </w:r>
          <w:r w:rsidRPr="00C314F7">
            <w:fldChar w:fldCharType="end"/>
          </w:r>
          <w:r w:rsidRPr="00C314F7">
            <w:t xml:space="preserve"> </w:t>
          </w:r>
          <w:r w:rsidRPr="00C314F7">
            <w:fldChar w:fldCharType="begin"/>
          </w:r>
          <w:r w:rsidRPr="00C314F7">
            <w:instrText>\TIME</w:instrText>
          </w:r>
          <w:r w:rsidRPr="00C314F7">
            <w:fldChar w:fldCharType="separate"/>
          </w:r>
          <w:r w:rsidRPr="00C314F7">
            <w:t>13:42</w:t>
          </w:r>
          <w:r w:rsidRPr="00C314F7">
            <w:fldChar w:fldCharType="end"/>
          </w:r>
        </w:p>
      </w:tc>
    </w:tr>
  </w:tbl>
  <w:p w:rsidR="0028680C" w:rsidRPr="00E95D3B" w:rsidP="00DD204B">
    <w:pPr>
      <w:pStyle w:val="Footer"/>
      <w:rPr>
        <w:vanish/>
        <w:color w:val="FF0000"/>
        <w:lang w:val="en-GB"/>
      </w:rPr>
    </w:pPr>
    <w:bookmarkEnd w:id="97"/>
    <w:bookmarkEnd w:id="9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17FD6" w:rsidP="005D6E7E">
      <w:r>
        <w:separator/>
      </w:r>
    </w:p>
  </w:footnote>
  <w:footnote w:type="continuationSeparator" w:id="1">
    <w:p w:rsidR="00317FD6" w:rsidP="005D6E7E">
      <w:r>
        <w:continuationSeparator/>
      </w:r>
    </w:p>
  </w:footnote>
  <w:footnote w:id="2">
    <w:p w:rsidR="0028680C" w:rsidRPr="00125F3B" w:rsidP="00AE4DDE">
      <w:pPr>
        <w:pStyle w:val="FootnoteText"/>
        <w:ind w:left="170" w:right="-57" w:hanging="170"/>
        <w:rPr>
          <w:sz w:val="14"/>
          <w:szCs w:val="14"/>
        </w:rPr>
      </w:pPr>
      <w:r w:rsidRPr="00C050A5">
        <w:rPr>
          <w:rStyle w:val="FootnoteReference"/>
          <w:position w:val="4"/>
          <w:sz w:val="14"/>
          <w:szCs w:val="14"/>
        </w:rPr>
        <w:footnoteRef/>
      </w:r>
      <w:r w:rsidRPr="00C050A5">
        <w:rPr>
          <w:position w:val="4"/>
          <w:sz w:val="14"/>
          <w:szCs w:val="14"/>
        </w:rPr>
        <w:t xml:space="preserve"> </w:t>
      </w:r>
      <w:r w:rsidR="00AE4DDE">
        <w:rPr>
          <w:position w:val="4"/>
          <w:sz w:val="14"/>
          <w:szCs w:val="14"/>
          <w:lang w:val="cs-CZ"/>
        </w:rPr>
        <w:tab/>
      </w:r>
      <w:r w:rsidRPr="00AE4DDE">
        <w:rPr>
          <w:color w:val="000000"/>
          <w:spacing w:val="-4"/>
          <w:sz w:val="14"/>
          <w:szCs w:val="14"/>
        </w:rPr>
        <w:t>např. z. č. 211/2000 Z.z., o slobodnom prístupe k informáciám a o zmene a doplnení niektorých zákonov (zákon o slobode informácií), v znění neskorších predpisov</w:t>
      </w:r>
    </w:p>
  </w:footnote>
  <w:footnote w:id="3">
    <w:p w:rsidR="0028680C" w:rsidRPr="00125F3B" w:rsidP="00AE4DDE">
      <w:pPr>
        <w:pStyle w:val="FootnoteText"/>
        <w:ind w:left="170" w:hanging="170"/>
        <w:rPr>
          <w:sz w:val="14"/>
          <w:szCs w:val="14"/>
        </w:rPr>
      </w:pPr>
      <w:r w:rsidRPr="00C050A5">
        <w:rPr>
          <w:rStyle w:val="FootnoteReference"/>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4">
    <w:p w:rsidR="0028680C" w:rsidRPr="00125F3B" w:rsidP="00AE4DDE">
      <w:pPr>
        <w:pStyle w:val="FootnoteText"/>
        <w:ind w:left="170" w:hanging="170"/>
        <w:rPr>
          <w:sz w:val="14"/>
          <w:szCs w:val="14"/>
        </w:rPr>
      </w:pPr>
      <w:r w:rsidRPr="00C050A5">
        <w:rPr>
          <w:rStyle w:val="FootnoteReference"/>
          <w:position w:val="4"/>
          <w:sz w:val="14"/>
          <w:szCs w:val="14"/>
        </w:rPr>
        <w:footnoteRef/>
      </w:r>
      <w:r>
        <w:rPr>
          <w:position w:val="4"/>
          <w:sz w:val="14"/>
          <w:szCs w:val="14"/>
        </w:rPr>
        <w:tab/>
      </w:r>
      <w:r w:rsidRPr="00125F3B">
        <w:rPr>
          <w:sz w:val="14"/>
          <w:szCs w:val="14"/>
        </w:rPr>
        <w:t xml:space="preserve">zejména </w:t>
      </w:r>
      <w:r w:rsidRPr="00125F3B">
        <w:rPr>
          <w:color w:val="000000"/>
          <w:sz w:val="14"/>
          <w:szCs w:val="14"/>
        </w:rPr>
        <w:t>z. č.101/2000 Sb., o ochraně osobních údajů a změně některých zákonů, ve znění pozdějších předpisů</w:t>
      </w:r>
    </w:p>
  </w:footnote>
  <w:footnote w:id="5">
    <w:p w:rsidR="0028680C" w:rsidRPr="000264AC" w:rsidP="00AE4DDE">
      <w:pPr>
        <w:pStyle w:val="FootnoteText"/>
        <w:spacing w:after="40"/>
        <w:ind w:left="170" w:hanging="170"/>
        <w:rPr>
          <w:sz w:val="12"/>
          <w:szCs w:val="12"/>
        </w:rPr>
      </w:pPr>
      <w:r w:rsidRPr="00C050A5">
        <w:rPr>
          <w:rStyle w:val="FootnoteReference"/>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6">
    <w:p w:rsidR="0028680C" w:rsidRPr="00125F3B" w:rsidP="0068744B">
      <w:pPr>
        <w:pStyle w:val="FootnoteText"/>
        <w:tabs>
          <w:tab w:val="left" w:pos="170"/>
        </w:tabs>
        <w:spacing w:after="40"/>
        <w:jc w:val="both"/>
        <w:rPr>
          <w:sz w:val="14"/>
          <w:szCs w:val="14"/>
        </w:rPr>
      </w:pPr>
      <w:r w:rsidRPr="00C050A5">
        <w:rPr>
          <w:rStyle w:val="FootnoteReference"/>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7">
    <w:p w:rsidR="0028680C" w:rsidRPr="00B02685" w:rsidP="0068744B">
      <w:pPr>
        <w:pStyle w:val="FootnoteText"/>
        <w:tabs>
          <w:tab w:val="left" w:pos="170"/>
        </w:tabs>
        <w:rPr>
          <w:sz w:val="14"/>
          <w:szCs w:val="14"/>
        </w:rPr>
      </w:pPr>
      <w:r w:rsidRPr="00C050A5">
        <w:rPr>
          <w:rStyle w:val="FootnoteReference"/>
          <w:position w:val="4"/>
          <w:sz w:val="14"/>
          <w:szCs w:val="14"/>
        </w:rPr>
        <w:footnoteRef/>
      </w:r>
      <w:r>
        <w:rPr>
          <w:sz w:val="14"/>
          <w:szCs w:val="14"/>
        </w:rPr>
        <w:tab/>
      </w:r>
      <w:r w:rsidRPr="00B02685">
        <w:rPr>
          <w:sz w:val="14"/>
          <w:szCs w:val="14"/>
        </w:rPr>
        <w:t>z. č. 89/2012 Sb., občanský zákoník, ve znění pozdějších předpisů</w:t>
      </w:r>
    </w:p>
  </w:footnote>
  <w:footnote w:id="8">
    <w:p w:rsidR="0028680C" w:rsidP="0068744B">
      <w:pPr>
        <w:pStyle w:val="FootnoteText"/>
        <w:tabs>
          <w:tab w:val="left" w:pos="170"/>
        </w:tabs>
        <w:spacing w:after="40"/>
      </w:pPr>
      <w:r w:rsidRPr="00C050A5">
        <w:rPr>
          <w:rStyle w:val="FootnoteReference"/>
          <w:position w:val="4"/>
          <w:sz w:val="14"/>
          <w:szCs w:val="14"/>
        </w:rPr>
        <w:footnoteRef/>
      </w:r>
      <w:r>
        <w:rPr>
          <w:sz w:val="14"/>
          <w:szCs w:val="14"/>
        </w:rPr>
        <w:tab/>
      </w:r>
      <w:r w:rsidRPr="00B02685">
        <w:rPr>
          <w:sz w:val="14"/>
          <w:szCs w:val="14"/>
        </w:rPr>
        <w:t>z. č. 89/2012 Sb., občanský zákoník, ve znění pozdějších předpisů</w:t>
      </w:r>
    </w:p>
  </w:footnote>
  <w:footnote w:id="9">
    <w:p w:rsidR="0028680C" w:rsidRPr="00BD6CF3" w:rsidP="006A55C4">
      <w:pPr>
        <w:pStyle w:val="FootnoteText"/>
        <w:tabs>
          <w:tab w:val="left" w:pos="227"/>
        </w:tabs>
        <w:spacing w:after="40"/>
        <w:rPr>
          <w:sz w:val="14"/>
          <w:szCs w:val="14"/>
        </w:rPr>
      </w:pPr>
      <w:r w:rsidRPr="00C050A5">
        <w:rPr>
          <w:rStyle w:val="FootnoteReference"/>
          <w:position w:val="4"/>
          <w:sz w:val="14"/>
          <w:szCs w:val="14"/>
        </w:rPr>
        <w:footnoteRef/>
      </w:r>
      <w:r>
        <w:rPr>
          <w:sz w:val="14"/>
          <w:szCs w:val="14"/>
        </w:rPr>
        <w:tab/>
      </w:r>
      <w:r w:rsidRPr="00BD6CF3">
        <w:rPr>
          <w:sz w:val="14"/>
          <w:szCs w:val="14"/>
        </w:rPr>
        <w:t>§ 304b z. č. 99/1963 Sb., občanský soudní řád, ve znění pozdějších předpisů</w:t>
      </w:r>
    </w:p>
  </w:footnote>
  <w:footnote w:id="10">
    <w:p w:rsidR="0028680C" w:rsidRPr="00BD6CF3" w:rsidP="0068744B">
      <w:pPr>
        <w:pStyle w:val="FootnoteText"/>
        <w:tabs>
          <w:tab w:val="left" w:pos="227"/>
        </w:tabs>
        <w:rPr>
          <w:sz w:val="14"/>
          <w:szCs w:val="14"/>
        </w:rPr>
      </w:pPr>
      <w:r w:rsidRPr="00C050A5">
        <w:rPr>
          <w:rStyle w:val="FootnoteReference"/>
          <w:position w:val="4"/>
          <w:sz w:val="14"/>
          <w:szCs w:val="14"/>
        </w:rPr>
        <w:footnoteRef/>
      </w:r>
      <w:r>
        <w:rPr>
          <w:position w:val="4"/>
          <w:sz w:val="14"/>
          <w:szCs w:val="14"/>
        </w:rPr>
        <w:tab/>
      </w:r>
      <w:r w:rsidRPr="00BD6CF3">
        <w:rPr>
          <w:sz w:val="14"/>
          <w:szCs w:val="14"/>
        </w:rPr>
        <w:t>z. č. 21/1992 Sb., o bankách, ve znění pozdějších předpisů</w:t>
      </w:r>
    </w:p>
  </w:footnote>
  <w:footnote w:id="11">
    <w:p w:rsidR="0028680C" w:rsidP="0068744B">
      <w:pPr>
        <w:pStyle w:val="FootnoteText"/>
        <w:tabs>
          <w:tab w:val="left" w:pos="227"/>
        </w:tabs>
      </w:pPr>
      <w:r w:rsidRPr="00C050A5">
        <w:rPr>
          <w:rStyle w:val="FootnoteReference"/>
          <w:position w:val="4"/>
          <w:sz w:val="14"/>
          <w:szCs w:val="14"/>
        </w:rPr>
        <w:footnoteRef/>
      </w:r>
      <w:r>
        <w:rPr>
          <w:sz w:val="14"/>
          <w:szCs w:val="14"/>
        </w:rPr>
        <w:tab/>
      </w:r>
      <w:r w:rsidRPr="00BD6CF3">
        <w:rPr>
          <w:sz w:val="14"/>
          <w:szCs w:val="14"/>
        </w:rPr>
        <w:t>z. č. 284/2009 Sb., o platebním styku, ve znění pozdějších předpisů</w:t>
      </w:r>
    </w:p>
  </w:footnote>
  <w:footnote w:id="12">
    <w:p w:rsidR="0028680C" w:rsidRPr="00BD6CF3" w:rsidP="0068744B">
      <w:pPr>
        <w:pStyle w:val="FootnoteText"/>
        <w:tabs>
          <w:tab w:val="left" w:pos="227"/>
        </w:tabs>
        <w:spacing w:after="40"/>
        <w:rPr>
          <w:sz w:val="14"/>
          <w:szCs w:val="14"/>
        </w:rPr>
      </w:pPr>
      <w:r w:rsidRPr="00C050A5">
        <w:rPr>
          <w:rStyle w:val="FootnoteReference"/>
          <w:position w:val="4"/>
          <w:sz w:val="14"/>
          <w:szCs w:val="14"/>
        </w:rPr>
        <w:footnoteRef/>
      </w:r>
      <w:r>
        <w:rPr>
          <w:sz w:val="14"/>
          <w:szCs w:val="14"/>
        </w:rPr>
        <w:tab/>
      </w:r>
      <w:r w:rsidRPr="00BD6CF3">
        <w:rPr>
          <w:sz w:val="14"/>
          <w:szCs w:val="14"/>
        </w:rPr>
        <w:t>z. č. 182/2006 Sb., o úpadku a způsobech jeho řešení (insolvenční zákon) ve znění pozdějších předpisů</w:t>
      </w:r>
    </w:p>
  </w:footnote>
  <w:footnote w:id="13">
    <w:p w:rsidR="0028680C" w:rsidP="0068744B">
      <w:pPr>
        <w:pStyle w:val="FootnoteText"/>
        <w:tabs>
          <w:tab w:val="left" w:pos="227"/>
        </w:tabs>
      </w:pPr>
      <w:r w:rsidRPr="00573CDB">
        <w:rPr>
          <w:rStyle w:val="FootnoteReference"/>
          <w:position w:val="4"/>
          <w:sz w:val="14"/>
          <w:szCs w:val="14"/>
        </w:rPr>
        <w:footnoteRef/>
      </w:r>
      <w:r>
        <w:rPr>
          <w:sz w:val="14"/>
          <w:szCs w:val="14"/>
        </w:rPr>
        <w:tab/>
      </w:r>
      <w:r w:rsidRPr="00BD6CF3">
        <w:rPr>
          <w:sz w:val="14"/>
          <w:szCs w:val="14"/>
        </w:rPr>
        <w:t>z. č. 284/2009 Sb., o platebním styku, ve znění pozdějších předpisů</w:t>
      </w:r>
    </w:p>
  </w:footnote>
  <w:footnote w:id="14">
    <w:p w:rsidR="0028680C" w:rsidRPr="0022107D" w:rsidP="0068744B">
      <w:pPr>
        <w:pStyle w:val="FootnoteText"/>
        <w:tabs>
          <w:tab w:val="left" w:pos="227"/>
        </w:tabs>
        <w:spacing w:after="40"/>
        <w:rPr>
          <w:sz w:val="14"/>
          <w:szCs w:val="14"/>
        </w:rPr>
      </w:pPr>
      <w:r w:rsidRPr="00573CDB">
        <w:rPr>
          <w:rStyle w:val="FootnoteReference"/>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5">
    <w:p w:rsidR="0028680C" w:rsidRPr="0022107D" w:rsidP="0068744B">
      <w:pPr>
        <w:pStyle w:val="FootnoteText"/>
        <w:tabs>
          <w:tab w:val="left" w:pos="227"/>
        </w:tabs>
        <w:spacing w:after="40"/>
        <w:rPr>
          <w:sz w:val="14"/>
          <w:szCs w:val="14"/>
        </w:rPr>
      </w:pPr>
      <w:r w:rsidRPr="00573CDB">
        <w:rPr>
          <w:rStyle w:val="FootnoteReference"/>
          <w:position w:val="4"/>
          <w:sz w:val="14"/>
          <w:szCs w:val="14"/>
        </w:rPr>
        <w:footnoteRef/>
      </w:r>
      <w:r>
        <w:rPr>
          <w:sz w:val="14"/>
          <w:szCs w:val="14"/>
        </w:rPr>
        <w:tab/>
      </w:r>
      <w:r w:rsidRPr="0022107D">
        <w:rPr>
          <w:sz w:val="14"/>
          <w:szCs w:val="14"/>
        </w:rPr>
        <w:t>např. z. č. 21/1992 Sb., o bankách, ve znění pozdějších předpisů</w:t>
      </w:r>
    </w:p>
  </w:footnote>
  <w:footnote w:id="16">
    <w:p w:rsidR="0028680C" w:rsidRPr="00C07566" w:rsidP="0068744B">
      <w:pPr>
        <w:pStyle w:val="FootnoteText"/>
        <w:tabs>
          <w:tab w:val="left" w:pos="227"/>
        </w:tabs>
      </w:pPr>
      <w:r w:rsidRPr="00573CDB">
        <w:rPr>
          <w:rStyle w:val="FootnoteReference"/>
          <w:position w:val="4"/>
          <w:sz w:val="14"/>
          <w:szCs w:val="14"/>
        </w:rPr>
        <w:footnoteRef/>
      </w:r>
      <w:r w:rsidRPr="00573CDB">
        <w:rPr>
          <w:position w:val="4"/>
          <w:sz w:val="14"/>
          <w:szCs w:val="14"/>
        </w:rPr>
        <w:tab/>
      </w:r>
      <w:r w:rsidRPr="0022107D">
        <w:rPr>
          <w:sz w:val="14"/>
          <w:szCs w:val="14"/>
        </w:rPr>
        <w:t>ve znění pozdějších předpisů</w:t>
      </w:r>
    </w:p>
  </w:footnote>
  <w:footnote w:id="17">
    <w:p w:rsidR="0028680C" w:rsidRPr="006F1C2D" w:rsidP="0068744B">
      <w:pPr>
        <w:pStyle w:val="FootnoteText"/>
        <w:tabs>
          <w:tab w:val="left" w:pos="227"/>
        </w:tabs>
        <w:spacing w:after="40"/>
        <w:rPr>
          <w:sz w:val="14"/>
          <w:szCs w:val="14"/>
        </w:rPr>
      </w:pPr>
      <w:r w:rsidRPr="006F1C2D">
        <w:rPr>
          <w:rStyle w:val="FootnoteReference"/>
          <w:position w:val="4"/>
          <w:sz w:val="14"/>
          <w:szCs w:val="14"/>
        </w:rPr>
        <w:footnoteRef/>
      </w:r>
      <w:r w:rsidRPr="006F1C2D">
        <w:rPr>
          <w:position w:val="4"/>
          <w:sz w:val="14"/>
          <w:szCs w:val="14"/>
        </w:rPr>
        <w:tab/>
      </w:r>
      <w:r w:rsidRPr="00385733">
        <w:rPr>
          <w:rStyle w:val="DeltaViewInsertion"/>
          <w:color w:val="auto"/>
          <w:sz w:val="14"/>
          <w:szCs w:val="14"/>
          <w:u w:val="none"/>
        </w:rPr>
        <w:t>z. č. 89/2012 Sb., občanský zákoník, ve znění pozdějších předpisů</w:t>
      </w:r>
    </w:p>
  </w:footnote>
  <w:footnote w:id="18">
    <w:p w:rsidR="0028680C" w:rsidRPr="00720CB3" w:rsidP="0063799E">
      <w:pPr>
        <w:pStyle w:val="FootnoteText"/>
        <w:tabs>
          <w:tab w:val="left" w:pos="227"/>
        </w:tabs>
        <w:rPr>
          <w:sz w:val="14"/>
          <w:szCs w:val="14"/>
        </w:rPr>
      </w:pPr>
      <w:r w:rsidRPr="00573CDB">
        <w:rPr>
          <w:rStyle w:val="FootnoteReference"/>
          <w:position w:val="4"/>
          <w:sz w:val="14"/>
          <w:szCs w:val="14"/>
        </w:rPr>
        <w:footnoteRef/>
      </w:r>
      <w:r>
        <w:rPr>
          <w:sz w:val="14"/>
          <w:szCs w:val="14"/>
        </w:rPr>
        <w:tab/>
      </w:r>
      <w:r w:rsidRPr="00720CB3">
        <w:rPr>
          <w:sz w:val="14"/>
          <w:szCs w:val="14"/>
        </w:rPr>
        <w:t>z. č. 89/2012 Sb., občanský zákoník, ve znění pozdějších předpisů</w:t>
      </w:r>
    </w:p>
  </w:footnote>
  <w:footnote w:id="19">
    <w:p w:rsidR="0028680C" w:rsidRPr="00720CB3" w:rsidP="0063799E">
      <w:pPr>
        <w:pStyle w:val="FootnoteText"/>
        <w:tabs>
          <w:tab w:val="left" w:pos="227"/>
        </w:tabs>
        <w:rPr>
          <w:sz w:val="14"/>
          <w:szCs w:val="14"/>
        </w:rPr>
      </w:pPr>
      <w:r w:rsidRPr="00573CDB">
        <w:rPr>
          <w:rStyle w:val="FootnoteReference"/>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0">
    <w:p w:rsidR="0028680C" w:rsidRPr="00720CB3" w:rsidP="00FB6375">
      <w:pPr>
        <w:pStyle w:val="FootnoteText"/>
        <w:tabs>
          <w:tab w:val="left" w:pos="227"/>
        </w:tabs>
        <w:rPr>
          <w:sz w:val="14"/>
          <w:szCs w:val="14"/>
        </w:rPr>
      </w:pPr>
      <w:r w:rsidRPr="00573CDB">
        <w:rPr>
          <w:rStyle w:val="FootnoteReference"/>
          <w:position w:val="4"/>
          <w:sz w:val="14"/>
          <w:szCs w:val="14"/>
        </w:rPr>
        <w:footnoteRef/>
      </w:r>
      <w:r>
        <w:rPr>
          <w:sz w:val="14"/>
          <w:szCs w:val="14"/>
        </w:rPr>
        <w:tab/>
      </w:r>
      <w:r w:rsidRPr="00720CB3">
        <w:rPr>
          <w:sz w:val="14"/>
          <w:szCs w:val="14"/>
        </w:rPr>
        <w:t>z. č. 229/2002 Sb., o finančním arbitrovi, ve znění pozdějších předpisů</w:t>
      </w:r>
    </w:p>
  </w:footnote>
  <w:footnote w:id="21">
    <w:p w:rsidR="0028680C" w:rsidRPr="005A0069" w:rsidP="005B1CEA">
      <w:pPr>
        <w:pStyle w:val="FootnoteText"/>
        <w:tabs>
          <w:tab w:val="left" w:pos="227"/>
        </w:tabs>
        <w:ind w:left="227" w:hanging="227"/>
        <w:rPr>
          <w:sz w:val="14"/>
          <w:szCs w:val="14"/>
        </w:rPr>
      </w:pPr>
      <w:r w:rsidRPr="005B1CEA">
        <w:rPr>
          <w:position w:val="4"/>
          <w:sz w:val="14"/>
          <w:szCs w:val="14"/>
        </w:rPr>
        <w:footnoteRef/>
      </w:r>
      <w:r w:rsidR="005B1CEA">
        <w:rPr>
          <w:position w:val="4"/>
          <w:sz w:val="14"/>
          <w:szCs w:val="14"/>
          <w:lang w:val="cs-CZ"/>
        </w:rPr>
        <w:tab/>
      </w:r>
      <w:r>
        <w:rPr>
          <w:sz w:val="14"/>
          <w:szCs w:val="14"/>
        </w:rPr>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sidR="009974BF">
        <w:rPr>
          <w:sz w:val="14"/>
          <w:szCs w:val="14"/>
        </w:rPr>
        <w:t xml:space="preserve"> </w:t>
      </w:r>
      <w:r w:rsidRPr="005A0069">
        <w:rPr>
          <w:sz w:val="14"/>
          <w:szCs w:val="14"/>
        </w:rPr>
        <w:t>provedení směnárenského obchodu</w:t>
      </w:r>
      <w:r>
        <w:rPr>
          <w:sz w:val="14"/>
          <w:szCs w:val="14"/>
        </w:rPr>
        <w:t xml:space="preserve"> - § 1 odst. 1</w:t>
      </w:r>
      <w:r w:rsidR="009974BF">
        <w:rPr>
          <w:sz w:val="14"/>
          <w:szCs w:val="14"/>
        </w:rPr>
        <w:t xml:space="preserve"> </w:t>
      </w:r>
      <w:r w:rsidRPr="00720CB3">
        <w:rPr>
          <w:sz w:val="14"/>
          <w:szCs w:val="14"/>
        </w:rPr>
        <w:t>z. č. 229/2002 Sb., o finančním arbitrovi, ve znění pozdějších předpisů</w:t>
      </w:r>
      <w:r>
        <w:rPr>
          <w:sz w:val="14"/>
          <w:szCs w:val="14"/>
        </w:rPr>
        <w:t>.</w:t>
      </w:r>
    </w:p>
  </w:footnote>
  <w:footnote w:id="22">
    <w:p w:rsidR="0028680C" w:rsidRPr="00087785" w:rsidP="0068744B">
      <w:pPr>
        <w:pStyle w:val="FootnoteText"/>
        <w:tabs>
          <w:tab w:val="left" w:pos="227"/>
        </w:tabs>
        <w:rPr>
          <w:sz w:val="12"/>
          <w:szCs w:val="12"/>
        </w:rPr>
      </w:pPr>
      <w:r w:rsidRPr="009451FC">
        <w:rPr>
          <w:rStyle w:val="FootnoteReference"/>
          <w:position w:val="4"/>
          <w:sz w:val="14"/>
          <w:szCs w:val="14"/>
        </w:rPr>
        <w:footnoteRef/>
      </w:r>
      <w:r>
        <w:rPr>
          <w:sz w:val="14"/>
          <w:szCs w:val="14"/>
        </w:rPr>
        <w:tab/>
      </w:r>
      <w:r w:rsidRPr="00720CB3">
        <w:rPr>
          <w:sz w:val="14"/>
          <w:szCs w:val="14"/>
        </w:rPr>
        <w:t>z. č. 89/2012 Sb., občanský zákoník, ve znění pozdějších předpisů</w:t>
      </w:r>
    </w:p>
  </w:footnote>
  <w:footnote w:id="23">
    <w:p w:rsidR="0028680C" w:rsidRPr="002D2D37" w:rsidP="006F1C2D">
      <w:pPr>
        <w:pStyle w:val="FootnoteText"/>
        <w:tabs>
          <w:tab w:val="left" w:pos="227"/>
        </w:tabs>
        <w:rPr>
          <w:sz w:val="14"/>
          <w:szCs w:val="14"/>
        </w:rPr>
      </w:pPr>
      <w:r w:rsidRPr="009451FC">
        <w:rPr>
          <w:rStyle w:val="FootnoteReference"/>
          <w:position w:val="4"/>
          <w:sz w:val="14"/>
          <w:szCs w:val="14"/>
        </w:rPr>
        <w:footnoteRef/>
      </w:r>
      <w:r>
        <w:rPr>
          <w:sz w:val="14"/>
          <w:szCs w:val="14"/>
        </w:rPr>
        <w:tab/>
      </w:r>
      <w:r w:rsidRPr="002D2D37">
        <w:rPr>
          <w:color w:val="000000"/>
          <w:sz w:val="14"/>
          <w:szCs w:val="14"/>
        </w:rPr>
        <w:t>doklad nesmí být starší než 2 měsíce</w:t>
      </w:r>
    </w:p>
  </w:footnote>
  <w:footnote w:id="24">
    <w:p w:rsidR="0028680C" w:rsidP="0068744B">
      <w:pPr>
        <w:pStyle w:val="FootnoteText"/>
        <w:tabs>
          <w:tab w:val="left" w:pos="227"/>
        </w:tabs>
        <w:spacing w:after="40"/>
      </w:pPr>
      <w:r w:rsidRPr="009451FC">
        <w:rPr>
          <w:rStyle w:val="FootnoteReference"/>
          <w:position w:val="4"/>
          <w:sz w:val="14"/>
          <w:szCs w:val="14"/>
        </w:rPr>
        <w:footnoteRef/>
      </w:r>
      <w:r>
        <w:rPr>
          <w:sz w:val="14"/>
          <w:szCs w:val="14"/>
        </w:rPr>
        <w:tab/>
      </w:r>
      <w:r w:rsidRPr="002D2D37">
        <w:rPr>
          <w:color w:val="000000"/>
          <w:sz w:val="14"/>
          <w:szCs w:val="14"/>
        </w:rPr>
        <w:t>pro přepočet se použije devizový kurz ČNB platný v poslední den relevantního účetního období</w:t>
      </w:r>
    </w:p>
  </w:footnote>
  <w:footnote w:id="25">
    <w:p w:rsidR="0028680C" w:rsidRPr="002D2D37" w:rsidP="00536260">
      <w:pPr>
        <w:pStyle w:val="FootnoteText"/>
        <w:tabs>
          <w:tab w:val="left" w:pos="227"/>
        </w:tabs>
        <w:spacing w:after="40"/>
        <w:rPr>
          <w:sz w:val="14"/>
          <w:szCs w:val="14"/>
        </w:rPr>
      </w:pPr>
      <w:r w:rsidRPr="009451FC">
        <w:rPr>
          <w:rStyle w:val="FootnoteReference"/>
          <w:position w:val="4"/>
          <w:sz w:val="14"/>
          <w:szCs w:val="14"/>
        </w:rPr>
        <w:footnoteRef/>
      </w:r>
      <w:r>
        <w:rPr>
          <w:sz w:val="14"/>
          <w:szCs w:val="14"/>
        </w:rPr>
        <w:tab/>
      </w:r>
      <w:r w:rsidRPr="002D2D37">
        <w:rPr>
          <w:color w:val="000000"/>
          <w:sz w:val="14"/>
          <w:szCs w:val="14"/>
        </w:rPr>
        <w:t>z. č. 253/2008 Sb., o některých opatřeních proti legalizaci výnosů z trestné činnosti a financování terorismu,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80C" w:rsidRPr="00E00829">
    <w:pPr>
      <w:rPr>
        <w:sz w:val="6"/>
        <w:szCs w:val="6"/>
      </w:rPr>
    </w:pPr>
  </w:p>
  <w:tbl>
    <w:tblPr>
      <w:tblW w:w="9639" w:type="dxa"/>
      <w:tblBorders>
        <w:bottom w:val="single" w:sz="6" w:space="0" w:color="C8C8C8"/>
      </w:tblBorders>
      <w:tblLayout w:type="fixed"/>
      <w:tblCellMar>
        <w:left w:w="0" w:type="dxa"/>
        <w:right w:w="0" w:type="dxa"/>
      </w:tblCellMar>
      <w:tblLook w:val="04A0"/>
    </w:tblPr>
    <w:tblGrid>
      <w:gridCol w:w="9639"/>
    </w:tblGrid>
    <w:tr w:rsidTr="00EB16B3">
      <w:tblPrEx>
        <w:tblW w:w="9639" w:type="dxa"/>
        <w:tblBorders>
          <w:bottom w:val="single" w:sz="6" w:space="0" w:color="C8C8C8"/>
        </w:tblBorders>
        <w:tblLayout w:type="fixed"/>
        <w:tblCellMar>
          <w:left w:w="0" w:type="dxa"/>
          <w:right w:w="0" w:type="dxa"/>
        </w:tblCellMar>
        <w:tblLook w:val="04A0"/>
      </w:tblPrEx>
      <w:trPr>
        <w:trHeight w:val="425"/>
      </w:trPr>
      <w:tc>
        <w:tcPr>
          <w:tcW w:w="9639" w:type="dxa"/>
          <w:shd w:val="clear" w:color="auto" w:fill="auto"/>
        </w:tcPr>
        <w:p w:rsidR="0028680C" w:rsidRPr="006D393D" w:rsidP="00317FD6">
          <w:pPr>
            <w:pStyle w:val="Header"/>
            <w:rPr>
              <w:b/>
              <w:caps/>
              <w:sz w:val="28"/>
              <w:szCs w:val="22"/>
              <w:lang w:val="cs-CZ" w:eastAsia="en-US"/>
            </w:rPr>
          </w:pPr>
          <w:bookmarkStart w:id="91" w:name="S_D1_optJazykCZ_H2"/>
          <w:bookmarkStart w:id="92" w:name="cj_2"/>
          <w:r w:rsidRPr="006D393D">
            <w:rPr>
              <w:b/>
              <w:caps/>
              <w:sz w:val="28"/>
              <w:szCs w:val="22"/>
              <w:lang w:val="cs-CZ" w:eastAsia="en-US"/>
            </w:rPr>
            <w:t xml:space="preserve">VŠEOBECNÉ OBCHODNÍ PODMÍNKY </w:t>
          </w:r>
          <w:bookmarkEnd w:id="91"/>
          <w:bookmarkEnd w:id="92"/>
        </w:p>
      </w:tc>
    </w:tr>
  </w:tbl>
  <w:p w:rsidR="0028680C" w:rsidP="0047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39" w:type="dxa"/>
      <w:tblLayout w:type="fixed"/>
      <w:tblCellMar>
        <w:left w:w="0" w:type="dxa"/>
        <w:right w:w="0" w:type="dxa"/>
      </w:tblCellMar>
      <w:tblLook w:val="04A0"/>
    </w:tblPr>
    <w:tblGrid>
      <w:gridCol w:w="2084"/>
      <w:gridCol w:w="786"/>
      <w:gridCol w:w="786"/>
      <w:gridCol w:w="5983"/>
    </w:tblGrid>
    <w:tr w:rsidTr="009E3891">
      <w:tblPrEx>
        <w:tblW w:w="9639" w:type="dxa"/>
        <w:tblLayout w:type="fixed"/>
        <w:tblCellMar>
          <w:left w:w="0" w:type="dxa"/>
          <w:right w:w="0" w:type="dxa"/>
        </w:tblCellMar>
        <w:tblLook w:val="04A0"/>
      </w:tblPrEx>
      <w:trPr>
        <w:trHeight w:hRule="exact" w:val="283"/>
      </w:trPr>
      <w:tc>
        <w:tcPr>
          <w:tcW w:w="2084" w:type="dxa"/>
          <w:vMerge w:val="restart"/>
          <w:vAlign w:val="center"/>
        </w:tcPr>
        <w:p w:rsidR="0028680C" w:rsidRPr="006D393D" w:rsidP="0063799E">
          <w:pPr>
            <w:pStyle w:val="Header"/>
            <w:rPr>
              <w:szCs w:val="22"/>
              <w:lang w:val="cs-CZ" w:eastAsia="en-US"/>
            </w:rPr>
          </w:pPr>
          <w:r w:rsidRPr="006D393D">
            <w:rPr>
              <w:noProof/>
              <w:szCs w:val="22"/>
              <w:lang w:val="cs-CZ" w:eastAsia="cs-CZ"/>
            </w:rPr>
            <w:drawing>
              <wp:inline distT="0" distB="0" distL="0" distR="0">
                <wp:extent cx="1314450" cy="466725"/>
                <wp:effectExtent l="0" t="0" r="0" b="9525"/>
                <wp:docPr id="1"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88544" name="Obrázek 7" descr="KB logo CMYK.e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28680C" w:rsidRPr="006D393D" w:rsidP="008C1233">
          <w:pPr>
            <w:pStyle w:val="Heading1"/>
            <w:ind w:left="425"/>
            <w:rPr>
              <w:b w:val="0"/>
              <w:caps w:val="0"/>
              <w:sz w:val="8"/>
              <w:lang w:val="cs-CZ" w:eastAsia="en-US"/>
            </w:rPr>
          </w:pPr>
        </w:p>
      </w:tc>
      <w:tc>
        <w:tcPr>
          <w:tcW w:w="786" w:type="dxa"/>
          <w:vMerge w:val="restart"/>
          <w:vAlign w:val="center"/>
        </w:tcPr>
        <w:p w:rsidR="0028680C" w:rsidRPr="006D393D" w:rsidP="008C1233">
          <w:pPr>
            <w:pStyle w:val="Heading1"/>
            <w:ind w:left="425"/>
            <w:rPr>
              <w:lang w:val="cs-CZ" w:eastAsia="en-US"/>
            </w:rPr>
          </w:pPr>
        </w:p>
      </w:tc>
      <w:tc>
        <w:tcPr>
          <w:tcW w:w="5983" w:type="dxa"/>
          <w:vMerge w:val="restart"/>
          <w:vAlign w:val="center"/>
        </w:tcPr>
        <w:p w:rsidR="0028680C" w:rsidRPr="00EB16B3" w:rsidP="00317FD6">
          <w:pPr>
            <w:rPr>
              <w:b/>
              <w:caps/>
              <w:szCs w:val="18"/>
            </w:rPr>
          </w:pPr>
          <w:bookmarkStart w:id="95" w:name="S_D1_optJazykCZ_H1"/>
          <w:bookmarkStart w:id="96" w:name="cj"/>
          <w:r w:rsidRPr="00EB16B3">
            <w:rPr>
              <w:b/>
              <w:caps/>
              <w:sz w:val="28"/>
            </w:rPr>
            <w:t>VŠEOBECNÉ OBCHODNÍ PODMÍNKY</w:t>
          </w:r>
          <w:r>
            <w:rPr>
              <w:b/>
              <w:caps/>
              <w:sz w:val="28"/>
            </w:rPr>
            <w:t xml:space="preserve"> </w:t>
          </w:r>
          <w:bookmarkEnd w:id="95"/>
          <w:bookmarkEnd w:id="96"/>
        </w:p>
      </w:tc>
    </w:tr>
    <w:tr w:rsidTr="009E3891">
      <w:tblPrEx>
        <w:tblW w:w="9639" w:type="dxa"/>
        <w:tblLayout w:type="fixed"/>
        <w:tblCellMar>
          <w:left w:w="0" w:type="dxa"/>
          <w:right w:w="0" w:type="dxa"/>
        </w:tblCellMar>
        <w:tblLook w:val="04A0"/>
      </w:tblPrEx>
      <w:trPr>
        <w:trHeight w:hRule="exact" w:val="363"/>
      </w:trPr>
      <w:tc>
        <w:tcPr>
          <w:tcW w:w="2084" w:type="dxa"/>
          <w:vMerge/>
          <w:vAlign w:val="center"/>
        </w:tcPr>
        <w:p w:rsidR="0028680C" w:rsidRPr="006D393D" w:rsidP="008C1233">
          <w:pPr>
            <w:pStyle w:val="Header"/>
            <w:rPr>
              <w:szCs w:val="22"/>
              <w:lang w:val="cs-CZ" w:eastAsia="en-US"/>
            </w:rPr>
          </w:pPr>
        </w:p>
      </w:tc>
      <w:tc>
        <w:tcPr>
          <w:tcW w:w="786" w:type="dxa"/>
          <w:tcBorders>
            <w:right w:val="single" w:sz="18" w:space="0" w:color="000000"/>
          </w:tcBorders>
          <w:vAlign w:val="center"/>
        </w:tcPr>
        <w:p w:rsidR="0028680C" w:rsidRPr="006D393D" w:rsidP="008C1233">
          <w:pPr>
            <w:pStyle w:val="Heading1"/>
            <w:ind w:left="425"/>
            <w:rPr>
              <w:b w:val="0"/>
              <w:caps w:val="0"/>
              <w:sz w:val="8"/>
              <w:lang w:val="cs-CZ" w:eastAsia="en-US"/>
            </w:rPr>
          </w:pPr>
        </w:p>
      </w:tc>
      <w:tc>
        <w:tcPr>
          <w:tcW w:w="786" w:type="dxa"/>
          <w:vMerge/>
          <w:tcBorders>
            <w:left w:val="single" w:sz="18" w:space="0" w:color="000000"/>
          </w:tcBorders>
        </w:tcPr>
        <w:p w:rsidR="0028680C" w:rsidRPr="006D393D" w:rsidP="00562D0E">
          <w:pPr>
            <w:pStyle w:val="Heading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28680C" w:rsidRPr="006D393D" w:rsidP="00562D0E">
          <w:pPr>
            <w:pStyle w:val="Heading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Tr="009E3891">
      <w:tblPrEx>
        <w:tblW w:w="9639" w:type="dxa"/>
        <w:tblLayout w:type="fixed"/>
        <w:tblCellMar>
          <w:left w:w="0" w:type="dxa"/>
          <w:right w:w="0" w:type="dxa"/>
        </w:tblCellMar>
        <w:tblLook w:val="04A0"/>
      </w:tblPrEx>
      <w:trPr>
        <w:trHeight w:hRule="exact" w:val="283"/>
      </w:trPr>
      <w:tc>
        <w:tcPr>
          <w:tcW w:w="2084" w:type="dxa"/>
          <w:vMerge/>
          <w:vAlign w:val="center"/>
        </w:tcPr>
        <w:p w:rsidR="0028680C" w:rsidRPr="006D393D" w:rsidP="008C1233">
          <w:pPr>
            <w:pStyle w:val="Header"/>
            <w:rPr>
              <w:szCs w:val="22"/>
              <w:lang w:val="cs-CZ" w:eastAsia="en-US"/>
            </w:rPr>
          </w:pPr>
        </w:p>
      </w:tc>
      <w:tc>
        <w:tcPr>
          <w:tcW w:w="786" w:type="dxa"/>
          <w:vAlign w:val="center"/>
        </w:tcPr>
        <w:p w:rsidR="0028680C" w:rsidRPr="006D393D" w:rsidP="008C1233">
          <w:pPr>
            <w:pStyle w:val="Heading1"/>
            <w:ind w:left="425"/>
            <w:rPr>
              <w:b w:val="0"/>
              <w:caps w:val="0"/>
              <w:sz w:val="8"/>
              <w:lang w:val="cs-CZ" w:eastAsia="en-US"/>
            </w:rPr>
          </w:pPr>
        </w:p>
      </w:tc>
      <w:tc>
        <w:tcPr>
          <w:tcW w:w="786" w:type="dxa"/>
          <w:vMerge/>
        </w:tcPr>
        <w:p w:rsidR="0028680C" w:rsidRPr="006D393D" w:rsidP="00562D0E">
          <w:pPr>
            <w:pStyle w:val="Heading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28680C" w:rsidRPr="006D393D" w:rsidP="00562D0E">
          <w:pPr>
            <w:pStyle w:val="Heading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Tr="00EB16B3">
      <w:tblPrEx>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170" w:type="dxa"/>
        </w:tblCellMar>
        <w:tblLook w:val="04A0"/>
      </w:tblPrEx>
      <w:trPr>
        <w:trHeight w:hRule="exact" w:val="584"/>
      </w:trPr>
      <w:tc>
        <w:tcPr>
          <w:tcW w:w="9639" w:type="dxa"/>
          <w:gridSpan w:val="4"/>
          <w:tcBorders>
            <w:top w:val="nil"/>
            <w:left w:val="nil"/>
            <w:bottom w:val="nil"/>
            <w:right w:val="nil"/>
          </w:tcBorders>
          <w:tcFitText/>
        </w:tcPr>
        <w:p w:rsidR="0028680C" w:rsidRPr="00EB16B3" w:rsidP="00EB16B3">
          <w:pPr>
            <w:jc w:val="right"/>
            <w:rPr>
              <w:sz w:val="10"/>
            </w:rPr>
          </w:pPr>
        </w:p>
      </w:tc>
    </w:tr>
  </w:tbl>
  <w:p w:rsidR="0028680C" w:rsidRPr="00476D95" w:rsidP="009E3891">
    <w:pPr>
      <w:pStyle w:val="Header"/>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name w:val="Outline"/>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5"/>
    <w:multiLevelType w:val="hybridMultilevel"/>
    <w:tmpl w:val="C5AAC492"/>
    <w:lvl w:ilvl="0">
      <w:start w:val="1"/>
      <w:numFmt w:val="lowerLetter"/>
      <w:lvlText w:val="%1)"/>
      <w:lvlJc w:val="left"/>
      <w:pPr>
        <w:ind w:left="-943" w:hanging="360"/>
      </w:pPr>
      <w:rPr>
        <w:rFonts w:ascii="Times New Roman" w:hAnsi="Times New Roman" w:cs="Times New Roman"/>
        <w:spacing w:val="0"/>
      </w:rPr>
    </w:lvl>
    <w:lvl w:ilvl="1">
      <w:start w:val="1"/>
      <w:numFmt w:val="lowerLetter"/>
      <w:lvlText w:val="%2."/>
      <w:lvlJc w:val="left"/>
      <w:pPr>
        <w:ind w:left="-223" w:hanging="360"/>
      </w:pPr>
      <w:rPr>
        <w:rFonts w:ascii="Times New Roman" w:hAnsi="Times New Roman" w:cs="Times New Roman"/>
        <w:spacing w:val="0"/>
      </w:rPr>
    </w:lvl>
    <w:lvl w:ilvl="2">
      <w:start w:val="1"/>
      <w:numFmt w:val="lowerRoman"/>
      <w:lvlText w:val="%3."/>
      <w:lvlJc w:val="right"/>
      <w:pPr>
        <w:ind w:left="497" w:hanging="180"/>
      </w:pPr>
      <w:rPr>
        <w:rFonts w:ascii="Times New Roman" w:hAnsi="Times New Roman" w:cs="Times New Roman"/>
        <w:spacing w:val="0"/>
      </w:rPr>
    </w:lvl>
    <w:lvl w:ilvl="3">
      <w:start w:val="1"/>
      <w:numFmt w:val="decimal"/>
      <w:lvlText w:val="%4."/>
      <w:lvlJc w:val="left"/>
      <w:pPr>
        <w:ind w:left="1217" w:hanging="360"/>
      </w:pPr>
      <w:rPr>
        <w:rFonts w:ascii="Times New Roman" w:hAnsi="Times New Roman" w:cs="Times New Roman"/>
        <w:spacing w:val="0"/>
      </w:rPr>
    </w:lvl>
    <w:lvl w:ilvl="4">
      <w:start w:val="1"/>
      <w:numFmt w:val="lowerLetter"/>
      <w:lvlText w:val="%5."/>
      <w:lvlJc w:val="left"/>
      <w:pPr>
        <w:ind w:left="1937" w:hanging="360"/>
      </w:pPr>
      <w:rPr>
        <w:rFonts w:ascii="Times New Roman" w:hAnsi="Times New Roman" w:cs="Times New Roman"/>
        <w:spacing w:val="0"/>
      </w:rPr>
    </w:lvl>
    <w:lvl w:ilvl="5">
      <w:start w:val="1"/>
      <w:numFmt w:val="lowerRoman"/>
      <w:lvlText w:val="%6."/>
      <w:lvlJc w:val="right"/>
      <w:pPr>
        <w:ind w:left="2657" w:hanging="180"/>
      </w:pPr>
      <w:rPr>
        <w:rFonts w:ascii="Times New Roman" w:hAnsi="Times New Roman" w:cs="Times New Roman"/>
        <w:spacing w:val="0"/>
      </w:rPr>
    </w:lvl>
    <w:lvl w:ilvl="6">
      <w:start w:val="1"/>
      <w:numFmt w:val="decimal"/>
      <w:lvlText w:val="%7."/>
      <w:lvlJc w:val="left"/>
      <w:pPr>
        <w:ind w:left="3377" w:hanging="360"/>
      </w:pPr>
      <w:rPr>
        <w:rFonts w:ascii="Times New Roman" w:hAnsi="Times New Roman" w:cs="Times New Roman"/>
        <w:spacing w:val="0"/>
      </w:rPr>
    </w:lvl>
    <w:lvl w:ilvl="7">
      <w:start w:val="1"/>
      <w:numFmt w:val="lowerLetter"/>
      <w:lvlText w:val="%8."/>
      <w:lvlJc w:val="left"/>
      <w:pPr>
        <w:ind w:left="4097" w:hanging="360"/>
      </w:pPr>
      <w:rPr>
        <w:rFonts w:ascii="Times New Roman" w:hAnsi="Times New Roman" w:cs="Times New Roman"/>
        <w:spacing w:val="0"/>
      </w:rPr>
    </w:lvl>
    <w:lvl w:ilvl="8">
      <w:start w:val="1"/>
      <w:numFmt w:val="lowerRoman"/>
      <w:lvlText w:val="%9."/>
      <w:lvlJc w:val="right"/>
      <w:pPr>
        <w:ind w:left="4817" w:hanging="180"/>
      </w:pPr>
      <w:rPr>
        <w:rFonts w:ascii="Times New Roman" w:hAnsi="Times New Roman" w:cs="Times New Roman"/>
        <w:spacing w:val="0"/>
      </w:rPr>
    </w:lvl>
  </w:abstractNum>
  <w:abstractNum w:abstractNumId="2">
    <w:nsid w:val="087B755C"/>
    <w:multiLevelType w:val="hybridMultilevel"/>
    <w:tmpl w:val="17380C5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
    <w:nsid w:val="0A6457CB"/>
    <w:multiLevelType w:val="hybridMultilevel"/>
    <w:tmpl w:val="A2E01428"/>
    <w:lvl w:ilvl="0">
      <w:start w:val="1"/>
      <w:numFmt w:val="lowerLetter"/>
      <w:lvlText w:val="%1)"/>
      <w:lvlJc w:val="left"/>
      <w:pPr>
        <w:tabs>
          <w:tab w:val="num" w:pos="360"/>
        </w:tabs>
        <w:ind w:left="360" w:hanging="360"/>
      </w:pPr>
      <w:rPr>
        <w:rFonts w:ascii="Arial" w:hAnsi="Arial"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9319F9"/>
    <w:multiLevelType w:val="hybridMultilevel"/>
    <w:tmpl w:val="62A023D4"/>
    <w:lvl w:ilvl="0">
      <w:start w:val="1"/>
      <w:numFmt w:val="bullet"/>
      <w:lvlText w:val=""/>
      <w:lvlJc w:val="left"/>
      <w:pPr>
        <w:ind w:left="720" w:hanging="360"/>
      </w:pPr>
      <w:rPr>
        <w:rFonts w:ascii="Wingdings" w:hAnsi="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4E77A7"/>
    <w:multiLevelType w:val="hybridMultilevel"/>
    <w:tmpl w:val="5D3ACF1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E77146"/>
    <w:multiLevelType w:val="hybridMultilevel"/>
    <w:tmpl w:val="B118573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77F2925"/>
    <w:multiLevelType w:val="hybridMultilevel"/>
    <w:tmpl w:val="789C904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
    <w:nsid w:val="19F63A1A"/>
    <w:multiLevelType w:val="hybridMultilevel"/>
    <w:tmpl w:val="8EDAD30C"/>
    <w:lvl w:ilvl="0">
      <w:start w:val="1"/>
      <w:numFmt w:val="decimal"/>
      <w:lvlText w:val="%1)"/>
      <w:lvlJc w:val="left"/>
      <w:pPr>
        <w:ind w:left="720" w:hanging="360"/>
      </w:pPr>
      <w:rPr>
        <w:rFonts w:ascii="Times New Roman" w:hAnsi="Times New Roman" w:cs="Times New Roman"/>
      </w:rPr>
    </w:lvl>
    <w:lvl w:ilvl="1">
      <w:start w:val="1"/>
      <w:numFmt w:val="bullet"/>
      <w:lvlText w:val=""/>
      <w:lvlJc w:val="left"/>
      <w:pPr>
        <w:ind w:left="1440" w:hanging="360"/>
      </w:pPr>
      <w:rPr>
        <w:rFonts w:ascii="Wingdings" w:hAnsi="Wingdings" w:cs="Times New Roman" w:hint="default"/>
        <w:sz w:val="14"/>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
    <w:nsid w:val="23B7556B"/>
    <w:multiLevelType w:val="hybridMultilevel"/>
    <w:tmpl w:val="7C70653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
    <w:nsid w:val="24F20EDE"/>
    <w:multiLevelType w:val="hybridMultilevel"/>
    <w:tmpl w:val="5A1EABA0"/>
    <w:lvl w:ilvl="0">
      <w:start w:val="1"/>
      <w:numFmt w:val="lowerLetter"/>
      <w:lvlText w:val="%1)"/>
      <w:lvlJc w:val="left"/>
      <w:pPr>
        <w:ind w:left="587" w:hanging="360"/>
      </w:pPr>
      <w:rPr>
        <w:rFonts w:hint="default"/>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11">
    <w:nsid w:val="25E16A14"/>
    <w:multiLevelType w:val="hybridMultilevel"/>
    <w:tmpl w:val="B2F875F4"/>
    <w:lvl w:ilvl="0">
      <w:start w:val="1"/>
      <w:numFmt w:val="lowerLetter"/>
      <w:lvlText w:val="%1)"/>
      <w:lvlJc w:val="left"/>
      <w:pPr>
        <w:tabs>
          <w:tab w:val="num" w:pos="0"/>
        </w:tabs>
        <w:ind w:left="-94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3">
    <w:nsid w:val="29DB6E22"/>
    <w:multiLevelType w:val="hybridMultilevel"/>
    <w:tmpl w:val="B1185732"/>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4">
    <w:nsid w:val="2A745035"/>
    <w:multiLevelType w:val="hybridMultilevel"/>
    <w:tmpl w:val="683413A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EA062DF"/>
    <w:multiLevelType w:val="hybridMultilevel"/>
    <w:tmpl w:val="865055DE"/>
    <w:lvl w:ilvl="0">
      <w:start w:val="1"/>
      <w:numFmt w:val="bullet"/>
      <w:lvlText w:val=""/>
      <w:legacy w:legacy="1" w:legacySpace="0" w:legacyIndent="284"/>
      <w:lvlJc w:val="left"/>
      <w:pPr>
        <w:ind w:left="284" w:hanging="284"/>
      </w:pPr>
      <w:rPr>
        <w:rFonts w:ascii="Wingdings" w:hAnsi="Wingdings" w:cs="Times New Roman" w:hint="default"/>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6">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7">
    <w:nsid w:val="364D6064"/>
    <w:multiLevelType w:val="hybridMultilevel"/>
    <w:tmpl w:val="683413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B73C5B"/>
    <w:multiLevelType w:val="hybridMultilevel"/>
    <w:tmpl w:val="3CDC1392"/>
    <w:lvl w:ilvl="0">
      <w:start w:val="1"/>
      <w:numFmt w:val="bullet"/>
      <w:lvlText w:val=""/>
      <w:lvlJc w:val="left"/>
      <w:pPr>
        <w:ind w:left="720" w:hanging="360"/>
      </w:pPr>
      <w:rPr>
        <w:rFonts w:ascii="Wingdings" w:hAnsi="Wingdings"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rPr>
    </w:lvl>
  </w:abstractNum>
  <w:abstractNum w:abstractNumId="19">
    <w:nsid w:val="3D1A4C9E"/>
    <w:multiLevelType w:val="hybridMultilevel"/>
    <w:tmpl w:val="EE62B45C"/>
    <w:lvl w:ilvl="0">
      <w:start w:val="1"/>
      <w:numFmt w:val="bullet"/>
      <w:lvlText w:val=""/>
      <w:lvlJc w:val="left"/>
      <w:pPr>
        <w:tabs>
          <w:tab w:val="num" w:pos="284"/>
        </w:tabs>
        <w:ind w:left="284" w:hanging="284"/>
      </w:pPr>
      <w:rPr>
        <w:rFonts w:ascii="Wingdings" w:hAnsi="Wingdings" w:cs="Times New Roman" w:hint="default"/>
        <w:b w:val="0"/>
        <w:i w:val="0"/>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0">
    <w:nsid w:val="46057C37"/>
    <w:multiLevelType w:val="hybridMultilevel"/>
    <w:tmpl w:val="90A23820"/>
    <w:lvl w:ilvl="0">
      <w:start w:val="1"/>
      <w:numFmt w:val="bullet"/>
      <w:lvlText w:val=""/>
      <w:lvlJc w:val="left"/>
      <w:pPr>
        <w:ind w:left="720" w:hanging="360"/>
      </w:pPr>
      <w:rPr>
        <w:rFonts w:ascii="Wingdings" w:hAnsi="Wingdings"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rPr>
    </w:lvl>
  </w:abstractNum>
  <w:abstractNum w:abstractNumId="21">
    <w:nsid w:val="4CAD5CC9"/>
    <w:multiLevelType w:val="hybridMultilevel"/>
    <w:tmpl w:val="B5E6D3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FA6A4B"/>
    <w:multiLevelType w:val="hybridMultilevel"/>
    <w:tmpl w:val="3706656C"/>
    <w:lvl w:ilvl="0">
      <w:start w:val="1"/>
      <w:numFmt w:val="decimal"/>
      <w:lvlText w:val="%1)"/>
      <w:lvlJc w:val="left"/>
      <w:pPr>
        <w:ind w:left="720" w:hanging="360"/>
      </w:pPr>
      <w:rPr>
        <w:rFonts w:ascii="Times New Roman" w:hAnsi="Times New Roman" w:cs="Times New Roman"/>
      </w:rPr>
    </w:lvl>
    <w:lvl w:ilvl="1">
      <w:start w:val="1"/>
      <w:numFmt w:val="bullet"/>
      <w:lvlText w:val=""/>
      <w:lvlJc w:val="left"/>
      <w:pPr>
        <w:ind w:left="1440" w:hanging="360"/>
      </w:pPr>
      <w:rPr>
        <w:rFonts w:ascii="Wingdings" w:hAnsi="Wingdings" w:cs="Times New Roman" w:hint="default"/>
        <w:sz w:val="22"/>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3">
    <w:nsid w:val="529D1FD6"/>
    <w:multiLevelType w:val="hybridMultilevel"/>
    <w:tmpl w:val="C5AAC492"/>
    <w:lvl w:ilvl="0">
      <w:start w:val="1"/>
      <w:numFmt w:val="lowerLetter"/>
      <w:lvlText w:val="%1)"/>
      <w:lvlJc w:val="left"/>
      <w:pPr>
        <w:ind w:left="-943" w:hanging="360"/>
      </w:pPr>
    </w:lvl>
    <w:lvl w:ilvl="1" w:tentative="1">
      <w:start w:val="1"/>
      <w:numFmt w:val="lowerLetter"/>
      <w:lvlText w:val="%2."/>
      <w:lvlJc w:val="left"/>
      <w:pPr>
        <w:ind w:left="-223" w:hanging="360"/>
      </w:pPr>
    </w:lvl>
    <w:lvl w:ilvl="2" w:tentative="1">
      <w:start w:val="1"/>
      <w:numFmt w:val="lowerRoman"/>
      <w:lvlText w:val="%3."/>
      <w:lvlJc w:val="right"/>
      <w:pPr>
        <w:ind w:left="497" w:hanging="180"/>
      </w:pPr>
    </w:lvl>
    <w:lvl w:ilvl="3" w:tentative="1">
      <w:start w:val="1"/>
      <w:numFmt w:val="decimal"/>
      <w:lvlText w:val="%4."/>
      <w:lvlJc w:val="left"/>
      <w:pPr>
        <w:ind w:left="1217" w:hanging="360"/>
      </w:pPr>
    </w:lvl>
    <w:lvl w:ilvl="4" w:tentative="1">
      <w:start w:val="1"/>
      <w:numFmt w:val="lowerLetter"/>
      <w:lvlText w:val="%5."/>
      <w:lvlJc w:val="left"/>
      <w:pPr>
        <w:ind w:left="1937" w:hanging="360"/>
      </w:pPr>
    </w:lvl>
    <w:lvl w:ilvl="5" w:tentative="1">
      <w:start w:val="1"/>
      <w:numFmt w:val="lowerRoman"/>
      <w:lvlText w:val="%6."/>
      <w:lvlJc w:val="right"/>
      <w:pPr>
        <w:ind w:left="2657" w:hanging="180"/>
      </w:pPr>
    </w:lvl>
    <w:lvl w:ilvl="6" w:tentative="1">
      <w:start w:val="1"/>
      <w:numFmt w:val="decimal"/>
      <w:lvlText w:val="%7."/>
      <w:lvlJc w:val="left"/>
      <w:pPr>
        <w:ind w:left="3377" w:hanging="360"/>
      </w:pPr>
    </w:lvl>
    <w:lvl w:ilvl="7" w:tentative="1">
      <w:start w:val="1"/>
      <w:numFmt w:val="lowerLetter"/>
      <w:lvlText w:val="%8."/>
      <w:lvlJc w:val="left"/>
      <w:pPr>
        <w:ind w:left="4097" w:hanging="360"/>
      </w:pPr>
    </w:lvl>
    <w:lvl w:ilvl="8" w:tentative="1">
      <w:start w:val="1"/>
      <w:numFmt w:val="lowerRoman"/>
      <w:lvlText w:val="%9."/>
      <w:lvlJc w:val="right"/>
      <w:pPr>
        <w:ind w:left="4817" w:hanging="180"/>
      </w:pPr>
    </w:lvl>
  </w:abstractNum>
  <w:abstractNum w:abstractNumId="24">
    <w:nsid w:val="566F2D1C"/>
    <w:multiLevelType w:val="hybridMultilevel"/>
    <w:tmpl w:val="B118573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6">
    <w:nsid w:val="5A4B45A1"/>
    <w:multiLevelType w:val="hybridMultilevel"/>
    <w:tmpl w:val="C5AAC492"/>
    <w:lvl w:ilvl="0">
      <w:start w:val="1"/>
      <w:numFmt w:val="lowerLetter"/>
      <w:lvlText w:val="%1)"/>
      <w:lvlJc w:val="left"/>
      <w:pPr>
        <w:ind w:left="-1097" w:hanging="360"/>
      </w:pPr>
    </w:lvl>
    <w:lvl w:ilvl="1" w:tentative="1">
      <w:start w:val="1"/>
      <w:numFmt w:val="lowerLetter"/>
      <w:lvlText w:val="%2."/>
      <w:lvlJc w:val="left"/>
      <w:pPr>
        <w:ind w:left="-377" w:hanging="360"/>
      </w:pPr>
    </w:lvl>
    <w:lvl w:ilvl="2" w:tentative="1">
      <w:start w:val="1"/>
      <w:numFmt w:val="lowerRoman"/>
      <w:lvlText w:val="%3."/>
      <w:lvlJc w:val="right"/>
      <w:pPr>
        <w:ind w:left="343" w:hanging="180"/>
      </w:pPr>
    </w:lvl>
    <w:lvl w:ilvl="3" w:tentative="1">
      <w:start w:val="1"/>
      <w:numFmt w:val="decimal"/>
      <w:lvlText w:val="%4."/>
      <w:lvlJc w:val="left"/>
      <w:pPr>
        <w:ind w:left="1063" w:hanging="360"/>
      </w:pPr>
    </w:lvl>
    <w:lvl w:ilvl="4" w:tentative="1">
      <w:start w:val="1"/>
      <w:numFmt w:val="lowerLetter"/>
      <w:lvlText w:val="%5."/>
      <w:lvlJc w:val="left"/>
      <w:pPr>
        <w:ind w:left="1783" w:hanging="360"/>
      </w:pPr>
    </w:lvl>
    <w:lvl w:ilvl="5" w:tentative="1">
      <w:start w:val="1"/>
      <w:numFmt w:val="lowerRoman"/>
      <w:lvlText w:val="%6."/>
      <w:lvlJc w:val="right"/>
      <w:pPr>
        <w:ind w:left="2503" w:hanging="180"/>
      </w:pPr>
    </w:lvl>
    <w:lvl w:ilvl="6" w:tentative="1">
      <w:start w:val="1"/>
      <w:numFmt w:val="decimal"/>
      <w:lvlText w:val="%7."/>
      <w:lvlJc w:val="left"/>
      <w:pPr>
        <w:ind w:left="3223" w:hanging="360"/>
      </w:pPr>
    </w:lvl>
    <w:lvl w:ilvl="7" w:tentative="1">
      <w:start w:val="1"/>
      <w:numFmt w:val="lowerLetter"/>
      <w:lvlText w:val="%8."/>
      <w:lvlJc w:val="left"/>
      <w:pPr>
        <w:ind w:left="3943" w:hanging="360"/>
      </w:pPr>
    </w:lvl>
    <w:lvl w:ilvl="8" w:tentative="1">
      <w:start w:val="1"/>
      <w:numFmt w:val="lowerRoman"/>
      <w:lvlText w:val="%9."/>
      <w:lvlJc w:val="right"/>
      <w:pPr>
        <w:ind w:left="4663" w:hanging="180"/>
      </w:pPr>
    </w:lvl>
  </w:abstractNum>
  <w:abstractNum w:abstractNumId="27">
    <w:nsid w:val="5D084E3A"/>
    <w:multiLevelType w:val="hybridMultilevel"/>
    <w:tmpl w:val="A912BFB4"/>
    <w:lvl w:ilvl="0">
      <w:start w:val="1"/>
      <w:numFmt w:val="bullet"/>
      <w:lvlText w:val=""/>
      <w:lvlJc w:val="left"/>
      <w:pPr>
        <w:ind w:left="720" w:hanging="360"/>
      </w:pPr>
      <w:rPr>
        <w:rFonts w:ascii="Wingdings" w:hAnsi="Wingdings"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rPr>
    </w:lvl>
  </w:abstractNum>
  <w:abstractNum w:abstractNumId="28">
    <w:nsid w:val="5ECC7914"/>
    <w:multiLevelType w:val="hybridMultilevel"/>
    <w:tmpl w:val="7CB83F2E"/>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9">
    <w:nsid w:val="621B023E"/>
    <w:multiLevelType w:val="hybridMultilevel"/>
    <w:tmpl w:val="61928DF8"/>
    <w:lvl w:ilvl="0">
      <w:start w:val="1"/>
      <w:numFmt w:val="lowerLetter"/>
      <w:lvlText w:val="%1)"/>
      <w:lvlJc w:val="left"/>
      <w:pPr>
        <w:tabs>
          <w:tab w:val="num" w:pos="360"/>
        </w:tabs>
        <w:ind w:left="360" w:hanging="360"/>
      </w:pPr>
      <w:rPr>
        <w:rFonts w:ascii="Arial" w:hAnsi="Arial"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50712E6"/>
    <w:multiLevelType w:val="hybridMultilevel"/>
    <w:tmpl w:val="B118573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ED41316"/>
    <w:multiLevelType w:val="hybridMultilevel"/>
    <w:tmpl w:val="F86250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2">
    <w:nsid w:val="70DE4D7F"/>
    <w:multiLevelType w:val="hybridMultilevel"/>
    <w:tmpl w:val="CF1E48B2"/>
    <w:lvl w:ilvl="0">
      <w:start w:val="1"/>
      <w:numFmt w:val="lowerRoman"/>
      <w:lvlText w:val="%1)"/>
      <w:lvlJc w:val="left"/>
      <w:pPr>
        <w:tabs>
          <w:tab w:val="num" w:pos="1429"/>
        </w:tabs>
        <w:ind w:left="1429" w:hanging="72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3">
    <w:nsid w:val="711D277A"/>
    <w:multiLevelType w:val="hybridMultilevel"/>
    <w:tmpl w:val="5D3ACF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B3117B"/>
    <w:multiLevelType w:val="hybridMultilevel"/>
    <w:tmpl w:val="9FEA41E4"/>
    <w:lvl w:ilvl="0">
      <w:start w:val="1"/>
      <w:numFmt w:val="lowerRoman"/>
      <w:lvlText w:val="%1)"/>
      <w:lvlJc w:val="left"/>
      <w:pPr>
        <w:tabs>
          <w:tab w:val="num" w:pos="1429"/>
        </w:tabs>
        <w:ind w:left="1429" w:hanging="72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5">
    <w:nsid w:val="73E73682"/>
    <w:multiLevelType w:val="hybridMultilevel"/>
    <w:tmpl w:val="B746714E"/>
    <w:lvl w:ilvl="0">
      <w:start w:val="1"/>
      <w:numFmt w:val="lowerRoman"/>
      <w:lvlText w:val="%1)"/>
      <w:lvlJc w:val="left"/>
      <w:pPr>
        <w:tabs>
          <w:tab w:val="num" w:pos="1429"/>
        </w:tabs>
        <w:ind w:left="1429"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6">
    <w:nsid w:val="7F774964"/>
    <w:multiLevelType w:val="hybridMultilevel"/>
    <w:tmpl w:val="A9D019BA"/>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abstractNumId w:val="4"/>
  </w:num>
  <w:num w:numId="2">
    <w:abstractNumId w:val="25"/>
  </w:num>
  <w:num w:numId="3">
    <w:abstractNumId w:val="33"/>
  </w:num>
  <w:num w:numId="4">
    <w:abstractNumId w:val="21"/>
  </w:num>
  <w:num w:numId="5">
    <w:abstractNumId w:val="30"/>
  </w:num>
  <w:num w:numId="6">
    <w:abstractNumId w:val="6"/>
  </w:num>
  <w:num w:numId="7">
    <w:abstractNumId w:val="17"/>
  </w:num>
  <w:num w:numId="8">
    <w:abstractNumId w:val="24"/>
  </w:num>
  <w:num w:numId="9">
    <w:abstractNumId w:val="20"/>
  </w:num>
  <w:num w:numId="10">
    <w:abstractNumId w:val="2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2"/>
  </w:num>
  <w:num w:numId="14">
    <w:abstractNumId w:val="34"/>
  </w:num>
  <w:num w:numId="15">
    <w:abstractNumId w:val="35"/>
  </w:num>
  <w:num w:numId="16">
    <w:abstractNumId w:val="28"/>
  </w:num>
  <w:num w:numId="17">
    <w:abstractNumId w:val="19"/>
  </w:num>
  <w:num w:numId="18">
    <w:abstractNumId w:val="15"/>
  </w:num>
  <w:num w:numId="19">
    <w:abstractNumId w:val="2"/>
  </w:num>
  <w:num w:numId="20">
    <w:abstractNumId w:val="7"/>
  </w:num>
  <w:num w:numId="21">
    <w:abstractNumId w:val="13"/>
  </w:num>
  <w:num w:numId="22">
    <w:abstractNumId w:val="12"/>
  </w:num>
  <w:num w:numId="23">
    <w:abstractNumId w:val="9"/>
  </w:num>
  <w:num w:numId="24">
    <w:abstractNumId w:val="31"/>
  </w:num>
  <w:num w:numId="25">
    <w:abstractNumId w:val="8"/>
  </w:num>
  <w:num w:numId="26">
    <w:abstractNumId w:val="22"/>
  </w:num>
  <w:num w:numId="27">
    <w:abstractNumId w:val="18"/>
  </w:num>
  <w:num w:numId="28">
    <w:abstractNumId w:val="1"/>
  </w:num>
  <w:num w:numId="29">
    <w:abstractNumId w:val="16"/>
  </w:num>
  <w:num w:numId="30">
    <w:abstractNumId w:val="0"/>
  </w:num>
  <w:num w:numId="31">
    <w:abstractNumId w:val="26"/>
  </w:num>
  <w:num w:numId="32">
    <w:abstractNumId w:val="11"/>
  </w:num>
  <w:num w:numId="33">
    <w:abstractNumId w:val="23"/>
  </w:num>
  <w:num w:numId="34">
    <w:abstractNumId w:val="3"/>
  </w:num>
  <w:num w:numId="35">
    <w:abstractNumId w:val="29"/>
  </w:num>
  <w:num w:numId="36">
    <w:abstractNumId w:val="14"/>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revisionView w:comments="0" w:formatting="1" w:inkAnnotations="1" w:insDel="1" w:markup="0"/>
  <w:documentProtection w:edit="forms" w:formatting="1" w:enforcement="1"/>
  <w:defaultTabStop w:val="709"/>
  <w:hyphenationZone w:val="425"/>
  <w:drawingGridHorizontalSpacing w:val="9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CD4"/>
    <w:rPr>
      <w:sz w:val="18"/>
      <w:szCs w:val="22"/>
      <w:lang w:eastAsia="en-US"/>
    </w:rPr>
  </w:style>
  <w:style w:type="paragraph" w:styleId="Heading1">
    <w:name w:val="heading 1"/>
    <w:basedOn w:val="Normal"/>
    <w:next w:val="Normal"/>
    <w:link w:val="Nadpis1Char"/>
    <w:uiPriority w:val="99"/>
    <w:qFormat/>
    <w:rsid w:val="005D6E7E"/>
    <w:pPr>
      <w:keepNext/>
      <w:keepLines/>
      <w:jc w:val="right"/>
      <w:outlineLvl w:val="0"/>
    </w:pPr>
    <w:rPr>
      <w:rFonts w:eastAsia="Times New Roman"/>
      <w:b/>
      <w:bCs/>
      <w:caps/>
      <w:sz w:val="28"/>
      <w:szCs w:val="28"/>
    </w:rPr>
  </w:style>
  <w:style w:type="paragraph" w:styleId="Heading2">
    <w:name w:val="heading 2"/>
    <w:basedOn w:val="Normal"/>
    <w:next w:val="Normal"/>
    <w:link w:val="Nadpis2Char"/>
    <w:uiPriority w:val="99"/>
    <w:unhideWhenUsed/>
    <w:qFormat/>
    <w:rsid w:val="005B5D1B"/>
    <w:pPr>
      <w:keepNext/>
      <w:keepLines/>
      <w:spacing w:before="200"/>
      <w:outlineLvl w:val="1"/>
    </w:pPr>
    <w:rPr>
      <w:rFonts w:eastAsia="Times New Roman"/>
      <w:b/>
      <w:bCs/>
      <w:color w:val="4F81BD"/>
      <w:sz w:val="26"/>
      <w:szCs w:val="26"/>
    </w:rPr>
  </w:style>
  <w:style w:type="paragraph" w:styleId="Heading3">
    <w:name w:val="heading 3"/>
    <w:basedOn w:val="Normal"/>
    <w:next w:val="Normal"/>
    <w:link w:val="Nadpis3Char"/>
    <w:uiPriority w:val="99"/>
    <w:unhideWhenUsed/>
    <w:qFormat/>
    <w:rsid w:val="005B5D1B"/>
    <w:pPr>
      <w:keepNext/>
      <w:keepLines/>
      <w:spacing w:before="200"/>
      <w:outlineLvl w:val="2"/>
    </w:pPr>
    <w:rPr>
      <w:rFonts w:eastAsia="Times New Roman"/>
      <w:b/>
      <w:bCs/>
      <w:color w:val="4F81BD"/>
      <w:sz w:val="20"/>
      <w:szCs w:val="20"/>
    </w:rPr>
  </w:style>
  <w:style w:type="paragraph" w:styleId="Heading4">
    <w:name w:val="heading 4"/>
    <w:basedOn w:val="Normal"/>
    <w:next w:val="Normal"/>
    <w:link w:val="Nadpis4Char"/>
    <w:uiPriority w:val="99"/>
    <w:unhideWhenUsed/>
    <w:qFormat/>
    <w:rsid w:val="005B5D1B"/>
    <w:pPr>
      <w:keepNext/>
      <w:keepLines/>
      <w:spacing w:before="200"/>
      <w:outlineLvl w:val="3"/>
    </w:pPr>
    <w:rPr>
      <w:rFonts w:eastAsia="Times New Roman"/>
      <w:b/>
      <w:bCs/>
      <w:i/>
      <w:iCs/>
      <w:color w:val="4F81BD"/>
      <w:sz w:val="20"/>
      <w:szCs w:val="20"/>
    </w:rPr>
  </w:style>
  <w:style w:type="paragraph" w:styleId="Heading5">
    <w:name w:val="heading 5"/>
    <w:basedOn w:val="Normal"/>
    <w:next w:val="Normal"/>
    <w:link w:val="Nadpis5Char"/>
    <w:uiPriority w:val="9"/>
    <w:unhideWhenUsed/>
    <w:qFormat/>
    <w:rsid w:val="006F1C2D"/>
    <w:pPr>
      <w:spacing w:before="240" w:after="60"/>
      <w:jc w:val="both"/>
      <w:outlineLvl w:val="4"/>
    </w:pPr>
    <w:rPr>
      <w:rFonts w:ascii="Calibri" w:eastAsia="Times New Roman" w:hAnsi="Calibri"/>
      <w:b/>
      <w:bCs/>
      <w:i/>
      <w:iCs/>
      <w:sz w:val="26"/>
      <w:szCs w:val="26"/>
    </w:rPr>
  </w:style>
  <w:style w:type="paragraph" w:styleId="Heading6">
    <w:name w:val="heading 6"/>
    <w:basedOn w:val="Normal"/>
    <w:next w:val="Normal"/>
    <w:link w:val="Nadpis6Char"/>
    <w:uiPriority w:val="9"/>
    <w:unhideWhenUsed/>
    <w:qFormat/>
    <w:rsid w:val="00D033B9"/>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B5D1B"/>
    <w:pPr>
      <w:ind w:left="227" w:hanging="227"/>
    </w:pPr>
    <w:rPr>
      <w:sz w:val="22"/>
      <w:szCs w:val="22"/>
      <w:lang w:eastAsia="en-US"/>
    </w:rPr>
  </w:style>
  <w:style w:type="character" w:customStyle="1" w:styleId="Nadpis1Char">
    <w:name w:val="Nadpis 1 Char"/>
    <w:link w:val="Heading1"/>
    <w:uiPriority w:val="99"/>
    <w:rsid w:val="005D6E7E"/>
    <w:rPr>
      <w:rFonts w:ascii="Arial" w:eastAsia="Times New Roman" w:hAnsi="Arial" w:cs="Times New Roman"/>
      <w:b/>
      <w:bCs/>
      <w:caps/>
      <w:sz w:val="28"/>
      <w:szCs w:val="28"/>
    </w:rPr>
  </w:style>
  <w:style w:type="character" w:customStyle="1" w:styleId="Nadpis2Char">
    <w:name w:val="Nadpis 2 Char"/>
    <w:link w:val="Heading2"/>
    <w:uiPriority w:val="99"/>
    <w:rsid w:val="005B5D1B"/>
    <w:rPr>
      <w:rFonts w:ascii="Arial" w:eastAsia="Times New Roman" w:hAnsi="Arial" w:cs="Times New Roman"/>
      <w:b/>
      <w:bCs/>
      <w:color w:val="4F81BD"/>
      <w:sz w:val="26"/>
      <w:szCs w:val="26"/>
    </w:rPr>
  </w:style>
  <w:style w:type="character" w:customStyle="1" w:styleId="Nadpis3Char">
    <w:name w:val="Nadpis 3 Char"/>
    <w:link w:val="Heading3"/>
    <w:uiPriority w:val="99"/>
    <w:rsid w:val="005B5D1B"/>
    <w:rPr>
      <w:rFonts w:ascii="Arial" w:eastAsia="Times New Roman" w:hAnsi="Arial" w:cs="Times New Roman"/>
      <w:b/>
      <w:bCs/>
      <w:color w:val="4F81BD"/>
    </w:rPr>
  </w:style>
  <w:style w:type="character" w:customStyle="1" w:styleId="Nadpis4Char">
    <w:name w:val="Nadpis 4 Char"/>
    <w:link w:val="Heading4"/>
    <w:uiPriority w:val="99"/>
    <w:rsid w:val="005B5D1B"/>
    <w:rPr>
      <w:rFonts w:ascii="Arial" w:eastAsia="Times New Roman" w:hAnsi="Arial" w:cs="Times New Roman"/>
      <w:b/>
      <w:bCs/>
      <w:i/>
      <w:iCs/>
      <w:color w:val="4F81BD"/>
    </w:rPr>
  </w:style>
  <w:style w:type="paragraph" w:styleId="Header">
    <w:name w:val="header"/>
    <w:basedOn w:val="Normal"/>
    <w:link w:val="ZhlavChar"/>
    <w:uiPriority w:val="99"/>
    <w:unhideWhenUsed/>
    <w:rsid w:val="005D6E7E"/>
    <w:pPr>
      <w:tabs>
        <w:tab w:val="center" w:pos="4536"/>
        <w:tab w:val="right" w:pos="9072"/>
      </w:tabs>
    </w:pPr>
    <w:rPr>
      <w:szCs w:val="20"/>
    </w:rPr>
  </w:style>
  <w:style w:type="character" w:customStyle="1" w:styleId="ZhlavChar">
    <w:name w:val="Záhlaví Char"/>
    <w:link w:val="Header"/>
    <w:uiPriority w:val="99"/>
    <w:rsid w:val="005D6E7E"/>
    <w:rPr>
      <w:rFonts w:ascii="Arial" w:hAnsi="Arial"/>
      <w:sz w:val="18"/>
    </w:rPr>
  </w:style>
  <w:style w:type="paragraph" w:styleId="Footer">
    <w:name w:val="footer"/>
    <w:basedOn w:val="Normal"/>
    <w:link w:val="ZpatChar"/>
    <w:uiPriority w:val="99"/>
    <w:unhideWhenUsed/>
    <w:rsid w:val="005D6E7E"/>
    <w:pPr>
      <w:tabs>
        <w:tab w:val="center" w:pos="4536"/>
        <w:tab w:val="right" w:pos="9072"/>
      </w:tabs>
    </w:pPr>
    <w:rPr>
      <w:szCs w:val="20"/>
    </w:rPr>
  </w:style>
  <w:style w:type="character" w:customStyle="1" w:styleId="ZpatChar">
    <w:name w:val="Zápatí Char"/>
    <w:link w:val="Footer"/>
    <w:uiPriority w:val="99"/>
    <w:rsid w:val="005D6E7E"/>
    <w:rPr>
      <w:rFonts w:ascii="Arial" w:hAnsi="Arial"/>
      <w:sz w:val="18"/>
    </w:rPr>
  </w:style>
  <w:style w:type="table" w:styleId="TableGrid">
    <w:name w:val="Table Grid"/>
    <w:basedOn w:val="TableNormal"/>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158ED"/>
    <w:pPr>
      <w:ind w:left="720"/>
      <w:contextualSpacing/>
    </w:pPr>
  </w:style>
  <w:style w:type="character" w:styleId="Hyperlink">
    <w:name w:val="Hyperlink"/>
    <w:unhideWhenUsed/>
    <w:rsid w:val="00595E95"/>
    <w:rPr>
      <w:color w:val="0000FF"/>
      <w:u w:val="single"/>
    </w:rPr>
  </w:style>
  <w:style w:type="character" w:styleId="PageNumber">
    <w:name w:val="page number"/>
    <w:rsid w:val="00184ED6"/>
    <w:rPr>
      <w:rFonts w:ascii="Arial" w:hAnsi="Arial"/>
      <w:sz w:val="16"/>
    </w:rPr>
  </w:style>
  <w:style w:type="paragraph" w:customStyle="1" w:styleId="kbFixedtext">
    <w:name w:val="kb_Fixed_text"/>
    <w:basedOn w:val="Normal"/>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al"/>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al"/>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CommentReference">
    <w:name w:val="annotation reference"/>
    <w:semiHidden/>
    <w:unhideWhenUsed/>
    <w:rsid w:val="00D70F74"/>
    <w:rPr>
      <w:sz w:val="16"/>
      <w:szCs w:val="16"/>
    </w:rPr>
  </w:style>
  <w:style w:type="paragraph" w:styleId="CommentText">
    <w:name w:val="annotation text"/>
    <w:basedOn w:val="Normal"/>
    <w:link w:val="TextkomenteChar"/>
    <w:uiPriority w:val="99"/>
    <w:unhideWhenUsed/>
    <w:rsid w:val="00D70F74"/>
    <w:rPr>
      <w:sz w:val="20"/>
      <w:szCs w:val="20"/>
    </w:rPr>
  </w:style>
  <w:style w:type="character" w:customStyle="1" w:styleId="TextkomenteChar">
    <w:name w:val="Text komentáře Char"/>
    <w:link w:val="CommentText"/>
    <w:uiPriority w:val="99"/>
    <w:rsid w:val="00D70F74"/>
    <w:rPr>
      <w:rFonts w:ascii="Arial" w:hAnsi="Arial"/>
      <w:sz w:val="20"/>
      <w:szCs w:val="20"/>
    </w:rPr>
  </w:style>
  <w:style w:type="paragraph" w:styleId="CommentSubject">
    <w:name w:val="annotation subject"/>
    <w:basedOn w:val="CommentText"/>
    <w:next w:val="CommentText"/>
    <w:link w:val="PedmtkomenteChar"/>
    <w:uiPriority w:val="99"/>
    <w:semiHidden/>
    <w:unhideWhenUsed/>
    <w:rsid w:val="00D70F74"/>
    <w:rPr>
      <w:b/>
      <w:bCs/>
    </w:rPr>
  </w:style>
  <w:style w:type="character" w:customStyle="1" w:styleId="PedmtkomenteChar">
    <w:name w:val="Předmět komentáře Char"/>
    <w:link w:val="CommentSubject"/>
    <w:uiPriority w:val="99"/>
    <w:semiHidden/>
    <w:rsid w:val="00D70F74"/>
    <w:rPr>
      <w:rFonts w:ascii="Arial" w:hAnsi="Arial"/>
      <w:b/>
      <w:bCs/>
      <w:sz w:val="20"/>
      <w:szCs w:val="20"/>
    </w:rPr>
  </w:style>
  <w:style w:type="paragraph" w:styleId="BalloonText">
    <w:name w:val="Balloon Text"/>
    <w:basedOn w:val="Normal"/>
    <w:link w:val="TextbublinyChar"/>
    <w:uiPriority w:val="99"/>
    <w:semiHidden/>
    <w:unhideWhenUsed/>
    <w:rsid w:val="00D70F74"/>
    <w:rPr>
      <w:rFonts w:ascii="Tahoma" w:hAnsi="Tahoma"/>
      <w:sz w:val="16"/>
      <w:szCs w:val="16"/>
    </w:rPr>
  </w:style>
  <w:style w:type="character" w:customStyle="1" w:styleId="TextbublinyChar">
    <w:name w:val="Text bubliny Char"/>
    <w:link w:val="BalloonText"/>
    <w:uiPriority w:val="99"/>
    <w:semiHidden/>
    <w:rsid w:val="00D70F74"/>
    <w:rPr>
      <w:rFonts w:ascii="Tahoma" w:hAnsi="Tahoma" w:cs="Tahoma"/>
      <w:sz w:val="16"/>
      <w:szCs w:val="16"/>
    </w:rPr>
  </w:style>
  <w:style w:type="paragraph" w:styleId="Revision">
    <w:name w:val="Revision"/>
    <w:hidden/>
    <w:uiPriority w:val="99"/>
    <w:semiHidden/>
    <w:rsid w:val="0015724E"/>
    <w:rPr>
      <w:sz w:val="18"/>
      <w:szCs w:val="22"/>
      <w:lang w:eastAsia="en-US"/>
    </w:rPr>
  </w:style>
  <w:style w:type="paragraph" w:styleId="FootnoteText">
    <w:name w:val="footnote text"/>
    <w:basedOn w:val="Normal"/>
    <w:link w:val="TextpoznpodarouChar"/>
    <w:uiPriority w:val="99"/>
    <w:unhideWhenUsed/>
    <w:rsid w:val="000D39A4"/>
    <w:rPr>
      <w:sz w:val="20"/>
      <w:szCs w:val="20"/>
    </w:rPr>
  </w:style>
  <w:style w:type="character" w:customStyle="1" w:styleId="TextpoznpodarouChar">
    <w:name w:val="Text pozn. pod čarou Char"/>
    <w:link w:val="FootnoteText"/>
    <w:uiPriority w:val="99"/>
    <w:rsid w:val="000D39A4"/>
    <w:rPr>
      <w:rFonts w:ascii="Arial" w:hAnsi="Arial"/>
      <w:sz w:val="20"/>
      <w:szCs w:val="20"/>
    </w:rPr>
  </w:style>
  <w:style w:type="character" w:styleId="FootnoteReference">
    <w:name w:val="footnote reference"/>
    <w:rsid w:val="000D39A4"/>
    <w:rPr>
      <w:position w:val="6"/>
      <w:sz w:val="16"/>
    </w:rPr>
  </w:style>
  <w:style w:type="table" w:customStyle="1" w:styleId="Mkatabulky1">
    <w:name w:val="Mřížka tabulky1"/>
    <w:basedOn w:val="TableNormal"/>
    <w:next w:val="TableGrid"/>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TableNormal"/>
    <w:next w:val="TableGrid"/>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Heading5"/>
    <w:uiPriority w:val="9"/>
    <w:rsid w:val="006F1C2D"/>
    <w:rPr>
      <w:rFonts w:ascii="Calibri" w:eastAsia="Times New Roman" w:hAnsi="Calibri" w:cs="Times New Roman"/>
      <w:b/>
      <w:bCs/>
      <w:i/>
      <w:iCs/>
      <w:sz w:val="26"/>
      <w:szCs w:val="26"/>
    </w:rPr>
  </w:style>
  <w:style w:type="numbering" w:customStyle="1" w:styleId="Bezseznamu1">
    <w:name w:val="Bez seznamu1"/>
    <w:next w:val="NoList"/>
    <w:uiPriority w:val="99"/>
    <w:semiHidden/>
    <w:unhideWhenUsed/>
    <w:rsid w:val="006F1C2D"/>
  </w:style>
  <w:style w:type="table" w:customStyle="1" w:styleId="Mkatabulky3">
    <w:name w:val="Mřížka tabulky3"/>
    <w:basedOn w:val="TableNormal"/>
    <w:next w:val="TableGrid"/>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ltaViewInsertion">
    <w:name w:val="DeltaView Insertion"/>
    <w:rsid w:val="006F1C2D"/>
    <w:rPr>
      <w:color w:val="0000FF"/>
      <w:spacing w:val="0"/>
      <w:u w:val="double"/>
    </w:r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al"/>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CommentText"/>
    <w:next w:val="CommentText"/>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al"/>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customStyle="1" w:styleId="Zvraznn">
    <w:name w:val="Zvýraznění"/>
    <w:qFormat/>
    <w:rsid w:val="006F1C2D"/>
    <w:rPr>
      <w:b/>
      <w:bCs/>
      <w:i w:val="0"/>
      <w:iCs w:val="0"/>
    </w:rPr>
  </w:style>
  <w:style w:type="character" w:customStyle="1" w:styleId="DeltaViewDeletion">
    <w:name w:val="DeltaView Deletion"/>
    <w:rsid w:val="006F1C2D"/>
    <w:rPr>
      <w:strike/>
      <w:color w:val="FF0000"/>
      <w:spacing w:val="0"/>
    </w:rPr>
  </w:style>
  <w:style w:type="paragraph" w:styleId="BodyText">
    <w:name w:val="Body Text"/>
    <w:basedOn w:val="Normal"/>
    <w:link w:val="ZkladntextChar"/>
    <w:semiHidden/>
    <w:rsid w:val="006F1C2D"/>
    <w:pPr>
      <w:spacing w:before="40" w:after="40"/>
      <w:jc w:val="both"/>
    </w:pPr>
    <w:rPr>
      <w:szCs w:val="18"/>
      <w:lang w:val="en-GB"/>
    </w:rPr>
  </w:style>
  <w:style w:type="character" w:customStyle="1" w:styleId="ZkladntextChar">
    <w:name w:val="Základní text Char"/>
    <w:link w:val="BodyText"/>
    <w:semiHidden/>
    <w:rsid w:val="006F1C2D"/>
    <w:rPr>
      <w:rFonts w:ascii="Arial" w:hAnsi="Arial" w:cs="Times New Roman"/>
      <w:sz w:val="18"/>
      <w:szCs w:val="18"/>
      <w:lang w:val="en-GB"/>
    </w:rPr>
  </w:style>
  <w:style w:type="character" w:customStyle="1" w:styleId="Nadpis6Char">
    <w:name w:val="Nadpis 6 Char"/>
    <w:link w:val="Heading6"/>
    <w:uiPriority w:val="9"/>
    <w:semiHidden/>
    <w:rsid w:val="00D033B9"/>
    <w:rPr>
      <w:rFonts w:ascii="Calibri" w:eastAsia="Times New Roman" w:hAnsi="Calibri" w:cs="Times New Roman"/>
      <w:b/>
      <w:bCs/>
      <w:sz w:val="22"/>
      <w:szCs w:val="22"/>
      <w:lang w:eastAsia="en-US"/>
    </w:rPr>
  </w:style>
  <w:style w:type="paragraph" w:styleId="BodyText2">
    <w:name w:val="Body Text 2"/>
    <w:basedOn w:val="Normal"/>
    <w:link w:val="Zkladntext2Char"/>
    <w:uiPriority w:val="99"/>
    <w:semiHidden/>
    <w:unhideWhenUsed/>
    <w:rsid w:val="00D033B9"/>
    <w:pPr>
      <w:spacing w:after="120" w:line="480" w:lineRule="auto"/>
    </w:pPr>
  </w:style>
  <w:style w:type="character" w:customStyle="1" w:styleId="Zkladntext2Char">
    <w:name w:val="Základní text 2 Char"/>
    <w:link w:val="BodyText2"/>
    <w:uiPriority w:val="99"/>
    <w:semiHidden/>
    <w:rsid w:val="00D033B9"/>
    <w:rPr>
      <w:sz w:val="18"/>
      <w:szCs w:val="22"/>
      <w:lang w:eastAsia="en-US"/>
    </w:rPr>
  </w:style>
  <w:style w:type="paragraph" w:customStyle="1" w:styleId="Bezmezer2">
    <w:name w:val="Bez mezer2"/>
    <w:rsid w:val="00D033B9"/>
    <w:pPr>
      <w:ind w:left="227" w:hanging="227"/>
    </w:pPr>
    <w:rPr>
      <w:rFonts w:cs="Arial"/>
      <w:sz w:val="22"/>
      <w:szCs w:val="22"/>
      <w:lang w:eastAsia="en-US"/>
    </w:rPr>
  </w:style>
  <w:style w:type="paragraph" w:customStyle="1" w:styleId="Odstavecseseznamem2">
    <w:name w:val="Odstavec se seznamem2"/>
    <w:basedOn w:val="Normal"/>
    <w:rsid w:val="00D033B9"/>
    <w:pPr>
      <w:ind w:left="720"/>
    </w:pPr>
    <w:rPr>
      <w:rFonts w:cs="Arial"/>
      <w:szCs w:val="18"/>
    </w:rPr>
  </w:style>
  <w:style w:type="paragraph" w:customStyle="1" w:styleId="Pedmtkomente2">
    <w:name w:val="Předmět komentáře2"/>
    <w:basedOn w:val="CommentText"/>
    <w:next w:val="CommentText"/>
    <w:rsid w:val="00D033B9"/>
    <w:rPr>
      <w:rFonts w:cs="Arial"/>
      <w:b/>
      <w:bCs/>
    </w:rPr>
  </w:style>
  <w:style w:type="paragraph" w:customStyle="1" w:styleId="Textbubliny2">
    <w:name w:val="Text bubliny2"/>
    <w:basedOn w:val="Normal"/>
    <w:rsid w:val="00D033B9"/>
    <w:rPr>
      <w:rFonts w:ascii="Tahoma" w:hAnsi="Tahoma" w:cs="Tahoma"/>
      <w:sz w:val="16"/>
      <w:szCs w:val="16"/>
    </w:rPr>
  </w:style>
  <w:style w:type="paragraph" w:customStyle="1" w:styleId="Revize2">
    <w:name w:val="Revize2"/>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t:\template\VOPKB.dot"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B0FC-9560-4EBF-9BD9-1705F7FE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VOPKB</Template>
  <TotalTime>0</TotalTime>
  <Pages>11</Pages>
  <Words>11387</Words>
  <Characters>63204</Characters>
  <Application>Microsoft Office Word</Application>
  <DocSecurity>0</DocSecurity>
  <Lines>2038</Lines>
  <Paragraphs>1286</Paragraphs>
  <ScaleCrop>false</ScaleCrop>
  <HeadingPairs>
    <vt:vector size="2" baseType="variant">
      <vt:variant>
        <vt:lpstr>Název</vt:lpstr>
      </vt:variant>
      <vt:variant>
        <vt:i4>1</vt:i4>
      </vt:variant>
    </vt:vector>
  </HeadingPairs>
  <TitlesOfParts>
    <vt:vector size="1" baseType="lpstr">
      <vt:lpstr/>
    </vt:vector>
  </TitlesOfParts>
  <Company>Komerční banka, a.s.</Company>
  <LinksUpToDate>false</LinksUpToDate>
  <CharactersWithSpaces>73305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srazimov</dc:creator>
  <cp:lastModifiedBy>Dvorakova Marie Ing.</cp:lastModifiedBy>
  <cp:revision>2</cp:revision>
  <cp:lastPrinted>2014-11-27T11:24:00Z</cp:lastPrinted>
  <dcterms:created xsi:type="dcterms:W3CDTF">2017-08-30T08:35:00Z</dcterms:created>
  <dcterms:modified xsi:type="dcterms:W3CDTF">2017-08-30T08:35:00Z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MeRo/4236/OSP/17</vt:lpwstr>
  </property>
  <property fmtid="{D5CDD505-2E9C-101B-9397-08002B2CF9AE}" pid="4" name="CJ_Spis_Pisemnost">
    <vt:lpwstr>MeRo/8/OSP/17</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12.9.2017</vt:lpwstr>
  </property>
  <property fmtid="{D5CDD505-2E9C-101B-9397-08002B2CF9AE}" pid="8" name="DisplayName_SpisovyUzel_PoziceZodpo_Pisemnost">
    <vt:lpwstr>Správní</vt:lpwstr>
  </property>
  <property fmtid="{D5CDD505-2E9C-101B-9397-08002B2CF9AE}" pid="9" name="DisplayName_UserPoriz_Pisemnost">
    <vt:lpwstr>Jana Tomášková</vt:lpwstr>
  </property>
  <property fmtid="{D5CDD505-2E9C-101B-9397-08002B2CF9AE}" pid="10" name="EC_Pisemnost">
    <vt:lpwstr>44016/17</vt:lpwstr>
  </property>
  <property fmtid="{D5CDD505-2E9C-101B-9397-08002B2CF9AE}" pid="11" name="Key_BarCode_Pisemnost">
    <vt:lpwstr>*B001598315*</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V/5</vt:lpwstr>
  </property>
  <property fmtid="{D5CDD505-2E9C-101B-9397-08002B2CF9AE}" pid="20" name="SmlouvaCislo">
    <vt:lpwstr>ČÍSLO SMLOUVY</vt:lpwstr>
  </property>
  <property fmtid="{D5CDD505-2E9C-101B-9397-08002B2CF9AE}" pid="21" name="SZ_Spis_Pisemnost">
    <vt:lpwstr>94/17</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Smlouva o zřízení a vedení běžného účtu</vt:lpwstr>
  </property>
  <property fmtid="{D5CDD505-2E9C-101B-9397-08002B2CF9AE}" pid="26" name="Zkratka_SpisovyUzel_PoziceZodpo_Pisemnost">
    <vt:lpwstr>OSP</vt:lpwstr>
  </property>
</Properties>
</file>