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B9B1" w14:textId="77777777" w:rsidR="002A517C" w:rsidRDefault="002A517C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</w:p>
    <w:p w14:paraId="1622B9B2" w14:textId="77777777" w:rsidR="00BB0DF9" w:rsidRPr="00684880" w:rsidRDefault="00BB0DF9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Dílčí smlouva na poskytování právních služeb</w:t>
      </w:r>
    </w:p>
    <w:p w14:paraId="1622B9B3" w14:textId="77777777"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</w:rPr>
      </w:pPr>
    </w:p>
    <w:p w14:paraId="1622B9B4" w14:textId="77777777" w:rsidR="00BB0DF9" w:rsidRPr="00684880" w:rsidRDefault="00C30F3C" w:rsidP="00BB0DF9">
      <w:pPr>
        <w:spacing w:after="0" w:line="28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uzavřená na základě R</w:t>
      </w:r>
      <w:r w:rsidRPr="006548F9">
        <w:rPr>
          <w:rFonts w:ascii="Times New Roman" w:hAnsi="Times New Roman"/>
          <w:szCs w:val="20"/>
        </w:rPr>
        <w:t xml:space="preserve">ámcové smlouvy </w:t>
      </w:r>
      <w:r>
        <w:rPr>
          <w:rFonts w:ascii="Times New Roman" w:hAnsi="Times New Roman"/>
          <w:szCs w:val="20"/>
        </w:rPr>
        <w:t xml:space="preserve">na poskytování právních služeb </w:t>
      </w:r>
      <w:r w:rsidRPr="006548F9">
        <w:rPr>
          <w:rFonts w:ascii="Times New Roman" w:hAnsi="Times New Roman"/>
          <w:szCs w:val="20"/>
        </w:rPr>
        <w:t xml:space="preserve">uzavřené dne 21. 5. 2013 </w:t>
      </w:r>
      <w:r w:rsidR="00BB0DF9" w:rsidRPr="0068488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v souladu s </w:t>
      </w:r>
      <w:r>
        <w:rPr>
          <w:rFonts w:ascii="Times New Roman" w:hAnsi="Times New Roman"/>
          <w:szCs w:val="20"/>
        </w:rPr>
        <w:t xml:space="preserve">§ 89 odst. 6 písm. a) </w:t>
      </w:r>
      <w:r w:rsidR="00BB0DF9" w:rsidRPr="00684880">
        <w:rPr>
          <w:rFonts w:ascii="Times New Roman" w:hAnsi="Times New Roman"/>
        </w:rPr>
        <w:t xml:space="preserve">zákona č. 137/2006 Sb., o veřejných zakázkách, </w:t>
      </w:r>
      <w:r w:rsidR="0020300C" w:rsidRPr="00684880">
        <w:rPr>
          <w:rFonts w:ascii="Times New Roman" w:hAnsi="Times New Roman"/>
        </w:rPr>
        <w:t xml:space="preserve">ve znění </w:t>
      </w:r>
      <w:r w:rsidR="0020300C">
        <w:rPr>
          <w:rFonts w:ascii="Times New Roman" w:hAnsi="Times New Roman"/>
        </w:rPr>
        <w:t>účinném přede dnem nabytí účinnosti zákona č. 134/2016 Sb., o zadávání veřejných zakázek</w:t>
      </w:r>
      <w:r w:rsidR="00BB0DF9" w:rsidRPr="00684880">
        <w:rPr>
          <w:rFonts w:ascii="Times New Roman" w:hAnsi="Times New Roman"/>
        </w:rPr>
        <w:t xml:space="preserve"> (dále jen </w:t>
      </w:r>
      <w:r w:rsidR="00BB0DF9" w:rsidRPr="00684880">
        <w:rPr>
          <w:rFonts w:ascii="Times New Roman" w:hAnsi="Times New Roman"/>
          <w:i/>
        </w:rPr>
        <w:t>„</w:t>
      </w:r>
      <w:r w:rsidR="00BB0DF9">
        <w:rPr>
          <w:rFonts w:ascii="Times New Roman" w:hAnsi="Times New Roman"/>
          <w:i/>
        </w:rPr>
        <w:t>Dílčí s</w:t>
      </w:r>
      <w:r w:rsidR="00BB0DF9" w:rsidRPr="00684880">
        <w:rPr>
          <w:rFonts w:ascii="Times New Roman" w:hAnsi="Times New Roman"/>
          <w:i/>
        </w:rPr>
        <w:t>mlouva“</w:t>
      </w:r>
      <w:r w:rsidR="00BB0DF9" w:rsidRPr="00684880">
        <w:rPr>
          <w:rFonts w:ascii="Times New Roman" w:hAnsi="Times New Roman"/>
        </w:rPr>
        <w:t>)</w:t>
      </w:r>
    </w:p>
    <w:p w14:paraId="1622B9B5" w14:textId="77777777"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  <w:highlight w:val="yellow"/>
        </w:rPr>
      </w:pPr>
    </w:p>
    <w:p w14:paraId="1622B9B6" w14:textId="77777777"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</w:rPr>
      </w:pPr>
      <w:proofErr w:type="gramStart"/>
      <w:r w:rsidRPr="00684880">
        <w:rPr>
          <w:rFonts w:ascii="Times New Roman" w:hAnsi="Times New Roman"/>
        </w:rPr>
        <w:t>mezi:</w:t>
      </w:r>
      <w:proofErr w:type="gramEnd"/>
    </w:p>
    <w:p w14:paraId="1622B9B7" w14:textId="77777777" w:rsidR="00BB0DF9" w:rsidRPr="00684880" w:rsidRDefault="00BB0DF9" w:rsidP="00BB0DF9">
      <w:pPr>
        <w:spacing w:after="120" w:line="280" w:lineRule="atLeast"/>
        <w:rPr>
          <w:rFonts w:ascii="Times New Roman" w:hAnsi="Times New Roman"/>
        </w:rPr>
      </w:pPr>
    </w:p>
    <w:p w14:paraId="1622B9B8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  <w:b/>
        </w:rPr>
        <w:t>Česká republika - Ministerstvo práce a sociálních věcí</w:t>
      </w:r>
    </w:p>
    <w:p w14:paraId="1622B9B9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</w:rPr>
        <w:t>Na Poříčním právu 376/1, 128 01 Praha 2</w:t>
      </w:r>
    </w:p>
    <w:p w14:paraId="1622B9BA" w14:textId="77777777" w:rsidR="00BB0DF9" w:rsidRPr="00641ABE" w:rsidRDefault="0070022C" w:rsidP="00C95FF1">
      <w:pPr>
        <w:keepNext/>
        <w:keepLines/>
        <w:tabs>
          <w:tab w:val="left" w:pos="284"/>
        </w:tabs>
        <w:spacing w:after="0" w:line="28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jednající</w:t>
      </w:r>
      <w:r w:rsidR="00BB0DF9" w:rsidRPr="00641ABE">
        <w:rPr>
          <w:rFonts w:ascii="Times New Roman" w:hAnsi="Times New Roman"/>
        </w:rPr>
        <w:t xml:space="preserve">: </w:t>
      </w:r>
      <w:r w:rsidR="00F97D2C">
        <w:rPr>
          <w:rFonts w:ascii="Times New Roman" w:hAnsi="Times New Roman"/>
        </w:rPr>
        <w:t xml:space="preserve">Mgr. Davidem Novákem, </w:t>
      </w:r>
      <w:r w:rsidR="00120BE0">
        <w:rPr>
          <w:rFonts w:ascii="Times New Roman" w:hAnsi="Times New Roman"/>
        </w:rPr>
        <w:t>ředitelem o</w:t>
      </w:r>
      <w:r w:rsidR="002A517C">
        <w:rPr>
          <w:rFonts w:ascii="Times New Roman" w:hAnsi="Times New Roman"/>
        </w:rPr>
        <w:t>dboru centrálních nákupů</w:t>
      </w:r>
      <w:r w:rsidR="00120BE0">
        <w:rPr>
          <w:rFonts w:ascii="Times New Roman" w:hAnsi="Times New Roman"/>
        </w:rPr>
        <w:t xml:space="preserve"> a veřejných zakázek</w:t>
      </w:r>
    </w:p>
    <w:p w14:paraId="1622B9BB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IČ: 00551023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14:paraId="1622B9BC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 w:rsidRPr="00F06F8C">
        <w:rPr>
          <w:rFonts w:ascii="Times New Roman" w:eastAsia="SimSun" w:hAnsi="Times New Roman"/>
          <w:color w:val="000000"/>
        </w:rPr>
        <w:t>Česká národní banka, pobočka Praha,</w:t>
      </w:r>
      <w:r w:rsidRPr="00F06F8C">
        <w:rPr>
          <w:rFonts w:ascii="Times New Roman" w:hAnsi="Times New Roman"/>
        </w:rPr>
        <w:t xml:space="preserve"> </w:t>
      </w:r>
      <w:r w:rsidRPr="00F06F8C">
        <w:rPr>
          <w:rFonts w:ascii="Times New Roman" w:eastAsia="SimSun" w:hAnsi="Times New Roman"/>
          <w:color w:val="000000"/>
        </w:rPr>
        <w:t>Na Příkopě 28, 115 03 Praha 1</w:t>
      </w:r>
      <w:r w:rsidRPr="00F06F8C">
        <w:rPr>
          <w:rFonts w:ascii="Times New Roman" w:hAnsi="Times New Roman"/>
        </w:rPr>
        <w:tab/>
      </w:r>
    </w:p>
    <w:p w14:paraId="1622B9BD" w14:textId="25D398FE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>:</w:t>
      </w:r>
      <w:r w:rsidRPr="00F06F8C">
        <w:rPr>
          <w:rFonts w:ascii="Times New Roman" w:hAnsi="Times New Roman"/>
        </w:rPr>
        <w:t xml:space="preserve"> </w:t>
      </w:r>
      <w:r w:rsidR="000D6244">
        <w:rPr>
          <w:rFonts w:ascii="Times New Roman" w:eastAsia="SimSun" w:hAnsi="Times New Roman"/>
          <w:color w:val="000000"/>
        </w:rPr>
        <w:t>…………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14:paraId="1622B9BE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</w:p>
    <w:p w14:paraId="1622B9BF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(dále jen „</w:t>
      </w:r>
      <w:r w:rsidRPr="00F06F8C">
        <w:rPr>
          <w:rFonts w:ascii="Times New Roman" w:hAnsi="Times New Roman"/>
          <w:b/>
          <w:i/>
        </w:rPr>
        <w:t>Objednatel”)</w:t>
      </w:r>
    </w:p>
    <w:p w14:paraId="1622B9C0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na straně jedné</w:t>
      </w:r>
    </w:p>
    <w:p w14:paraId="1622B9C1" w14:textId="77777777" w:rsidR="00BB0DF9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14:paraId="1622B9C2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14:paraId="1622B9C3" w14:textId="77777777"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a</w:t>
      </w:r>
    </w:p>
    <w:p w14:paraId="1622B9C4" w14:textId="77777777"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14:paraId="1622B9C5" w14:textId="77777777"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14:paraId="337F1856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Sdružení ROTGO</w:t>
      </w:r>
    </w:p>
    <w:p w14:paraId="2DD56619" w14:textId="77777777" w:rsidR="00234210" w:rsidRDefault="00234210" w:rsidP="00234210">
      <w:pPr>
        <w:widowControl w:val="0"/>
        <w:spacing w:after="0" w:line="280" w:lineRule="atLeast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vedoucí člen sdružení </w:t>
      </w:r>
      <w:r>
        <w:rPr>
          <w:rFonts w:ascii="Times New Roman" w:hAnsi="Times New Roman"/>
          <w:b/>
        </w:rPr>
        <w:t>ROWAN LEGAL, advokátní kancelář s.r.o.</w:t>
      </w:r>
      <w:r>
        <w:rPr>
          <w:rFonts w:ascii="Times New Roman" w:hAnsi="Times New Roman"/>
        </w:rPr>
        <w:t xml:space="preserve">, člen sdružení </w:t>
      </w:r>
      <w:r>
        <w:rPr>
          <w:rFonts w:ascii="Times New Roman" w:hAnsi="Times New Roman"/>
          <w:b/>
        </w:rPr>
        <w:t xml:space="preserve">GORDION s.r.o. </w:t>
      </w:r>
      <w:r>
        <w:rPr>
          <w:rFonts w:ascii="Times New Roman" w:hAnsi="Times New Roman"/>
        </w:rPr>
        <w:t>a člen sdružení</w:t>
      </w:r>
      <w:r>
        <w:rPr>
          <w:rFonts w:ascii="Times New Roman" w:hAnsi="Times New Roman"/>
          <w:b/>
        </w:rPr>
        <w:t xml:space="preserve"> Fiala, Tejkal a partneři, advokátní kancelář, s.r.o.</w:t>
      </w:r>
    </w:p>
    <w:p w14:paraId="6EBA922A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</w:p>
    <w:p w14:paraId="0686413C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účastníci sdružení:</w:t>
      </w:r>
    </w:p>
    <w:p w14:paraId="67814488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</w:p>
    <w:p w14:paraId="652EF5E9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ROWAN LEGAL, advokátní kancelář s. r. o.</w:t>
      </w:r>
    </w:p>
    <w:p w14:paraId="559CEA0C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Pankráci 1683/127, </w:t>
      </w:r>
      <w:proofErr w:type="gramStart"/>
      <w:r>
        <w:rPr>
          <w:rFonts w:ascii="Times New Roman" w:hAnsi="Times New Roman"/>
        </w:rPr>
        <w:t>140 00  Praha</w:t>
      </w:r>
      <w:proofErr w:type="gramEnd"/>
      <w:r>
        <w:rPr>
          <w:rFonts w:ascii="Times New Roman" w:hAnsi="Times New Roman"/>
        </w:rPr>
        <w:t xml:space="preserve"> 4</w:t>
      </w:r>
    </w:p>
    <w:p w14:paraId="7FCBB89B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jednající: JUDr. Vilémem Podešvou, LLM, advokátem a jednatelem</w:t>
      </w:r>
    </w:p>
    <w:p w14:paraId="457601E0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284 68 414</w:t>
      </w:r>
    </w:p>
    <w:p w14:paraId="5B32DA0C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CZ28468414</w:t>
      </w:r>
    </w:p>
    <w:p w14:paraId="48E3D8DF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proofErr w:type="spellStart"/>
      <w:r>
        <w:rPr>
          <w:rFonts w:ascii="Times New Roman" w:hAnsi="Times New Roman"/>
        </w:rPr>
        <w:t>Raiffeisen</w:t>
      </w:r>
      <w:proofErr w:type="spellEnd"/>
      <w:r>
        <w:rPr>
          <w:rFonts w:ascii="Times New Roman" w:hAnsi="Times New Roman"/>
        </w:rPr>
        <w:t xml:space="preserve"> BANK a.s.</w:t>
      </w:r>
    </w:p>
    <w:p w14:paraId="6803CD08" w14:textId="163C15B0" w:rsidR="00234210" w:rsidRDefault="00234210" w:rsidP="00234210">
      <w:pPr>
        <w:widowControl w:val="0"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0D6244">
        <w:rPr>
          <w:rFonts w:ascii="Times New Roman" w:hAnsi="Times New Roman"/>
        </w:rPr>
        <w:t>………….</w:t>
      </w:r>
      <w:bookmarkStart w:id="0" w:name="_GoBack"/>
      <w:bookmarkEnd w:id="0"/>
    </w:p>
    <w:p w14:paraId="74DDACEE" w14:textId="77777777" w:rsidR="00234210" w:rsidRDefault="00234210" w:rsidP="00234210">
      <w:pPr>
        <w:widowControl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77401E6B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71DBE7BA" w14:textId="77777777" w:rsidR="00234210" w:rsidRDefault="00234210" w:rsidP="00234210">
      <w:pPr>
        <w:widowControl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C55CA53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GORDION s.r.o.</w:t>
      </w:r>
    </w:p>
    <w:p w14:paraId="223FA074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Kolmá 6/682, </w:t>
      </w:r>
      <w:proofErr w:type="gramStart"/>
      <w:r>
        <w:rPr>
          <w:rFonts w:ascii="Times New Roman" w:hAnsi="Times New Roman"/>
        </w:rPr>
        <w:t>190 00  Praha</w:t>
      </w:r>
      <w:proofErr w:type="gramEnd"/>
      <w:r>
        <w:rPr>
          <w:rFonts w:ascii="Times New Roman" w:hAnsi="Times New Roman"/>
        </w:rPr>
        <w:t xml:space="preserve"> 9 - Vysočany </w:t>
      </w:r>
    </w:p>
    <w:p w14:paraId="7DFB54DC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jednající: Mgr. Pavlem Robkem, jednatelem společnosti</w:t>
      </w:r>
    </w:p>
    <w:p w14:paraId="2DF36A25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26147921</w:t>
      </w:r>
    </w:p>
    <w:p w14:paraId="6E3BC868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CZ26147921</w:t>
      </w:r>
    </w:p>
    <w:p w14:paraId="06843C1D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</w:p>
    <w:p w14:paraId="1A02E19B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</w:p>
    <w:p w14:paraId="7B95AC34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37FC503C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</w:p>
    <w:p w14:paraId="659EE5B0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Fiala, Tejkal a partneři, advokátní kancelář, s.r.o.</w:t>
      </w:r>
    </w:p>
    <w:p w14:paraId="1BDE6D40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Brno, Mezníkova 273/13, PSČ 616 00</w:t>
      </w:r>
    </w:p>
    <w:p w14:paraId="3F1201B3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jednající Mgr. Janem Tejkalem, advokátem a jednatelem</w:t>
      </w:r>
    </w:p>
    <w:p w14:paraId="30D7F483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28360125</w:t>
      </w:r>
    </w:p>
    <w:p w14:paraId="67CC202D" w14:textId="77777777" w:rsidR="00234210" w:rsidRDefault="00234210" w:rsidP="00234210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CZ28360125</w:t>
      </w:r>
    </w:p>
    <w:p w14:paraId="1622B9CD" w14:textId="1292E3EF"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14:paraId="1622B9CE" w14:textId="77777777"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  <w:b/>
          <w:i/>
        </w:rPr>
        <w:t>(dále jen j „</w:t>
      </w:r>
      <w:r>
        <w:rPr>
          <w:rFonts w:ascii="Times New Roman" w:hAnsi="Times New Roman"/>
          <w:b/>
          <w:i/>
        </w:rPr>
        <w:t>Poradce</w:t>
      </w:r>
      <w:r w:rsidRPr="00F06F8C">
        <w:rPr>
          <w:rFonts w:ascii="Times New Roman" w:hAnsi="Times New Roman"/>
          <w:b/>
          <w:i/>
        </w:rPr>
        <w:t>“)</w:t>
      </w:r>
    </w:p>
    <w:p w14:paraId="1622B9CF" w14:textId="77777777" w:rsidR="00BB0DF9" w:rsidRDefault="00BB0DF9" w:rsidP="001C185F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straně druhé.</w:t>
      </w:r>
    </w:p>
    <w:p w14:paraId="1622B9D0" w14:textId="5D39A366" w:rsidR="001C185F" w:rsidRDefault="001C185F">
      <w:pPr>
        <w:rPr>
          <w:rFonts w:ascii="Times New Roman" w:hAnsi="Times New Roman"/>
        </w:rPr>
      </w:pPr>
    </w:p>
    <w:p w14:paraId="1622B9D1" w14:textId="77777777" w:rsidR="00BB0DF9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14:paraId="1622B9D2" w14:textId="77777777" w:rsidR="00BB0DF9" w:rsidRPr="00684880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14:paraId="1622B9D3" w14:textId="77777777" w:rsidR="00BB0DF9" w:rsidRDefault="00B32B05" w:rsidP="001C185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Objednatel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a Poradce jsou, spolu s dalšími subjekty, smluvními stranami rámcové smlouvy uzavřené dne 21. 5. 2013 ve vztahu k veřejné zakázce „Uzavření rámcové smlouvy na poskytování právních služeb pro Českou republiku – Ministerstvo práce a sociálních věcí – 1. část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 xml:space="preserve">“ (dále jen </w:t>
      </w:r>
      <w:r w:rsidR="00BB0DF9" w:rsidRPr="006548F9">
        <w:rPr>
          <w:rFonts w:ascii="Times New Roman" w:hAnsi="Times New Roman"/>
          <w:b w:val="0"/>
          <w:bCs w:val="0"/>
          <w:i/>
          <w:sz w:val="22"/>
          <w:szCs w:val="20"/>
        </w:rPr>
        <w:t>„Rámcová smlouva"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). Tato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smlouva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je Dílčí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smlouvou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o poskytování služeb předvídanou podle Rámcové smlouvy.</w:t>
      </w:r>
    </w:p>
    <w:p w14:paraId="1622B9D4" w14:textId="77777777" w:rsidR="00D5499F" w:rsidRP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5499F">
        <w:rPr>
          <w:rFonts w:ascii="Times New Roman" w:hAnsi="Times New Roman"/>
          <w:b w:val="0"/>
          <w:bCs w:val="0"/>
          <w:sz w:val="22"/>
          <w:szCs w:val="20"/>
        </w:rPr>
        <w:t>Veškeré pojmy uvedené v této Dílčí smlouvě budou vykládány v souladu s jejich významem uvedeným v Rámcové smlouvě.</w:t>
      </w:r>
    </w:p>
    <w:p w14:paraId="1622B9D5" w14:textId="77777777" w:rsidR="00BB0DF9" w:rsidRDefault="00BB0DF9" w:rsidP="00727D76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smlouva se uzavírá </w:t>
      </w:r>
      <w:r w:rsidR="00CF209D">
        <w:rPr>
          <w:rFonts w:ascii="Times New Roman" w:hAnsi="Times New Roman"/>
          <w:b w:val="0"/>
          <w:bCs w:val="0"/>
          <w:sz w:val="22"/>
          <w:szCs w:val="20"/>
        </w:rPr>
        <w:t xml:space="preserve">v souladu s postupem dle čl. II. Rámcové smlouvy a § 89 odst. 6 písm. a) </w:t>
      </w:r>
      <w:r w:rsidR="00CF209D"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zákona č. 137/2006 Sb., o veřejných zakázkách, ve znění </w:t>
      </w:r>
      <w:r w:rsidR="0020300C" w:rsidRPr="00FC7510">
        <w:rPr>
          <w:rFonts w:ascii="Times New Roman" w:hAnsi="Times New Roman"/>
          <w:b w:val="0"/>
          <w:sz w:val="22"/>
          <w:szCs w:val="22"/>
        </w:rPr>
        <w:t>účinném přede dnem nabytí účinnosti zákona č. 134/2016 Sb., o zadávání veřejných zakázek</w:t>
      </w:r>
      <w:r w:rsidR="0020300C" w:rsidRPr="0020300C" w:rsidDel="0020300C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F209D"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(dále jen </w:t>
      </w:r>
      <w:r w:rsidR="00CF209D" w:rsidRPr="00CF209D">
        <w:rPr>
          <w:rFonts w:ascii="Times New Roman" w:hAnsi="Times New Roman"/>
          <w:b w:val="0"/>
          <w:bCs w:val="0"/>
          <w:i/>
          <w:sz w:val="22"/>
          <w:szCs w:val="20"/>
        </w:rPr>
        <w:t>„ZVZ“</w:t>
      </w:r>
      <w:r w:rsidR="00CF209D" w:rsidRPr="00CF209D">
        <w:rPr>
          <w:rFonts w:ascii="Times New Roman" w:hAnsi="Times New Roman"/>
          <w:b w:val="0"/>
          <w:bCs w:val="0"/>
          <w:sz w:val="22"/>
          <w:szCs w:val="20"/>
        </w:rPr>
        <w:t>)</w:t>
      </w:r>
      <w:r w:rsidR="00CF209D">
        <w:rPr>
          <w:rFonts w:ascii="Times New Roman" w:hAnsi="Times New Roman"/>
          <w:b w:val="0"/>
          <w:bCs w:val="0"/>
          <w:sz w:val="22"/>
          <w:szCs w:val="20"/>
        </w:rPr>
        <w:t xml:space="preserve"> ve spojení s </w:t>
      </w:r>
      <w:r w:rsidR="00CF209D"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§ 92 odst. 3 </w:t>
      </w:r>
      <w:r w:rsidR="00CF209D">
        <w:rPr>
          <w:rFonts w:ascii="Times New Roman" w:hAnsi="Times New Roman"/>
          <w:b w:val="0"/>
          <w:bCs w:val="0"/>
          <w:sz w:val="22"/>
          <w:szCs w:val="20"/>
        </w:rPr>
        <w:t>ZVZ</w:t>
      </w:r>
      <w:r w:rsidR="00925136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na základě </w:t>
      </w:r>
      <w:r w:rsidR="00CF209D" w:rsidRPr="00383F54">
        <w:rPr>
          <w:rFonts w:ascii="Times New Roman" w:hAnsi="Times New Roman"/>
          <w:b w:val="0"/>
          <w:bCs w:val="0"/>
          <w:sz w:val="22"/>
          <w:szCs w:val="20"/>
        </w:rPr>
        <w:t>Výzv</w:t>
      </w:r>
      <w:r w:rsidR="00CF209D" w:rsidRPr="000537BF">
        <w:rPr>
          <w:rFonts w:ascii="Times New Roman" w:hAnsi="Times New Roman"/>
          <w:b w:val="0"/>
          <w:bCs w:val="0"/>
          <w:sz w:val="22"/>
          <w:szCs w:val="20"/>
        </w:rPr>
        <w:t>y</w:t>
      </w:r>
      <w:r w:rsidR="00CF209D"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 k podání nabídky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14:paraId="1622B9D6" w14:textId="77777777" w:rsidR="00641F2B" w:rsidRPr="0020300C" w:rsidRDefault="00641F2B" w:rsidP="00FC7510">
      <w:pPr>
        <w:pStyle w:val="Odstavecseseznamem"/>
        <w:numPr>
          <w:ilvl w:val="1"/>
          <w:numId w:val="3"/>
        </w:numPr>
        <w:spacing w:before="240" w:after="0" w:line="280" w:lineRule="atLeast"/>
        <w:ind w:left="567" w:hanging="567"/>
        <w:jc w:val="both"/>
        <w:rPr>
          <w:rFonts w:ascii="Times New Roman" w:hAnsi="Times New Roman"/>
        </w:rPr>
      </w:pPr>
      <w:r w:rsidRPr="00FC7510">
        <w:rPr>
          <w:rFonts w:ascii="Times New Roman" w:hAnsi="Times New Roman"/>
          <w:lang w:eastAsia="cs-CZ"/>
        </w:rPr>
        <w:t xml:space="preserve">Dle ustanovení § 273 odst. 4 </w:t>
      </w:r>
      <w:r w:rsidRPr="00314830">
        <w:rPr>
          <w:rFonts w:ascii="Times New Roman" w:hAnsi="Times New Roman"/>
        </w:rPr>
        <w:t>zákona č.</w:t>
      </w:r>
      <w:r w:rsidRPr="00727D76">
        <w:rPr>
          <w:rFonts w:ascii="Times New Roman" w:hAnsi="Times New Roman"/>
        </w:rPr>
        <w:t> 134/2016 Sb</w:t>
      </w:r>
      <w:r w:rsidR="002134A9" w:rsidRPr="00727D76">
        <w:rPr>
          <w:rFonts w:ascii="Times New Roman" w:hAnsi="Times New Roman"/>
        </w:rPr>
        <w:t>., o zadávání veřejných zakázek</w:t>
      </w:r>
      <w:r w:rsidRPr="0020300C">
        <w:rPr>
          <w:rFonts w:ascii="Times New Roman" w:hAnsi="Times New Roman"/>
        </w:rPr>
        <w:t xml:space="preserve"> (</w:t>
      </w:r>
      <w:r w:rsidRPr="0020300C">
        <w:rPr>
          <w:rFonts w:ascii="Times New Roman" w:hAnsi="Times New Roman"/>
          <w:i/>
        </w:rPr>
        <w:t>dále jen „ZZVZ“</w:t>
      </w:r>
      <w:r w:rsidRPr="0020300C">
        <w:rPr>
          <w:rFonts w:ascii="Times New Roman" w:hAnsi="Times New Roman"/>
        </w:rPr>
        <w:t xml:space="preserve">) se </w:t>
      </w:r>
      <w:r w:rsidRPr="00FC7510">
        <w:rPr>
          <w:rFonts w:ascii="Times New Roman" w:hAnsi="Times New Roman"/>
          <w:lang w:eastAsia="cs-CZ"/>
        </w:rPr>
        <w:t xml:space="preserve">podle </w:t>
      </w:r>
      <w:r w:rsidR="002134A9" w:rsidRPr="00FC7510">
        <w:rPr>
          <w:rFonts w:ascii="Times New Roman" w:hAnsi="Times New Roman"/>
          <w:lang w:eastAsia="cs-CZ"/>
        </w:rPr>
        <w:t>ZVZ</w:t>
      </w:r>
      <w:r w:rsidRPr="00FC7510">
        <w:rPr>
          <w:rFonts w:ascii="Times New Roman" w:hAnsi="Times New Roman"/>
          <w:lang w:eastAsia="cs-CZ"/>
        </w:rPr>
        <w:t xml:space="preserve">, ve znění účinném přede dnem nabytí účinnosti </w:t>
      </w:r>
      <w:r w:rsidR="002134A9" w:rsidRPr="00FC7510">
        <w:rPr>
          <w:rFonts w:ascii="Times New Roman" w:hAnsi="Times New Roman"/>
          <w:lang w:eastAsia="cs-CZ"/>
        </w:rPr>
        <w:t>ZZVZ</w:t>
      </w:r>
      <w:r w:rsidRPr="00FC7510">
        <w:rPr>
          <w:rFonts w:ascii="Times New Roman" w:hAnsi="Times New Roman"/>
          <w:lang w:eastAsia="cs-CZ"/>
        </w:rPr>
        <w:t xml:space="preserve">, dokončí veřejné zakázky na základě rámcové smlouvy, která byla uzavřena podle </w:t>
      </w:r>
      <w:r w:rsidR="002134A9" w:rsidRPr="00FC7510">
        <w:rPr>
          <w:rFonts w:ascii="Times New Roman" w:hAnsi="Times New Roman"/>
          <w:lang w:eastAsia="cs-CZ"/>
        </w:rPr>
        <w:t>ZVZ</w:t>
      </w:r>
      <w:r w:rsidRPr="00FC7510">
        <w:rPr>
          <w:rFonts w:ascii="Times New Roman" w:hAnsi="Times New Roman"/>
          <w:lang w:eastAsia="cs-CZ"/>
        </w:rPr>
        <w:t>, ve znění účinném přede dnem nabytí účinnosti tohoto zákona, které</w:t>
      </w:r>
      <w:r w:rsidR="002134A9" w:rsidRPr="00FC7510">
        <w:rPr>
          <w:rFonts w:ascii="Times New Roman" w:hAnsi="Times New Roman"/>
          <w:lang w:eastAsia="cs-CZ"/>
        </w:rPr>
        <w:t xml:space="preserve"> </w:t>
      </w:r>
      <w:r w:rsidRPr="00FC7510">
        <w:rPr>
          <w:rFonts w:ascii="Times New Roman" w:hAnsi="Times New Roman"/>
          <w:lang w:eastAsia="cs-CZ"/>
        </w:rPr>
        <w:t xml:space="preserve">byly zahájeny přede dnem nabytí účinnosti </w:t>
      </w:r>
      <w:r w:rsidR="002134A9" w:rsidRPr="00FC7510">
        <w:rPr>
          <w:rFonts w:ascii="Times New Roman" w:hAnsi="Times New Roman"/>
          <w:lang w:eastAsia="cs-CZ"/>
        </w:rPr>
        <w:t>ZZVZ</w:t>
      </w:r>
      <w:r w:rsidRPr="00FC7510">
        <w:rPr>
          <w:rFonts w:ascii="Times New Roman" w:hAnsi="Times New Roman"/>
          <w:lang w:eastAsia="cs-CZ"/>
        </w:rPr>
        <w:t>, nebo</w:t>
      </w:r>
      <w:r w:rsidR="002134A9" w:rsidRPr="00FC7510">
        <w:rPr>
          <w:rFonts w:ascii="Times New Roman" w:hAnsi="Times New Roman"/>
          <w:lang w:eastAsia="cs-CZ"/>
        </w:rPr>
        <w:t xml:space="preserve"> </w:t>
      </w:r>
      <w:r w:rsidRPr="00FC7510">
        <w:rPr>
          <w:rFonts w:ascii="Times New Roman" w:hAnsi="Times New Roman"/>
          <w:lang w:eastAsia="cs-CZ"/>
        </w:rPr>
        <w:t xml:space="preserve">budou zahájeny ode dne nabytí účinnosti </w:t>
      </w:r>
      <w:r w:rsidR="002134A9" w:rsidRPr="00FC7510">
        <w:rPr>
          <w:rFonts w:ascii="Times New Roman" w:hAnsi="Times New Roman"/>
          <w:lang w:eastAsia="cs-CZ"/>
        </w:rPr>
        <w:t>ZZVZ</w:t>
      </w:r>
      <w:r w:rsidRPr="00FC7510">
        <w:rPr>
          <w:rFonts w:ascii="Times New Roman" w:hAnsi="Times New Roman"/>
          <w:lang w:eastAsia="cs-CZ"/>
        </w:rPr>
        <w:t>.</w:t>
      </w:r>
    </w:p>
    <w:p w14:paraId="1622B9D7" w14:textId="77777777" w:rsidR="00727D76" w:rsidRDefault="00727D76" w:rsidP="00FC7510">
      <w:pPr>
        <w:pStyle w:val="Odstavecseseznamem"/>
        <w:spacing w:before="240" w:after="0" w:line="280" w:lineRule="atLeast"/>
        <w:ind w:left="567"/>
        <w:jc w:val="both"/>
        <w:rPr>
          <w:rFonts w:ascii="Times New Roman" w:hAnsi="Times New Roman"/>
        </w:rPr>
      </w:pPr>
    </w:p>
    <w:p w14:paraId="1622B9D8" w14:textId="77777777" w:rsidR="00727D76" w:rsidRPr="00FC7510" w:rsidRDefault="00727D76" w:rsidP="00FC7510">
      <w:pPr>
        <w:pStyle w:val="Odstavecseseznamem"/>
        <w:numPr>
          <w:ilvl w:val="1"/>
          <w:numId w:val="3"/>
        </w:numPr>
        <w:spacing w:before="240" w:after="0" w:line="280" w:lineRule="atLeast"/>
        <w:ind w:left="567" w:hanging="567"/>
        <w:jc w:val="both"/>
        <w:rPr>
          <w:rFonts w:ascii="Times New Roman" w:hAnsi="Times New Roman"/>
          <w:b/>
          <w:bCs/>
        </w:rPr>
      </w:pPr>
      <w:r w:rsidRPr="0020300C">
        <w:rPr>
          <w:rFonts w:ascii="Times New Roman" w:hAnsi="Times New Roman"/>
          <w:bCs/>
        </w:rPr>
        <w:t xml:space="preserve">S ohledem na nabytí </w:t>
      </w:r>
      <w:r>
        <w:rPr>
          <w:rFonts w:ascii="Times New Roman" w:hAnsi="Times New Roman"/>
          <w:bCs/>
        </w:rPr>
        <w:t xml:space="preserve">účinnosti nového </w:t>
      </w:r>
      <w:r w:rsidRPr="0020300C">
        <w:rPr>
          <w:rFonts w:ascii="Times New Roman" w:hAnsi="Times New Roman"/>
          <w:bCs/>
        </w:rPr>
        <w:t>ZZVZ</w:t>
      </w:r>
      <w:r>
        <w:rPr>
          <w:rFonts w:ascii="Times New Roman" w:hAnsi="Times New Roman"/>
          <w:bCs/>
        </w:rPr>
        <w:t xml:space="preserve"> k 1. 10. 2016 byl čl. II této Dílčí smlouvy (výčet požadovaných právních služeb) upraven analogicky k postupům stanoveným pro zadávací řízení realizovaná dle ZZVZ.</w:t>
      </w:r>
    </w:p>
    <w:p w14:paraId="1622B9D9" w14:textId="77777777" w:rsidR="00BB0DF9" w:rsidRPr="00684880" w:rsidRDefault="00BB0DF9" w:rsidP="00061BC8">
      <w:pPr>
        <w:pStyle w:val="Nadpis1"/>
        <w:numPr>
          <w:ilvl w:val="0"/>
          <w:numId w:val="0"/>
        </w:numPr>
        <w:spacing w:before="72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14:paraId="1622B9DA" w14:textId="77777777" w:rsidR="00BB0DF9" w:rsidRPr="00684880" w:rsidRDefault="00BB0DF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684880">
        <w:rPr>
          <w:rFonts w:ascii="Times New Roman" w:hAnsi="Times New Roman"/>
          <w:sz w:val="22"/>
          <w:szCs w:val="22"/>
          <w:lang w:val="sq-AL"/>
        </w:rPr>
        <w:t xml:space="preserve">Předmět </w:t>
      </w:r>
      <w:r w:rsidR="00977154">
        <w:rPr>
          <w:rFonts w:ascii="Times New Roman" w:hAnsi="Times New Roman"/>
          <w:sz w:val="22"/>
          <w:szCs w:val="22"/>
          <w:lang w:val="sq-AL"/>
        </w:rPr>
        <w:t>plnění</w:t>
      </w:r>
    </w:p>
    <w:p w14:paraId="1622B9DB" w14:textId="77777777" w:rsidR="00661FBE" w:rsidRPr="00661FBE" w:rsidRDefault="00661FBE" w:rsidP="00661FBE">
      <w:pPr>
        <w:pStyle w:val="Odstavecseseznamem"/>
        <w:keepNext/>
        <w:numPr>
          <w:ilvl w:val="0"/>
          <w:numId w:val="3"/>
        </w:numPr>
        <w:tabs>
          <w:tab w:val="left" w:pos="0"/>
        </w:tabs>
        <w:spacing w:before="240" w:after="0" w:line="280" w:lineRule="atLeast"/>
        <w:contextualSpacing w:val="0"/>
        <w:jc w:val="both"/>
        <w:outlineLvl w:val="0"/>
        <w:rPr>
          <w:rFonts w:ascii="Times New Roman" w:hAnsi="Times New Roman"/>
          <w:vanish/>
          <w:kern w:val="32"/>
          <w:szCs w:val="20"/>
          <w:lang w:eastAsia="cs-CZ"/>
        </w:rPr>
      </w:pPr>
    </w:p>
    <w:p w14:paraId="1622B9DC" w14:textId="77777777" w:rsidR="00BB0DF9" w:rsidRPr="00FF52D7" w:rsidRDefault="00BB0DF9" w:rsidP="00FF52D7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661FBE">
        <w:rPr>
          <w:rFonts w:ascii="Times New Roman" w:hAnsi="Times New Roman"/>
          <w:b w:val="0"/>
          <w:bCs w:val="0"/>
          <w:sz w:val="22"/>
          <w:szCs w:val="20"/>
        </w:rPr>
        <w:t xml:space="preserve">Předmětem </w:t>
      </w:r>
      <w:r w:rsidR="000B7516">
        <w:rPr>
          <w:rFonts w:ascii="Times New Roman" w:hAnsi="Times New Roman"/>
          <w:b w:val="0"/>
          <w:bCs w:val="0"/>
          <w:sz w:val="22"/>
          <w:szCs w:val="20"/>
        </w:rPr>
        <w:t xml:space="preserve">plnění Dílčí </w:t>
      </w:r>
      <w:r w:rsidRPr="00661FBE">
        <w:rPr>
          <w:rFonts w:ascii="Times New Roman" w:hAnsi="Times New Roman"/>
          <w:b w:val="0"/>
          <w:bCs w:val="0"/>
          <w:sz w:val="22"/>
          <w:szCs w:val="20"/>
        </w:rPr>
        <w:t>smlouvy je poskytování právních a administrativních služeb</w:t>
      </w:r>
      <w:r w:rsidR="00FE534F" w:rsidRPr="00FE534F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FE534F" w:rsidRPr="00661FBE">
        <w:rPr>
          <w:rFonts w:ascii="Times New Roman" w:hAnsi="Times New Roman"/>
          <w:b w:val="0"/>
          <w:bCs w:val="0"/>
          <w:sz w:val="22"/>
          <w:szCs w:val="20"/>
        </w:rPr>
        <w:t xml:space="preserve">a právního poradenství 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v souvislosti se zajištěním jednoho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 xml:space="preserve"> (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1) zadávacího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 xml:space="preserve"> řízení (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jednací</w:t>
      </w:r>
      <w:r w:rsidR="00EC5BCA">
        <w:rPr>
          <w:rFonts w:ascii="Times New Roman" w:hAnsi="Times New Roman"/>
          <w:b w:val="0"/>
          <w:bCs w:val="0"/>
          <w:sz w:val="22"/>
          <w:szCs w:val="20"/>
        </w:rPr>
        <w:t xml:space="preserve"> řízení </w:t>
      </w:r>
      <w:r w:rsidR="001F7807">
        <w:rPr>
          <w:rFonts w:ascii="Times New Roman" w:hAnsi="Times New Roman"/>
          <w:b w:val="0"/>
          <w:bCs w:val="0"/>
          <w:sz w:val="22"/>
          <w:szCs w:val="20"/>
        </w:rPr>
        <w:t>bez 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 xml:space="preserve">uveřejnění </w:t>
      </w:r>
      <w:r w:rsidR="00EC5BCA">
        <w:rPr>
          <w:rFonts w:ascii="Times New Roman" w:hAnsi="Times New Roman"/>
          <w:b w:val="0"/>
          <w:bCs w:val="0"/>
          <w:sz w:val="22"/>
          <w:szCs w:val="20"/>
        </w:rPr>
        <w:t>dle § </w:t>
      </w:r>
      <w:r w:rsidR="004B2FCA">
        <w:rPr>
          <w:rFonts w:ascii="Times New Roman" w:hAnsi="Times New Roman"/>
          <w:b w:val="0"/>
          <w:bCs w:val="0"/>
          <w:sz w:val="22"/>
          <w:szCs w:val="20"/>
        </w:rPr>
        <w:t xml:space="preserve">3 </w:t>
      </w:r>
      <w:r w:rsidR="00EC5BCA">
        <w:rPr>
          <w:rFonts w:ascii="Times New Roman" w:hAnsi="Times New Roman"/>
          <w:b w:val="0"/>
          <w:bCs w:val="0"/>
          <w:sz w:val="22"/>
          <w:szCs w:val="20"/>
        </w:rPr>
        <w:t>odst. 1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 xml:space="preserve"> písm. </w:t>
      </w:r>
      <w:r w:rsidR="004B2FCA">
        <w:rPr>
          <w:rFonts w:ascii="Times New Roman" w:hAnsi="Times New Roman"/>
          <w:b w:val="0"/>
          <w:bCs w:val="0"/>
          <w:sz w:val="22"/>
          <w:szCs w:val="20"/>
        </w:rPr>
        <w:t>e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 xml:space="preserve">) </w:t>
      </w:r>
      <w:r w:rsidR="004B2FCA">
        <w:rPr>
          <w:rFonts w:ascii="Times New Roman" w:hAnsi="Times New Roman"/>
          <w:b w:val="0"/>
          <w:bCs w:val="0"/>
          <w:sz w:val="22"/>
          <w:szCs w:val="20"/>
        </w:rPr>
        <w:t>ZZVZ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) veřejné zakáz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>k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y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vedené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 xml:space="preserve"> pod 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názvem</w:t>
      </w:r>
      <w:r w:rsidR="00FE534F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FF52D7">
        <w:rPr>
          <w:rFonts w:ascii="Times New Roman" w:hAnsi="Times New Roman"/>
          <w:b w:val="0"/>
          <w:bCs w:val="0"/>
          <w:sz w:val="22"/>
          <w:szCs w:val="20"/>
        </w:rPr>
        <w:t>„</w:t>
      </w:r>
      <w:r w:rsidR="00FF52D7" w:rsidRPr="00FC7510">
        <w:rPr>
          <w:rFonts w:ascii="Times New Roman" w:hAnsi="Times New Roman"/>
          <w:bCs w:val="0"/>
          <w:sz w:val="22"/>
          <w:szCs w:val="20"/>
        </w:rPr>
        <w:t xml:space="preserve">Zajištění migračních a přechodových služeb </w:t>
      </w:r>
      <w:proofErr w:type="spellStart"/>
      <w:r w:rsidR="00FF52D7" w:rsidRPr="00FC7510">
        <w:rPr>
          <w:rFonts w:ascii="Times New Roman" w:hAnsi="Times New Roman"/>
          <w:bCs w:val="0"/>
          <w:sz w:val="22"/>
          <w:szCs w:val="20"/>
        </w:rPr>
        <w:t>OKaplikací</w:t>
      </w:r>
      <w:proofErr w:type="spellEnd"/>
      <w:r w:rsidR="00FF52D7" w:rsidRPr="00FC7510">
        <w:rPr>
          <w:rFonts w:ascii="Times New Roman" w:hAnsi="Times New Roman"/>
          <w:bCs w:val="0"/>
          <w:sz w:val="22"/>
          <w:szCs w:val="20"/>
        </w:rPr>
        <w:t xml:space="preserve"> pro MPSV</w:t>
      </w:r>
      <w:r w:rsidR="00FF52D7">
        <w:rPr>
          <w:rFonts w:ascii="Times New Roman" w:hAnsi="Times New Roman"/>
          <w:bCs w:val="0"/>
          <w:sz w:val="22"/>
          <w:szCs w:val="20"/>
        </w:rPr>
        <w:t>“</w:t>
      </w:r>
      <w:r w:rsidR="00FE534F" w:rsidRPr="00FF52D7">
        <w:rPr>
          <w:rFonts w:ascii="Times New Roman" w:hAnsi="Times New Roman"/>
          <w:b w:val="0"/>
          <w:bCs w:val="0"/>
          <w:sz w:val="22"/>
          <w:szCs w:val="20"/>
        </w:rPr>
        <w:t xml:space="preserve"> (dále jen </w:t>
      </w:r>
      <w:r w:rsidR="00FE534F" w:rsidRPr="00FF52D7">
        <w:rPr>
          <w:rFonts w:ascii="Times New Roman" w:hAnsi="Times New Roman"/>
          <w:b w:val="0"/>
          <w:bCs w:val="0"/>
          <w:i/>
          <w:sz w:val="22"/>
          <w:szCs w:val="20"/>
        </w:rPr>
        <w:t>„</w:t>
      </w:r>
      <w:r w:rsidR="00877C81" w:rsidRPr="00FF52D7">
        <w:rPr>
          <w:rFonts w:ascii="Times New Roman" w:hAnsi="Times New Roman"/>
          <w:b w:val="0"/>
          <w:bCs w:val="0"/>
          <w:i/>
          <w:sz w:val="22"/>
          <w:szCs w:val="20"/>
        </w:rPr>
        <w:t>Veřejná zakázka</w:t>
      </w:r>
      <w:r w:rsidR="00FE534F" w:rsidRPr="00FF52D7">
        <w:rPr>
          <w:rFonts w:ascii="Times New Roman" w:hAnsi="Times New Roman"/>
          <w:b w:val="0"/>
          <w:bCs w:val="0"/>
          <w:i/>
          <w:sz w:val="22"/>
          <w:szCs w:val="20"/>
        </w:rPr>
        <w:t>“</w:t>
      </w:r>
      <w:r w:rsidR="00FE534F" w:rsidRPr="00FF52D7">
        <w:rPr>
          <w:rFonts w:ascii="Times New Roman" w:hAnsi="Times New Roman"/>
          <w:b w:val="0"/>
          <w:bCs w:val="0"/>
          <w:sz w:val="22"/>
          <w:szCs w:val="20"/>
        </w:rPr>
        <w:t>)</w:t>
      </w:r>
      <w:r w:rsidRPr="00FF52D7">
        <w:rPr>
          <w:rFonts w:ascii="Times New Roman" w:hAnsi="Times New Roman"/>
          <w:b w:val="0"/>
          <w:bCs w:val="0"/>
          <w:sz w:val="22"/>
          <w:szCs w:val="20"/>
        </w:rPr>
        <w:t>, a</w:t>
      </w:r>
      <w:r w:rsidR="00FF52D7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2134A9">
        <w:rPr>
          <w:rFonts w:ascii="Times New Roman" w:hAnsi="Times New Roman"/>
          <w:b w:val="0"/>
          <w:bCs w:val="0"/>
          <w:sz w:val="22"/>
          <w:szCs w:val="20"/>
        </w:rPr>
        <w:t xml:space="preserve">to zejména v rozsahu </w:t>
      </w:r>
      <w:r w:rsidR="007B6B1A" w:rsidRPr="00314830">
        <w:rPr>
          <w:rFonts w:ascii="Times New Roman" w:hAnsi="Times New Roman"/>
          <w:b w:val="0"/>
          <w:bCs w:val="0"/>
          <w:sz w:val="22"/>
          <w:szCs w:val="20"/>
        </w:rPr>
        <w:t xml:space="preserve">následujících </w:t>
      </w:r>
      <w:r w:rsidRPr="00314830">
        <w:rPr>
          <w:rFonts w:ascii="Times New Roman" w:hAnsi="Times New Roman"/>
          <w:b w:val="0"/>
          <w:bCs w:val="0"/>
          <w:sz w:val="22"/>
          <w:szCs w:val="20"/>
        </w:rPr>
        <w:t>činností</w:t>
      </w:r>
      <w:r w:rsidR="007B6B1A" w:rsidRPr="00FF52D7">
        <w:rPr>
          <w:rFonts w:ascii="Times New Roman" w:hAnsi="Times New Roman"/>
          <w:b w:val="0"/>
          <w:bCs w:val="0"/>
          <w:sz w:val="22"/>
          <w:szCs w:val="20"/>
        </w:rPr>
        <w:t>:</w:t>
      </w:r>
    </w:p>
    <w:p w14:paraId="1622B9DD" w14:textId="77777777" w:rsidR="0053385C" w:rsidRDefault="0053385C" w:rsidP="0053385C">
      <w:pPr>
        <w:pStyle w:val="Nadpis1"/>
        <w:numPr>
          <w:ilvl w:val="2"/>
          <w:numId w:val="3"/>
        </w:numPr>
        <w:tabs>
          <w:tab w:val="left" w:pos="0"/>
        </w:tabs>
        <w:spacing w:after="0" w:line="280" w:lineRule="atLeast"/>
        <w:ind w:hanging="657"/>
        <w:rPr>
          <w:rFonts w:ascii="Times New Roman" w:hAnsi="Times New Roman"/>
          <w:b w:val="0"/>
          <w:bCs w:val="0"/>
          <w:sz w:val="22"/>
          <w:szCs w:val="20"/>
        </w:rPr>
      </w:pPr>
      <w:r w:rsidRPr="00FA4E01">
        <w:rPr>
          <w:rFonts w:ascii="Times New Roman" w:hAnsi="Times New Roman"/>
          <w:b w:val="0"/>
          <w:bCs w:val="0"/>
          <w:sz w:val="22"/>
          <w:szCs w:val="20"/>
        </w:rPr>
        <w:t xml:space="preserve">právní služby spojené s komplexním administrativním a právním zajištěním zadávacího </w:t>
      </w:r>
      <w:r w:rsidRPr="008755FA">
        <w:rPr>
          <w:rFonts w:ascii="Times New Roman" w:hAnsi="Times New Roman"/>
          <w:b w:val="0"/>
          <w:bCs w:val="0"/>
          <w:sz w:val="22"/>
          <w:szCs w:val="20"/>
        </w:rPr>
        <w:t>řízení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(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>jednacího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řízení</w:t>
      </w:r>
      <w:r w:rsidR="00877C81">
        <w:rPr>
          <w:rFonts w:ascii="Times New Roman" w:hAnsi="Times New Roman"/>
          <w:b w:val="0"/>
          <w:bCs w:val="0"/>
          <w:sz w:val="22"/>
          <w:szCs w:val="20"/>
        </w:rPr>
        <w:t xml:space="preserve"> bez uveřejnění</w:t>
      </w:r>
      <w:r>
        <w:rPr>
          <w:rFonts w:ascii="Times New Roman" w:hAnsi="Times New Roman"/>
          <w:b w:val="0"/>
          <w:bCs w:val="0"/>
          <w:sz w:val="22"/>
          <w:szCs w:val="20"/>
        </w:rPr>
        <w:t>) zahrnující:</w:t>
      </w:r>
    </w:p>
    <w:p w14:paraId="1622B9DE" w14:textId="77777777" w:rsidR="00877C81" w:rsidRPr="00245E19" w:rsidRDefault="00877C81" w:rsidP="00877C81">
      <w:pPr>
        <w:numPr>
          <w:ilvl w:val="0"/>
          <w:numId w:val="10"/>
        </w:numPr>
        <w:tabs>
          <w:tab w:val="left" w:pos="1701"/>
        </w:tabs>
        <w:spacing w:before="120" w:after="0" w:line="280" w:lineRule="atLeast"/>
        <w:ind w:left="1701" w:hanging="425"/>
        <w:rPr>
          <w:rFonts w:ascii="Times New Roman" w:eastAsia="Cambria" w:hAnsi="Times New Roman"/>
          <w:b/>
          <w:bCs/>
          <w:i/>
        </w:rPr>
      </w:pPr>
      <w:r w:rsidRPr="00245E19">
        <w:rPr>
          <w:rFonts w:ascii="Times New Roman" w:eastAsia="Cambria" w:hAnsi="Times New Roman"/>
          <w:b/>
          <w:bCs/>
          <w:i/>
        </w:rPr>
        <w:t>Činnosti spojené s přípravou zadávacího řízení a jeho zveřejnění:</w:t>
      </w:r>
    </w:p>
    <w:p w14:paraId="1622B9DF" w14:textId="77777777" w:rsidR="00877C81" w:rsidRPr="00AE120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AE1207">
        <w:rPr>
          <w:rFonts w:ascii="Times New Roman" w:hAnsi="Times New Roman"/>
        </w:rPr>
        <w:t>převzetí a posouzení podkladů k zadání veřejné zakázky od zadavatele,</w:t>
      </w:r>
    </w:p>
    <w:p w14:paraId="1622B9E0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AE1207">
        <w:rPr>
          <w:rFonts w:ascii="Times New Roman" w:hAnsi="Times New Roman"/>
        </w:rPr>
        <w:t xml:space="preserve">zpracování zdůvodnění použití jednacího řízení bez uveřejnění na základě podkladů </w:t>
      </w:r>
      <w:r>
        <w:rPr>
          <w:rFonts w:ascii="Times New Roman" w:hAnsi="Times New Roman"/>
        </w:rPr>
        <w:t>od </w:t>
      </w:r>
      <w:r w:rsidRPr="00AE1207">
        <w:rPr>
          <w:rFonts w:ascii="Times New Roman" w:hAnsi="Times New Roman"/>
        </w:rPr>
        <w:t>zadavatele</w:t>
      </w:r>
      <w:r>
        <w:rPr>
          <w:rFonts w:ascii="Times New Roman" w:hAnsi="Times New Roman"/>
        </w:rPr>
        <w:t xml:space="preserve"> včetně </w:t>
      </w:r>
      <w:r w:rsidRPr="00CE6BE2">
        <w:rPr>
          <w:rFonts w:ascii="Times New Roman" w:hAnsi="Times New Roman"/>
        </w:rPr>
        <w:t>potřebné účasti při jednáních a schvalovacích procesech u zadavatele</w:t>
      </w:r>
      <w:r w:rsidRPr="00AE1207">
        <w:rPr>
          <w:rFonts w:ascii="Times New Roman" w:hAnsi="Times New Roman"/>
        </w:rPr>
        <w:t>,</w:t>
      </w:r>
    </w:p>
    <w:p w14:paraId="1622B9E1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zpracování odůvodnění</w:t>
      </w:r>
      <w:r w:rsidRPr="00CE6BE2">
        <w:rPr>
          <w:rFonts w:ascii="Times New Roman" w:hAnsi="Times New Roman"/>
        </w:rPr>
        <w:t xml:space="preserve"> veřejné zakázky </w:t>
      </w:r>
      <w:r>
        <w:rPr>
          <w:rFonts w:ascii="Times New Roman" w:hAnsi="Times New Roman"/>
        </w:rPr>
        <w:t xml:space="preserve">ve smyslu § </w:t>
      </w:r>
      <w:r w:rsidR="00FF52D7">
        <w:rPr>
          <w:rFonts w:ascii="Times New Roman" w:hAnsi="Times New Roman"/>
        </w:rPr>
        <w:t>212 odst.</w:t>
      </w:r>
      <w:r w:rsidR="00641F2B">
        <w:rPr>
          <w:rFonts w:ascii="Times New Roman" w:hAnsi="Times New Roman"/>
        </w:rPr>
        <w:t xml:space="preserve"> 2</w:t>
      </w:r>
      <w:r w:rsidR="00FF52D7">
        <w:rPr>
          <w:rFonts w:ascii="Times New Roman" w:hAnsi="Times New Roman"/>
        </w:rPr>
        <w:t xml:space="preserve"> </w:t>
      </w:r>
      <w:r w:rsidR="008C51C5" w:rsidRPr="002134A9">
        <w:rPr>
          <w:rFonts w:ascii="Times New Roman" w:hAnsi="Times New Roman"/>
        </w:rPr>
        <w:t>ZZVZ</w:t>
      </w:r>
      <w:r>
        <w:rPr>
          <w:rFonts w:ascii="Times New Roman" w:hAnsi="Times New Roman"/>
        </w:rPr>
        <w:t xml:space="preserve"> včetně právní podpory a </w:t>
      </w:r>
      <w:r w:rsidRPr="00CE6BE2">
        <w:rPr>
          <w:rFonts w:ascii="Times New Roman" w:hAnsi="Times New Roman"/>
        </w:rPr>
        <w:t>potřebné účasti při jednán</w:t>
      </w:r>
      <w:r w:rsidR="001F7807">
        <w:rPr>
          <w:rFonts w:ascii="Times New Roman" w:hAnsi="Times New Roman"/>
        </w:rPr>
        <w:t>ích a schvalovacích procesech u </w:t>
      </w:r>
      <w:r w:rsidRPr="00CE6BE2">
        <w:rPr>
          <w:rFonts w:ascii="Times New Roman" w:hAnsi="Times New Roman"/>
        </w:rPr>
        <w:t>zadavatele,</w:t>
      </w:r>
    </w:p>
    <w:p w14:paraId="1622B9E2" w14:textId="77777777" w:rsidR="00877C81" w:rsidRPr="00CE6BE2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245E19">
        <w:rPr>
          <w:rFonts w:ascii="Times New Roman" w:hAnsi="Times New Roman"/>
        </w:rPr>
        <w:t xml:space="preserve">zpracování </w:t>
      </w:r>
      <w:r>
        <w:rPr>
          <w:rFonts w:ascii="Times New Roman" w:hAnsi="Times New Roman"/>
        </w:rPr>
        <w:t xml:space="preserve">písemné </w:t>
      </w:r>
      <w:r w:rsidRPr="00245E19">
        <w:rPr>
          <w:rFonts w:ascii="Times New Roman" w:hAnsi="Times New Roman"/>
        </w:rPr>
        <w:t>výzvy k</w:t>
      </w:r>
      <w:r>
        <w:rPr>
          <w:rFonts w:ascii="Times New Roman" w:hAnsi="Times New Roman"/>
        </w:rPr>
        <w:t> jednání v jednacím řízení bez uveřejnění</w:t>
      </w:r>
      <w:r w:rsidRPr="00245E19">
        <w:rPr>
          <w:rFonts w:ascii="Times New Roman" w:hAnsi="Times New Roman"/>
        </w:rPr>
        <w:t xml:space="preserve"> (dále jen </w:t>
      </w:r>
      <w:r w:rsidRPr="00EE70D1">
        <w:rPr>
          <w:rFonts w:ascii="Times New Roman" w:hAnsi="Times New Roman"/>
          <w:i/>
        </w:rPr>
        <w:t>„výzva“</w:t>
      </w:r>
      <w:r w:rsidRPr="00245E19">
        <w:rPr>
          <w:rFonts w:ascii="Times New Roman" w:hAnsi="Times New Roman"/>
        </w:rPr>
        <w:t>)</w:t>
      </w:r>
    </w:p>
    <w:p w14:paraId="1622B9E3" w14:textId="77777777" w:rsidR="00877C81" w:rsidRPr="00CE6BE2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CE6BE2">
        <w:rPr>
          <w:rFonts w:ascii="Times New Roman" w:hAnsi="Times New Roman"/>
        </w:rPr>
        <w:t xml:space="preserve">zpracování návrhu zadávacích podmínek </w:t>
      </w:r>
      <w:r w:rsidRPr="00F26F8C">
        <w:rPr>
          <w:rFonts w:ascii="Times New Roman" w:hAnsi="Times New Roman"/>
        </w:rPr>
        <w:t>vč. návrhu smlouvy</w:t>
      </w:r>
      <w:r>
        <w:rPr>
          <w:rFonts w:ascii="Times New Roman" w:hAnsi="Times New Roman"/>
        </w:rPr>
        <w:t xml:space="preserve"> na základě podkladů od zadavatele</w:t>
      </w:r>
      <w:r w:rsidRPr="00F26F8C">
        <w:rPr>
          <w:rFonts w:ascii="Times New Roman" w:hAnsi="Times New Roman"/>
        </w:rPr>
        <w:t>, jejich</w:t>
      </w:r>
      <w:r>
        <w:rPr>
          <w:rFonts w:ascii="Times New Roman" w:hAnsi="Times New Roman"/>
        </w:rPr>
        <w:t xml:space="preserve"> konzultace se </w:t>
      </w:r>
      <w:r w:rsidRPr="00CE6BE2">
        <w:rPr>
          <w:rFonts w:ascii="Times New Roman" w:hAnsi="Times New Roman"/>
        </w:rPr>
        <w:t>zadavatelem,</w:t>
      </w:r>
    </w:p>
    <w:p w14:paraId="1622B9E4" w14:textId="77777777" w:rsidR="00877C81" w:rsidRPr="006B430F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B430F">
        <w:rPr>
          <w:rFonts w:ascii="Times New Roman" w:hAnsi="Times New Roman"/>
        </w:rPr>
        <w:t xml:space="preserve">zpracování návrhu </w:t>
      </w:r>
      <w:r>
        <w:rPr>
          <w:rFonts w:ascii="Times New Roman" w:hAnsi="Times New Roman"/>
        </w:rPr>
        <w:t xml:space="preserve">případných </w:t>
      </w:r>
      <w:r w:rsidRPr="006B430F">
        <w:rPr>
          <w:rFonts w:ascii="Times New Roman" w:hAnsi="Times New Roman"/>
        </w:rPr>
        <w:t>požadavků na prokázání kvalifikace a jejich konzultace se zadavatelem,</w:t>
      </w:r>
    </w:p>
    <w:p w14:paraId="1622B9E5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CE6BE2">
        <w:rPr>
          <w:rFonts w:ascii="Times New Roman" w:hAnsi="Times New Roman"/>
        </w:rPr>
        <w:t>sestavení pokynů pro zpracování nabídky dle ch</w:t>
      </w:r>
      <w:r>
        <w:rPr>
          <w:rFonts w:ascii="Times New Roman" w:hAnsi="Times New Roman"/>
        </w:rPr>
        <w:t>arakteru plnění veřejné zakázky.</w:t>
      </w:r>
    </w:p>
    <w:p w14:paraId="1622B9E6" w14:textId="77777777" w:rsidR="00877C81" w:rsidRPr="00C40BA6" w:rsidRDefault="00877C81" w:rsidP="00877C81">
      <w:pPr>
        <w:numPr>
          <w:ilvl w:val="0"/>
          <w:numId w:val="10"/>
        </w:numPr>
        <w:tabs>
          <w:tab w:val="left" w:pos="1701"/>
        </w:tabs>
        <w:spacing w:before="120" w:after="0" w:line="280" w:lineRule="atLeast"/>
        <w:ind w:left="1701" w:hanging="425"/>
        <w:jc w:val="both"/>
        <w:rPr>
          <w:rFonts w:ascii="Times New Roman" w:eastAsia="Cambria" w:hAnsi="Times New Roman"/>
          <w:b/>
          <w:bCs/>
          <w:i/>
        </w:rPr>
      </w:pPr>
      <w:r w:rsidRPr="00C40BA6">
        <w:rPr>
          <w:rFonts w:ascii="Times New Roman" w:eastAsia="Cambria" w:hAnsi="Times New Roman"/>
          <w:b/>
          <w:bCs/>
          <w:i/>
        </w:rPr>
        <w:t xml:space="preserve">Činnosti spojené s </w:t>
      </w:r>
      <w:r>
        <w:rPr>
          <w:rFonts w:ascii="Times New Roman" w:eastAsia="Cambria" w:hAnsi="Times New Roman"/>
          <w:b/>
          <w:bCs/>
          <w:i/>
        </w:rPr>
        <w:t>vedením jednání s vyzvaným zájemcem</w:t>
      </w:r>
    </w:p>
    <w:p w14:paraId="1622B9E7" w14:textId="77777777" w:rsidR="004E1463" w:rsidRPr="002134A9" w:rsidRDefault="00877C81" w:rsidP="002134A9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374D55">
        <w:rPr>
          <w:rFonts w:ascii="Times New Roman" w:hAnsi="Times New Roman"/>
        </w:rPr>
        <w:t>vypracování návrhu rozhodnutí zadavatele o jmenování zástupců a</w:t>
      </w:r>
      <w:r w:rsidR="004E1463">
        <w:rPr>
          <w:rFonts w:ascii="Times New Roman" w:hAnsi="Times New Roman"/>
        </w:rPr>
        <w:t> </w:t>
      </w:r>
      <w:r w:rsidRPr="00374D55">
        <w:rPr>
          <w:rFonts w:ascii="Times New Roman" w:hAnsi="Times New Roman"/>
        </w:rPr>
        <w:t>náhradníků zástupců zadavatele (hodnotící komise</w:t>
      </w:r>
      <w:r w:rsidR="00793C38">
        <w:rPr>
          <w:rFonts w:ascii="Times New Roman" w:hAnsi="Times New Roman"/>
        </w:rPr>
        <w:t>) pověřených rovněž k jednání s </w:t>
      </w:r>
      <w:r w:rsidRPr="00374D55">
        <w:rPr>
          <w:rFonts w:ascii="Times New Roman" w:hAnsi="Times New Roman"/>
        </w:rPr>
        <w:t xml:space="preserve">vyzvaným zájemcem, otevření a kontrole nabídky, </w:t>
      </w:r>
      <w:r w:rsidR="004E1463">
        <w:rPr>
          <w:rFonts w:ascii="Times New Roman" w:hAnsi="Times New Roman"/>
        </w:rPr>
        <w:t xml:space="preserve">posouzení </w:t>
      </w:r>
      <w:r w:rsidR="004E1463" w:rsidRPr="002134A9">
        <w:rPr>
          <w:rFonts w:ascii="Times New Roman" w:hAnsi="Times New Roman"/>
        </w:rPr>
        <w:t>splnění podmínek účasti dodavatele</w:t>
      </w:r>
      <w:r w:rsidR="004E1463">
        <w:rPr>
          <w:rFonts w:ascii="Times New Roman" w:hAnsi="Times New Roman"/>
        </w:rPr>
        <w:t>,</w:t>
      </w:r>
    </w:p>
    <w:p w14:paraId="1622B9E8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374D55">
        <w:rPr>
          <w:rFonts w:ascii="Times New Roman" w:hAnsi="Times New Roman"/>
        </w:rPr>
        <w:t>vypracování návrhu čestného prohlášení</w:t>
      </w:r>
      <w:r w:rsidR="004E1463" w:rsidRPr="00374D55">
        <w:rPr>
          <w:rFonts w:ascii="Times New Roman" w:hAnsi="Times New Roman"/>
        </w:rPr>
        <w:t xml:space="preserve"> </w:t>
      </w:r>
      <w:r w:rsidRPr="00374D55">
        <w:rPr>
          <w:rFonts w:ascii="Times New Roman" w:hAnsi="Times New Roman"/>
        </w:rPr>
        <w:t>pověřených zástupců</w:t>
      </w:r>
      <w:r w:rsidR="004E1463">
        <w:rPr>
          <w:rFonts w:ascii="Times New Roman" w:hAnsi="Times New Roman"/>
        </w:rPr>
        <w:t xml:space="preserve"> o tom, že nejsou ve střetu zájmů,</w:t>
      </w:r>
    </w:p>
    <w:p w14:paraId="1622B9E9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3811E6">
        <w:rPr>
          <w:rFonts w:ascii="Times New Roman" w:hAnsi="Times New Roman"/>
        </w:rPr>
        <w:t xml:space="preserve">řízení </w:t>
      </w:r>
      <w:r>
        <w:rPr>
          <w:rFonts w:ascii="Times New Roman" w:hAnsi="Times New Roman"/>
        </w:rPr>
        <w:t xml:space="preserve">jednotlivých vedených </w:t>
      </w:r>
      <w:r w:rsidRPr="003811E6">
        <w:rPr>
          <w:rFonts w:ascii="Times New Roman" w:hAnsi="Times New Roman"/>
        </w:rPr>
        <w:t xml:space="preserve">jednání </w:t>
      </w:r>
      <w:r>
        <w:rPr>
          <w:rFonts w:ascii="Times New Roman" w:hAnsi="Times New Roman"/>
        </w:rPr>
        <w:t>s vyzvaným zájemcem</w:t>
      </w:r>
      <w:r w:rsidRPr="003811E6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průběhu jednacího řízení bez uveřejnění,</w:t>
      </w:r>
    </w:p>
    <w:p w14:paraId="1622B9EA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zpracování protokolů</w:t>
      </w:r>
      <w:r w:rsidRPr="00C40BA6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každém jednání se zájemcem, z nichž bude patrný předmět a výsledek jednání,</w:t>
      </w:r>
    </w:p>
    <w:p w14:paraId="1622B9EB" w14:textId="77777777" w:rsidR="00877C81" w:rsidRPr="003811E6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zadávacích podmínek podle výsledk</w:t>
      </w:r>
      <w:r w:rsidR="00793C38">
        <w:rPr>
          <w:rFonts w:ascii="Times New Roman" w:hAnsi="Times New Roman"/>
        </w:rPr>
        <w:t>ů jednání v jednacím řízení bez </w:t>
      </w:r>
      <w:r>
        <w:rPr>
          <w:rFonts w:ascii="Times New Roman" w:hAnsi="Times New Roman"/>
        </w:rPr>
        <w:t>uveřejnění a její konzultace se zadavatelem.</w:t>
      </w:r>
    </w:p>
    <w:p w14:paraId="1622B9EC" w14:textId="77777777" w:rsidR="00877C81" w:rsidRPr="00245E19" w:rsidRDefault="00877C81" w:rsidP="00877C81">
      <w:pPr>
        <w:numPr>
          <w:ilvl w:val="0"/>
          <w:numId w:val="10"/>
        </w:numPr>
        <w:tabs>
          <w:tab w:val="left" w:pos="1701"/>
        </w:tabs>
        <w:spacing w:before="120" w:after="0" w:line="280" w:lineRule="atLeast"/>
        <w:ind w:left="1701" w:hanging="425"/>
        <w:jc w:val="both"/>
        <w:rPr>
          <w:rFonts w:ascii="Times New Roman" w:eastAsia="Cambria" w:hAnsi="Times New Roman"/>
          <w:b/>
          <w:bCs/>
          <w:i/>
        </w:rPr>
      </w:pPr>
      <w:r w:rsidRPr="006F13D7">
        <w:rPr>
          <w:rFonts w:ascii="Times New Roman" w:eastAsia="Cambria" w:hAnsi="Times New Roman"/>
          <w:b/>
          <w:bCs/>
          <w:i/>
        </w:rPr>
        <w:t>Činnosti spojené s průběhem zadávací lhůty</w:t>
      </w:r>
      <w:r>
        <w:rPr>
          <w:rFonts w:ascii="Times New Roman" w:eastAsia="Cambria" w:hAnsi="Times New Roman"/>
          <w:b/>
          <w:bCs/>
          <w:i/>
        </w:rPr>
        <w:t>:</w:t>
      </w:r>
    </w:p>
    <w:p w14:paraId="1622B9ED" w14:textId="77777777" w:rsidR="00877C81" w:rsidRPr="00D762DD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877C81">
        <w:rPr>
          <w:rFonts w:ascii="Times New Roman" w:hAnsi="Times New Roman"/>
        </w:rPr>
        <w:t xml:space="preserve">zajištění účasti Poradce na všech jednáních pověřených zástupců, zpracování protokolů o jednání pověřených zástupců, </w:t>
      </w:r>
      <w:r w:rsidRPr="00D762DD">
        <w:rPr>
          <w:rFonts w:ascii="Times New Roman" w:hAnsi="Times New Roman"/>
        </w:rPr>
        <w:t>řízení jednání</w:t>
      </w:r>
      <w:r w:rsidRPr="00877C81">
        <w:rPr>
          <w:rFonts w:ascii="Times New Roman" w:hAnsi="Times New Roman"/>
        </w:rPr>
        <w:t xml:space="preserve"> pověřených zástupců</w:t>
      </w:r>
      <w:r w:rsidRPr="00D762DD">
        <w:rPr>
          <w:rFonts w:ascii="Times New Roman" w:hAnsi="Times New Roman"/>
        </w:rPr>
        <w:t>;</w:t>
      </w:r>
    </w:p>
    <w:p w14:paraId="1622B9EE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zajištěn</w:t>
      </w:r>
      <w:r>
        <w:rPr>
          <w:rFonts w:ascii="Times New Roman" w:hAnsi="Times New Roman"/>
        </w:rPr>
        <w:t>í procesu otevírání obál</w:t>
      </w:r>
      <w:r w:rsidRPr="006F13D7">
        <w:rPr>
          <w:rFonts w:ascii="Times New Roman" w:hAnsi="Times New Roman"/>
        </w:rPr>
        <w:t>k</w:t>
      </w:r>
      <w:r>
        <w:rPr>
          <w:rFonts w:ascii="Times New Roman" w:hAnsi="Times New Roman"/>
        </w:rPr>
        <w:t>y</w:t>
      </w:r>
      <w:r w:rsidRPr="006F13D7">
        <w:rPr>
          <w:rFonts w:ascii="Times New Roman" w:hAnsi="Times New Roman"/>
        </w:rPr>
        <w:t xml:space="preserve"> s nabídk</w:t>
      </w:r>
      <w:r>
        <w:rPr>
          <w:rFonts w:ascii="Times New Roman" w:hAnsi="Times New Roman"/>
        </w:rPr>
        <w:t>ou</w:t>
      </w:r>
      <w:r w:rsidRPr="006F13D7">
        <w:rPr>
          <w:rFonts w:ascii="Times New Roman" w:hAnsi="Times New Roman"/>
        </w:rPr>
        <w:t>,</w:t>
      </w:r>
    </w:p>
    <w:p w14:paraId="1622B9EF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zpracování protokolu o je</w:t>
      </w:r>
      <w:r>
        <w:rPr>
          <w:rFonts w:ascii="Times New Roman" w:hAnsi="Times New Roman"/>
        </w:rPr>
        <w:t xml:space="preserve">dnání </w:t>
      </w:r>
      <w:r w:rsidRPr="00877C81">
        <w:rPr>
          <w:rFonts w:ascii="Times New Roman" w:hAnsi="Times New Roman"/>
        </w:rPr>
        <w:t>pověřených zástupců</w:t>
      </w:r>
      <w:r w:rsidRPr="006F13D7">
        <w:rPr>
          <w:rFonts w:ascii="Times New Roman" w:hAnsi="Times New Roman"/>
        </w:rPr>
        <w:t xml:space="preserve"> včetně všech náležitostí a příloh,</w:t>
      </w:r>
    </w:p>
    <w:p w14:paraId="1622B9F0" w14:textId="77777777" w:rsidR="004E1463" w:rsidRDefault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4E1463">
        <w:rPr>
          <w:rFonts w:ascii="Times New Roman" w:hAnsi="Times New Roman"/>
        </w:rPr>
        <w:t xml:space="preserve">rozbor nabídky z hlediska splnění </w:t>
      </w:r>
      <w:r w:rsidR="004E1463" w:rsidRPr="004E1463">
        <w:rPr>
          <w:rFonts w:ascii="Times New Roman" w:hAnsi="Times New Roman"/>
        </w:rPr>
        <w:t>podmínek účasti dodavatele, popřípadě vyhotovení žádosti o objasnění nebo doplnění údajů či dokladů,</w:t>
      </w:r>
    </w:p>
    <w:p w14:paraId="1622B9F1" w14:textId="77777777" w:rsidR="00877C81" w:rsidRPr="005F2D3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5F2D37">
        <w:rPr>
          <w:rFonts w:ascii="Times New Roman" w:hAnsi="Times New Roman"/>
        </w:rPr>
        <w:lastRenderedPageBreak/>
        <w:t xml:space="preserve">zpracování případného </w:t>
      </w:r>
      <w:r w:rsidRPr="00877C81">
        <w:rPr>
          <w:rFonts w:ascii="Times New Roman" w:hAnsi="Times New Roman"/>
        </w:rPr>
        <w:t>písemného vysvětlení nejasností v nabídce, popřípadě žádosti o zdůvodnění mimořádně nízké nabídkové ceny,</w:t>
      </w:r>
    </w:p>
    <w:p w14:paraId="1622B9F2" w14:textId="77777777" w:rsidR="00877C81" w:rsidRPr="005F2D3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5F2D37">
        <w:rPr>
          <w:rFonts w:ascii="Times New Roman" w:hAnsi="Times New Roman"/>
        </w:rPr>
        <w:t xml:space="preserve">zpracování podkladů pro rozhodnutí zadavatele o vyloučení uchazeče, pokud by nesplnil </w:t>
      </w:r>
      <w:r w:rsidR="007018A6">
        <w:rPr>
          <w:rFonts w:ascii="Times New Roman" w:hAnsi="Times New Roman"/>
        </w:rPr>
        <w:t>podmínky účasti v zadávacím řízení</w:t>
      </w:r>
      <w:r>
        <w:rPr>
          <w:rFonts w:ascii="Times New Roman" w:hAnsi="Times New Roman"/>
        </w:rPr>
        <w:t>,</w:t>
      </w:r>
    </w:p>
    <w:p w14:paraId="1622B9F3" w14:textId="77777777" w:rsidR="00877C81" w:rsidRPr="005F2D3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5F2D37">
        <w:rPr>
          <w:rFonts w:ascii="Times New Roman" w:hAnsi="Times New Roman"/>
        </w:rPr>
        <w:t>vyřízení event. námitek proti rozhodnutí o vyloučení uchazeče,</w:t>
      </w:r>
    </w:p>
    <w:p w14:paraId="1622B9F4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 xml:space="preserve">zajištění všech dalších potřebných a nutných jednání </w:t>
      </w:r>
      <w:r w:rsidR="007018A6">
        <w:rPr>
          <w:rFonts w:ascii="Times New Roman" w:hAnsi="Times New Roman"/>
        </w:rPr>
        <w:t>zástupců zadavatele (</w:t>
      </w:r>
      <w:r w:rsidRPr="006F13D7">
        <w:rPr>
          <w:rFonts w:ascii="Times New Roman" w:hAnsi="Times New Roman"/>
        </w:rPr>
        <w:t>hodnotící komise</w:t>
      </w:r>
      <w:r w:rsidR="007018A6">
        <w:rPr>
          <w:rFonts w:ascii="Times New Roman" w:hAnsi="Times New Roman"/>
        </w:rPr>
        <w:t>)</w:t>
      </w:r>
      <w:r w:rsidRPr="006F13D7">
        <w:rPr>
          <w:rFonts w:ascii="Times New Roman" w:hAnsi="Times New Roman"/>
        </w:rPr>
        <w:t xml:space="preserve">, včetně zpracování protokolů o jednání </w:t>
      </w:r>
      <w:r w:rsidRPr="00877C81">
        <w:rPr>
          <w:rFonts w:ascii="Times New Roman" w:hAnsi="Times New Roman"/>
        </w:rPr>
        <w:t>pověřených zástupců</w:t>
      </w:r>
      <w:r w:rsidRPr="006F13D7">
        <w:rPr>
          <w:rFonts w:ascii="Times New Roman" w:hAnsi="Times New Roman"/>
        </w:rPr>
        <w:t>,</w:t>
      </w:r>
    </w:p>
    <w:p w14:paraId="1622B9F5" w14:textId="77777777" w:rsidR="00877C81" w:rsidRPr="00FA4E01" w:rsidRDefault="00877C81" w:rsidP="00877C81">
      <w:pPr>
        <w:numPr>
          <w:ilvl w:val="0"/>
          <w:numId w:val="10"/>
        </w:numPr>
        <w:tabs>
          <w:tab w:val="left" w:pos="1701"/>
        </w:tabs>
        <w:spacing w:before="120" w:after="0" w:line="280" w:lineRule="atLeast"/>
        <w:ind w:left="1701" w:hanging="425"/>
        <w:rPr>
          <w:rFonts w:ascii="Times New Roman" w:eastAsia="Cambria" w:hAnsi="Times New Roman"/>
          <w:b/>
          <w:bCs/>
          <w:i/>
        </w:rPr>
      </w:pPr>
      <w:r w:rsidRPr="00FA4E01">
        <w:rPr>
          <w:rFonts w:ascii="Times New Roman" w:eastAsia="Cambria" w:hAnsi="Times New Roman"/>
          <w:b/>
          <w:bCs/>
          <w:i/>
        </w:rPr>
        <w:t>Činnosti spojené s ukončením zadávacího řízení:</w:t>
      </w:r>
    </w:p>
    <w:p w14:paraId="1622B9F6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vypracování podkladů pro rozhodnutí zadavatele o výběru nejvhodnější nabídky,</w:t>
      </w:r>
    </w:p>
    <w:p w14:paraId="1622B9F7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zpracování oznámení o výběru nejvhodnější nabídk</w:t>
      </w:r>
      <w:r w:rsidR="007018A6">
        <w:rPr>
          <w:rFonts w:ascii="Times New Roman" w:hAnsi="Times New Roman"/>
        </w:rPr>
        <w:t>y,</w:t>
      </w:r>
    </w:p>
    <w:p w14:paraId="1622B9F8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zajištění doručení oznámení o výběru nejvhodnější nab</w:t>
      </w:r>
      <w:r>
        <w:rPr>
          <w:rFonts w:ascii="Times New Roman" w:hAnsi="Times New Roman"/>
        </w:rPr>
        <w:t>ídky uchazeči,</w:t>
      </w:r>
    </w:p>
    <w:p w14:paraId="1622B9F9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vyřízení event. námitek proti rozhodnutí o výběru nejvhodnější nabídky,</w:t>
      </w:r>
    </w:p>
    <w:p w14:paraId="1622B9FA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spolupráce při uzavírán</w:t>
      </w:r>
      <w:r>
        <w:rPr>
          <w:rFonts w:ascii="Times New Roman" w:hAnsi="Times New Roman"/>
        </w:rPr>
        <w:t>í smlouvy s vybraným uchazečem,</w:t>
      </w:r>
    </w:p>
    <w:p w14:paraId="1622B9FB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zpracování písemné zprávy zadavatele o průběhu zadávacího řízení,</w:t>
      </w:r>
    </w:p>
    <w:p w14:paraId="1622B9FC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v případě zrušení zadávacího řízení zajištění zpracování oznámení o zrušení zadávacího říz</w:t>
      </w:r>
      <w:r>
        <w:rPr>
          <w:rFonts w:ascii="Times New Roman" w:hAnsi="Times New Roman"/>
        </w:rPr>
        <w:t>ení a zajištění jeho zveřejnění,</w:t>
      </w:r>
    </w:p>
    <w:p w14:paraId="1622B9FD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zpracování vyjádření zadavatele k</w:t>
      </w:r>
      <w:r>
        <w:rPr>
          <w:rFonts w:ascii="Times New Roman" w:hAnsi="Times New Roman"/>
        </w:rPr>
        <w:t xml:space="preserve"> případnému </w:t>
      </w:r>
      <w:r w:rsidR="00793C38">
        <w:rPr>
          <w:rFonts w:ascii="Times New Roman" w:hAnsi="Times New Roman"/>
        </w:rPr>
        <w:t>podanému návrhu k Úřadu pro </w:t>
      </w:r>
      <w:r w:rsidRPr="006F13D7">
        <w:rPr>
          <w:rFonts w:ascii="Times New Roman" w:hAnsi="Times New Roman"/>
        </w:rPr>
        <w:t xml:space="preserve">ochranu pro hospodářské soutěže, </w:t>
      </w:r>
    </w:p>
    <w:p w14:paraId="1622B9FE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 xml:space="preserve">řešení návrhu s Úřadem pro ochranu hospodářské soutěže, </w:t>
      </w:r>
    </w:p>
    <w:p w14:paraId="1622B9FF" w14:textId="77777777" w:rsidR="00877C81" w:rsidRPr="006F13D7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6F13D7">
        <w:rPr>
          <w:rFonts w:ascii="Times New Roman" w:hAnsi="Times New Roman"/>
        </w:rPr>
        <w:t>ukončení zadávacího řízení po vydání rozhodnutí Úřadem pro ochranu hospodářské soutěže o podaném návrhu.</w:t>
      </w:r>
    </w:p>
    <w:p w14:paraId="1622BA00" w14:textId="77777777" w:rsidR="00877C81" w:rsidRPr="00FA4E01" w:rsidRDefault="00877C81" w:rsidP="00877C81">
      <w:pPr>
        <w:numPr>
          <w:ilvl w:val="0"/>
          <w:numId w:val="10"/>
        </w:numPr>
        <w:tabs>
          <w:tab w:val="left" w:pos="1701"/>
        </w:tabs>
        <w:spacing w:before="120" w:after="0" w:line="280" w:lineRule="atLeast"/>
        <w:ind w:left="1701" w:hanging="425"/>
        <w:jc w:val="both"/>
        <w:rPr>
          <w:rFonts w:ascii="Times New Roman" w:eastAsia="Cambria" w:hAnsi="Times New Roman"/>
          <w:b/>
          <w:bCs/>
          <w:i/>
        </w:rPr>
      </w:pPr>
      <w:r w:rsidRPr="00FA4E01">
        <w:rPr>
          <w:rFonts w:ascii="Times New Roman" w:eastAsia="Cambria" w:hAnsi="Times New Roman"/>
          <w:b/>
          <w:bCs/>
          <w:i/>
        </w:rPr>
        <w:t>Činnosti spojené s kompletací dokumentace o veřejné zakázce a s </w:t>
      </w:r>
      <w:proofErr w:type="spellStart"/>
      <w:r w:rsidRPr="00FA4E01">
        <w:rPr>
          <w:rFonts w:ascii="Times New Roman" w:eastAsia="Cambria" w:hAnsi="Times New Roman"/>
          <w:b/>
          <w:bCs/>
          <w:i/>
        </w:rPr>
        <w:t>uveřejňovacími</w:t>
      </w:r>
      <w:proofErr w:type="spellEnd"/>
      <w:r w:rsidRPr="00FA4E01">
        <w:rPr>
          <w:rFonts w:ascii="Times New Roman" w:eastAsia="Cambria" w:hAnsi="Times New Roman"/>
          <w:b/>
          <w:bCs/>
          <w:i/>
        </w:rPr>
        <w:t xml:space="preserve"> povinnostmi zadavatele:</w:t>
      </w:r>
    </w:p>
    <w:p w14:paraId="1622BA01" w14:textId="77777777" w:rsidR="00877C81" w:rsidRPr="00FA4E0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FA4E01">
        <w:rPr>
          <w:rFonts w:ascii="Times New Roman" w:hAnsi="Times New Roman"/>
        </w:rPr>
        <w:t>kompletace, uspořádání a předání veškeré dokumentace z průběhu zadávacího řízení zadavateli,</w:t>
      </w:r>
    </w:p>
    <w:p w14:paraId="1622BA02" w14:textId="77777777" w:rsidR="00877C81" w:rsidRDefault="00877C81" w:rsidP="00877C81">
      <w:pPr>
        <w:numPr>
          <w:ilvl w:val="0"/>
          <w:numId w:val="8"/>
        </w:numPr>
        <w:tabs>
          <w:tab w:val="num" w:pos="2127"/>
        </w:tabs>
        <w:spacing w:after="0" w:line="280" w:lineRule="atLeast"/>
        <w:ind w:left="2127" w:hanging="284"/>
        <w:jc w:val="both"/>
        <w:rPr>
          <w:rFonts w:ascii="Times New Roman" w:hAnsi="Times New Roman"/>
        </w:rPr>
      </w:pPr>
      <w:r w:rsidRPr="00FA4E01">
        <w:rPr>
          <w:rFonts w:ascii="Times New Roman" w:hAnsi="Times New Roman"/>
        </w:rPr>
        <w:t xml:space="preserve">právní podpora při plnění </w:t>
      </w:r>
      <w:proofErr w:type="spellStart"/>
      <w:r w:rsidRPr="00FA4E01">
        <w:rPr>
          <w:rFonts w:ascii="Times New Roman" w:hAnsi="Times New Roman"/>
        </w:rPr>
        <w:t>uveřejňovací</w:t>
      </w:r>
      <w:proofErr w:type="spellEnd"/>
      <w:r w:rsidRPr="00FA4E01">
        <w:rPr>
          <w:rFonts w:ascii="Times New Roman" w:hAnsi="Times New Roman"/>
        </w:rPr>
        <w:t xml:space="preserve"> povinnosti zadavatele dle § </w:t>
      </w:r>
      <w:r w:rsidR="007018A6">
        <w:rPr>
          <w:rFonts w:ascii="Times New Roman" w:hAnsi="Times New Roman"/>
        </w:rPr>
        <w:t>219</w:t>
      </w:r>
      <w:r w:rsidRPr="00FA4E01">
        <w:rPr>
          <w:rFonts w:ascii="Times New Roman" w:hAnsi="Times New Roman"/>
        </w:rPr>
        <w:t xml:space="preserve"> odst. 1 </w:t>
      </w:r>
      <w:r>
        <w:rPr>
          <w:rFonts w:ascii="Times New Roman" w:hAnsi="Times New Roman"/>
        </w:rPr>
        <w:t>Z</w:t>
      </w:r>
      <w:r w:rsidR="007018A6">
        <w:rPr>
          <w:rFonts w:ascii="Times New Roman" w:hAnsi="Times New Roman"/>
        </w:rPr>
        <w:t>Z</w:t>
      </w:r>
      <w:r>
        <w:rPr>
          <w:rFonts w:ascii="Times New Roman" w:hAnsi="Times New Roman"/>
        </w:rPr>
        <w:t>VZ</w:t>
      </w:r>
      <w:r w:rsidRPr="00FA4E01">
        <w:rPr>
          <w:rFonts w:ascii="Times New Roman" w:hAnsi="Times New Roman"/>
        </w:rPr>
        <w:t>.</w:t>
      </w:r>
    </w:p>
    <w:p w14:paraId="1622BA03" w14:textId="77777777" w:rsidR="0092054C" w:rsidRDefault="0092054C" w:rsidP="0092054C">
      <w:pPr>
        <w:pStyle w:val="Nadpis1"/>
        <w:numPr>
          <w:ilvl w:val="2"/>
          <w:numId w:val="3"/>
        </w:numPr>
        <w:tabs>
          <w:tab w:val="left" w:pos="0"/>
        </w:tabs>
        <w:spacing w:after="0" w:line="280" w:lineRule="atLeast"/>
        <w:ind w:left="1276" w:hanging="709"/>
        <w:rPr>
          <w:rFonts w:ascii="Times New Roman" w:hAnsi="Times New Roman"/>
          <w:b w:val="0"/>
          <w:bCs w:val="0"/>
          <w:sz w:val="22"/>
          <w:szCs w:val="20"/>
        </w:rPr>
      </w:pPr>
      <w:r w:rsidRPr="00FA4E01">
        <w:rPr>
          <w:rFonts w:ascii="Times New Roman" w:hAnsi="Times New Roman"/>
          <w:b w:val="0"/>
          <w:bCs w:val="0"/>
          <w:sz w:val="22"/>
          <w:szCs w:val="20"/>
        </w:rPr>
        <w:t>průběžná právní podpora zadavatele spočí</w:t>
      </w:r>
      <w:r>
        <w:rPr>
          <w:rFonts w:ascii="Times New Roman" w:hAnsi="Times New Roman"/>
          <w:b w:val="0"/>
          <w:bCs w:val="0"/>
          <w:sz w:val="22"/>
          <w:szCs w:val="20"/>
        </w:rPr>
        <w:t>vající v poskytování konzultací, analýz a </w:t>
      </w:r>
      <w:r w:rsidRPr="00FA4E01">
        <w:rPr>
          <w:rFonts w:ascii="Times New Roman" w:hAnsi="Times New Roman"/>
          <w:b w:val="0"/>
          <w:bCs w:val="0"/>
          <w:sz w:val="22"/>
          <w:szCs w:val="20"/>
        </w:rPr>
        <w:t xml:space="preserve">právních stanovisek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souvisejících se zadáním </w:t>
      </w:r>
      <w:r w:rsidR="007E5F6A">
        <w:rPr>
          <w:rFonts w:ascii="Times New Roman" w:hAnsi="Times New Roman"/>
          <w:b w:val="0"/>
          <w:bCs w:val="0"/>
          <w:sz w:val="22"/>
          <w:szCs w:val="20"/>
        </w:rPr>
        <w:t>V</w:t>
      </w:r>
      <w:r>
        <w:rPr>
          <w:rFonts w:ascii="Times New Roman" w:hAnsi="Times New Roman"/>
          <w:b w:val="0"/>
          <w:bCs w:val="0"/>
          <w:sz w:val="22"/>
          <w:szCs w:val="20"/>
        </w:rPr>
        <w:t>eřejn</w:t>
      </w:r>
      <w:r w:rsidR="007E5F6A">
        <w:rPr>
          <w:rFonts w:ascii="Times New Roman" w:hAnsi="Times New Roman"/>
          <w:b w:val="0"/>
          <w:bCs w:val="0"/>
          <w:sz w:val="22"/>
          <w:szCs w:val="20"/>
        </w:rPr>
        <w:t>é zakáz</w:t>
      </w:r>
      <w:r>
        <w:rPr>
          <w:rFonts w:ascii="Times New Roman" w:hAnsi="Times New Roman"/>
          <w:b w:val="0"/>
          <w:bCs w:val="0"/>
          <w:sz w:val="22"/>
          <w:szCs w:val="20"/>
        </w:rPr>
        <w:t>k</w:t>
      </w:r>
      <w:r w:rsidR="007E5F6A">
        <w:rPr>
          <w:rFonts w:ascii="Times New Roman" w:hAnsi="Times New Roman"/>
          <w:b w:val="0"/>
          <w:bCs w:val="0"/>
          <w:sz w:val="22"/>
          <w:szCs w:val="20"/>
        </w:rPr>
        <w:t>y</w:t>
      </w:r>
      <w:r>
        <w:rPr>
          <w:rFonts w:ascii="Times New Roman" w:hAnsi="Times New Roman"/>
          <w:b w:val="0"/>
          <w:sz w:val="22"/>
          <w:szCs w:val="20"/>
        </w:rPr>
        <w:t xml:space="preserve">, </w:t>
      </w:r>
      <w:r>
        <w:rPr>
          <w:rFonts w:ascii="Times New Roman" w:hAnsi="Times New Roman"/>
          <w:b w:val="0"/>
          <w:bCs w:val="0"/>
          <w:sz w:val="22"/>
          <w:szCs w:val="20"/>
        </w:rPr>
        <w:t>a to v rozsahu max. </w:t>
      </w:r>
      <w:r w:rsidR="00FF52D7">
        <w:rPr>
          <w:rFonts w:ascii="Times New Roman" w:hAnsi="Times New Roman"/>
          <w:b w:val="0"/>
          <w:bCs w:val="0"/>
          <w:sz w:val="22"/>
          <w:szCs w:val="20"/>
        </w:rPr>
        <w:t>70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hodin.</w:t>
      </w:r>
    </w:p>
    <w:p w14:paraId="1622BA04" w14:textId="77777777" w:rsidR="0074122C" w:rsidRPr="00684880" w:rsidRDefault="0074122C" w:rsidP="00A7452E">
      <w:pPr>
        <w:pStyle w:val="Nadpis1"/>
        <w:numPr>
          <w:ilvl w:val="0"/>
          <w:numId w:val="0"/>
        </w:numPr>
        <w:spacing w:before="72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14:paraId="1622BA05" w14:textId="77777777" w:rsidR="0074122C" w:rsidRPr="00977154" w:rsidRDefault="00977154" w:rsidP="0074122C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 w:rsidRPr="00977154">
        <w:rPr>
          <w:rFonts w:ascii="Times New Roman" w:hAnsi="Times New Roman"/>
          <w:sz w:val="22"/>
        </w:rPr>
        <w:t>Odměna Poradce a platební podmínky</w:t>
      </w:r>
    </w:p>
    <w:p w14:paraId="1622BA06" w14:textId="77777777" w:rsidR="0074122C" w:rsidRPr="00661FBE" w:rsidRDefault="0074122C" w:rsidP="0074122C">
      <w:pPr>
        <w:pStyle w:val="Odstavecseseznamem"/>
        <w:keepNext/>
        <w:numPr>
          <w:ilvl w:val="0"/>
          <w:numId w:val="3"/>
        </w:numPr>
        <w:tabs>
          <w:tab w:val="left" w:pos="0"/>
        </w:tabs>
        <w:spacing w:before="240" w:after="0" w:line="280" w:lineRule="atLeast"/>
        <w:contextualSpacing w:val="0"/>
        <w:jc w:val="both"/>
        <w:outlineLvl w:val="0"/>
        <w:rPr>
          <w:rFonts w:ascii="Times New Roman" w:hAnsi="Times New Roman"/>
          <w:vanish/>
          <w:kern w:val="32"/>
          <w:szCs w:val="20"/>
          <w:lang w:eastAsia="cs-CZ"/>
        </w:rPr>
      </w:pPr>
    </w:p>
    <w:p w14:paraId="1622BA07" w14:textId="180CBE4E" w:rsidR="00977154" w:rsidRDefault="00977154" w:rsidP="0074122C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Odměna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za poskytování plnění dle této Dílčí smlouvy je stanovena jako nejvýše přípustná a činí </w:t>
      </w:r>
      <w:r w:rsidR="00414850">
        <w:rPr>
          <w:rFonts w:ascii="Times New Roman" w:hAnsi="Times New Roman"/>
          <w:b w:val="0"/>
          <w:sz w:val="22"/>
          <w:szCs w:val="20"/>
        </w:rPr>
        <w:t xml:space="preserve">maximálně </w:t>
      </w:r>
      <w:r w:rsidR="00234210">
        <w:rPr>
          <w:rFonts w:ascii="Times New Roman" w:hAnsi="Times New Roman"/>
          <w:b w:val="0"/>
          <w:sz w:val="22"/>
          <w:szCs w:val="20"/>
        </w:rPr>
        <w:t>310.000,-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Kč (slovy: </w:t>
      </w:r>
      <w:r w:rsidR="00234210">
        <w:rPr>
          <w:rFonts w:ascii="Times New Roman" w:hAnsi="Times New Roman"/>
          <w:b w:val="0"/>
          <w:sz w:val="22"/>
          <w:szCs w:val="20"/>
        </w:rPr>
        <w:t>Tři sta deset tisíc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korun českých) bez DPH, tzn. </w:t>
      </w:r>
      <w:r w:rsidR="00234210">
        <w:rPr>
          <w:rFonts w:ascii="Times New Roman" w:hAnsi="Times New Roman"/>
          <w:b w:val="0"/>
          <w:sz w:val="22"/>
          <w:szCs w:val="20"/>
        </w:rPr>
        <w:t>375.100,-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Kč (slovy: </w:t>
      </w:r>
      <w:r w:rsidR="00234210">
        <w:rPr>
          <w:rFonts w:ascii="Times New Roman" w:hAnsi="Times New Roman"/>
          <w:b w:val="0"/>
          <w:sz w:val="22"/>
          <w:szCs w:val="20"/>
        </w:rPr>
        <w:t>Tři sta sedmdesát pět tisíc sto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korun českých) včetně DPH. Výše DPH při sazbě </w:t>
      </w:r>
      <w:r w:rsidR="00234210">
        <w:rPr>
          <w:rFonts w:ascii="Times New Roman" w:hAnsi="Times New Roman"/>
          <w:b w:val="0"/>
          <w:sz w:val="22"/>
          <w:szCs w:val="20"/>
        </w:rPr>
        <w:t>21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% je </w:t>
      </w:r>
      <w:r w:rsidR="00A75B76">
        <w:rPr>
          <w:rFonts w:ascii="Times New Roman" w:hAnsi="Times New Roman"/>
          <w:b w:val="0"/>
          <w:sz w:val="22"/>
          <w:szCs w:val="20"/>
        </w:rPr>
        <w:t>65.100,-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Kč (slovy: </w:t>
      </w:r>
      <w:r w:rsidR="00A75B76">
        <w:rPr>
          <w:rFonts w:ascii="Times New Roman" w:hAnsi="Times New Roman"/>
          <w:b w:val="0"/>
          <w:sz w:val="22"/>
          <w:szCs w:val="20"/>
        </w:rPr>
        <w:t>Šedesát pět tisíc sto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korun českých).</w:t>
      </w:r>
    </w:p>
    <w:p w14:paraId="37F95581" w14:textId="77777777" w:rsidR="002537B2" w:rsidRDefault="002537B2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</w:p>
    <w:p w14:paraId="0125227A" w14:textId="77777777" w:rsidR="002537B2" w:rsidRDefault="002537B2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</w:p>
    <w:p w14:paraId="5ADDFDC7" w14:textId="77777777" w:rsidR="002537B2" w:rsidRDefault="002537B2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</w:p>
    <w:p w14:paraId="01372F61" w14:textId="77777777" w:rsidR="002537B2" w:rsidRDefault="002537B2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</w:p>
    <w:p w14:paraId="2C47D0F7" w14:textId="77777777" w:rsidR="002537B2" w:rsidRDefault="002537B2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</w:p>
    <w:p w14:paraId="280BD9DA" w14:textId="77777777" w:rsidR="002537B2" w:rsidRDefault="002537B2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</w:p>
    <w:p w14:paraId="1622BA08" w14:textId="77777777" w:rsidR="0053385C" w:rsidRPr="00BD59D4" w:rsidRDefault="0053385C" w:rsidP="0053385C">
      <w:pPr>
        <w:pStyle w:val="Odstavecseseznamem"/>
        <w:spacing w:before="120" w:after="120" w:line="280" w:lineRule="atLeast"/>
        <w:ind w:left="567"/>
        <w:rPr>
          <w:rFonts w:ascii="Times New Roman" w:hAnsi="Times New Roman"/>
          <w:bCs/>
          <w:kern w:val="32"/>
          <w:szCs w:val="20"/>
          <w:lang w:eastAsia="cs-CZ"/>
        </w:rPr>
      </w:pPr>
      <w:r w:rsidRPr="00BD59D4">
        <w:rPr>
          <w:rFonts w:ascii="Times New Roman" w:hAnsi="Times New Roman"/>
          <w:bCs/>
          <w:kern w:val="32"/>
          <w:szCs w:val="20"/>
          <w:lang w:eastAsia="cs-CZ"/>
        </w:rPr>
        <w:lastRenderedPageBreak/>
        <w:t>Výše uvedená celková cena vychází z jednotlivých cen uvedených v následující tabulce:</w:t>
      </w:r>
    </w:p>
    <w:tbl>
      <w:tblPr>
        <w:tblW w:w="82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9"/>
        <w:gridCol w:w="1701"/>
        <w:gridCol w:w="1701"/>
        <w:gridCol w:w="1701"/>
      </w:tblGrid>
      <w:tr w:rsidR="0053385C" w:rsidRPr="0076411B" w14:paraId="1622BA0F" w14:textId="77777777" w:rsidTr="009A2208">
        <w:trPr>
          <w:trHeight w:val="458"/>
        </w:trPr>
        <w:tc>
          <w:tcPr>
            <w:tcW w:w="3129" w:type="dxa"/>
            <w:shd w:val="clear" w:color="auto" w:fill="D9D9D9"/>
            <w:vAlign w:val="center"/>
          </w:tcPr>
          <w:p w14:paraId="1622BA09" w14:textId="77777777" w:rsidR="0053385C" w:rsidRPr="00221460" w:rsidRDefault="0053385C" w:rsidP="009A2208">
            <w:pPr>
              <w:pStyle w:val="Zkladntext"/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1460">
              <w:rPr>
                <w:rFonts w:ascii="Times New Roman" w:hAnsi="Times New Roman"/>
                <w:b/>
                <w:color w:val="000000"/>
              </w:rPr>
              <w:t>Jednotlivé činnosti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22BA0A" w14:textId="77777777" w:rsidR="0053385C" w:rsidRPr="00221460" w:rsidRDefault="0053385C" w:rsidP="009A2208">
            <w:pPr>
              <w:pStyle w:val="Zkladntext"/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1460">
              <w:rPr>
                <w:rFonts w:ascii="Times New Roman" w:hAnsi="Times New Roman"/>
                <w:b/>
                <w:color w:val="000000"/>
              </w:rPr>
              <w:t xml:space="preserve">Jednotková cena </w:t>
            </w:r>
          </w:p>
          <w:p w14:paraId="1622BA0B" w14:textId="77777777" w:rsidR="0053385C" w:rsidRPr="00221460" w:rsidRDefault="0053385C" w:rsidP="009A2208">
            <w:pPr>
              <w:pStyle w:val="Zkladntext"/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1460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 xml:space="preserve">v Kč </w:t>
            </w:r>
            <w:r w:rsidRPr="00221460">
              <w:rPr>
                <w:rFonts w:ascii="Times New Roman" w:hAnsi="Times New Roman"/>
                <w:b/>
                <w:color w:val="000000"/>
              </w:rPr>
              <w:t>bez DPH)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22BA0C" w14:textId="77777777" w:rsidR="0053385C" w:rsidRPr="00221460" w:rsidRDefault="0053385C" w:rsidP="009A2208">
            <w:pPr>
              <w:pStyle w:val="Zkladntext"/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1460">
              <w:rPr>
                <w:rFonts w:ascii="Times New Roman" w:hAnsi="Times New Roman"/>
                <w:b/>
                <w:color w:val="000000"/>
              </w:rPr>
              <w:t>Max. počet jednotek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22BA0D" w14:textId="77777777" w:rsidR="0053385C" w:rsidRDefault="0053385C" w:rsidP="009A2208">
            <w:pPr>
              <w:pStyle w:val="Zkladntext"/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1460">
              <w:rPr>
                <w:rFonts w:ascii="Times New Roman" w:hAnsi="Times New Roman"/>
                <w:b/>
                <w:color w:val="000000"/>
              </w:rPr>
              <w:t xml:space="preserve">Celková cena </w:t>
            </w:r>
          </w:p>
          <w:p w14:paraId="1622BA0E" w14:textId="77777777" w:rsidR="0053385C" w:rsidRPr="00221460" w:rsidRDefault="0053385C" w:rsidP="009A2208">
            <w:pPr>
              <w:pStyle w:val="Zkladntext"/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1460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 xml:space="preserve">v Kč </w:t>
            </w:r>
            <w:r w:rsidRPr="00221460">
              <w:rPr>
                <w:rFonts w:ascii="Times New Roman" w:hAnsi="Times New Roman"/>
                <w:b/>
                <w:color w:val="000000"/>
              </w:rPr>
              <w:t>bez DPH)</w:t>
            </w:r>
          </w:p>
        </w:tc>
      </w:tr>
      <w:tr w:rsidR="0053385C" w:rsidRPr="0076411B" w14:paraId="1622BA14" w14:textId="77777777" w:rsidTr="00A7452E">
        <w:trPr>
          <w:trHeight w:val="1361"/>
        </w:trPr>
        <w:tc>
          <w:tcPr>
            <w:tcW w:w="3129" w:type="dxa"/>
            <w:vAlign w:val="center"/>
          </w:tcPr>
          <w:p w14:paraId="1622BA10" w14:textId="77777777" w:rsidR="0053385C" w:rsidRPr="00221460" w:rsidRDefault="0053385C" w:rsidP="00FE1692">
            <w:pPr>
              <w:pStyle w:val="Zkladntext"/>
              <w:widowControl w:val="0"/>
              <w:spacing w:before="60" w:after="60" w:line="28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21460">
              <w:rPr>
                <w:rFonts w:ascii="Times New Roman" w:hAnsi="Times New Roman"/>
              </w:rPr>
              <w:t xml:space="preserve">Komplexní administrativní a právní </w:t>
            </w:r>
            <w:r>
              <w:rPr>
                <w:rFonts w:ascii="Times New Roman" w:hAnsi="Times New Roman"/>
              </w:rPr>
              <w:t>zajištění</w:t>
            </w:r>
            <w:r w:rsidRPr="00132E54">
              <w:rPr>
                <w:rFonts w:ascii="Times New Roman" w:hAnsi="Times New Roman"/>
              </w:rPr>
              <w:t xml:space="preserve"> </w:t>
            </w:r>
            <w:r w:rsidR="00FE1692">
              <w:rPr>
                <w:rFonts w:ascii="Times New Roman" w:hAnsi="Times New Roman"/>
                <w:b/>
              </w:rPr>
              <w:t>jednacího</w:t>
            </w:r>
            <w:r>
              <w:rPr>
                <w:rFonts w:ascii="Times New Roman" w:hAnsi="Times New Roman"/>
                <w:b/>
              </w:rPr>
              <w:t xml:space="preserve"> řízení</w:t>
            </w:r>
            <w:r w:rsidR="00FE1692">
              <w:rPr>
                <w:rFonts w:ascii="Times New Roman" w:hAnsi="Times New Roman"/>
                <w:b/>
              </w:rPr>
              <w:t xml:space="preserve"> bez uveřejnění</w:t>
            </w:r>
            <w:r w:rsidRPr="00132E54">
              <w:rPr>
                <w:rFonts w:ascii="Times New Roman" w:hAnsi="Times New Roman"/>
                <w:b/>
              </w:rPr>
              <w:t xml:space="preserve"> </w:t>
            </w:r>
            <w:r w:rsidRPr="00132E54">
              <w:rPr>
                <w:rFonts w:ascii="Times New Roman" w:hAnsi="Times New Roman"/>
              </w:rPr>
              <w:t xml:space="preserve">dle </w:t>
            </w:r>
            <w:r>
              <w:rPr>
                <w:rFonts w:ascii="Times New Roman" w:hAnsi="Times New Roman"/>
              </w:rPr>
              <w:t>bodu 2</w:t>
            </w:r>
            <w:r w:rsidR="00EC7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</w:t>
            </w:r>
            <w:r w:rsidR="00EC74AA">
              <w:rPr>
                <w:rFonts w:ascii="Times New Roman" w:hAnsi="Times New Roman"/>
              </w:rPr>
              <w:t>1</w:t>
            </w:r>
            <w:r w:rsidRPr="00221460">
              <w:rPr>
                <w:rFonts w:ascii="Times New Roman" w:hAnsi="Times New Roman"/>
              </w:rPr>
              <w:t xml:space="preserve"> této Dílčí smlouvy</w:t>
            </w:r>
          </w:p>
        </w:tc>
        <w:tc>
          <w:tcPr>
            <w:tcW w:w="1701" w:type="dxa"/>
            <w:vAlign w:val="center"/>
          </w:tcPr>
          <w:p w14:paraId="1622BA11" w14:textId="4E495EFB" w:rsidR="0053385C" w:rsidRPr="00221460" w:rsidRDefault="00234210" w:rsidP="009A2208">
            <w:pPr>
              <w:pStyle w:val="Zkladntext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100.000,-</w:t>
            </w:r>
          </w:p>
        </w:tc>
        <w:tc>
          <w:tcPr>
            <w:tcW w:w="1701" w:type="dxa"/>
            <w:vAlign w:val="center"/>
          </w:tcPr>
          <w:p w14:paraId="1622BA12" w14:textId="77777777" w:rsidR="0053385C" w:rsidRPr="00221460" w:rsidRDefault="00FE1692" w:rsidP="009A2208">
            <w:pPr>
              <w:pStyle w:val="Zkladntext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3385C" w:rsidRPr="0022146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701" w:type="dxa"/>
            <w:vAlign w:val="center"/>
          </w:tcPr>
          <w:p w14:paraId="1622BA13" w14:textId="6E8CC6E5" w:rsidR="0053385C" w:rsidRPr="00221460" w:rsidRDefault="00234210" w:rsidP="009A2208">
            <w:pPr>
              <w:pStyle w:val="Zkladntext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100.000,-</w:t>
            </w:r>
          </w:p>
        </w:tc>
      </w:tr>
      <w:tr w:rsidR="0053385C" w:rsidRPr="0076411B" w14:paraId="1622BA19" w14:textId="77777777" w:rsidTr="00A7452E">
        <w:trPr>
          <w:trHeight w:val="1361"/>
        </w:trPr>
        <w:tc>
          <w:tcPr>
            <w:tcW w:w="3129" w:type="dxa"/>
            <w:vAlign w:val="center"/>
          </w:tcPr>
          <w:p w14:paraId="1622BA15" w14:textId="77777777" w:rsidR="0053385C" w:rsidRPr="00221460" w:rsidRDefault="0053385C" w:rsidP="009A2208">
            <w:pPr>
              <w:pStyle w:val="Zkladntext"/>
              <w:widowControl w:val="0"/>
              <w:spacing w:before="60" w:after="60" w:line="28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Právní podpora dle bodu 2.</w:t>
            </w:r>
            <w:r w:rsidR="00EC7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.2.</w:t>
            </w:r>
            <w:r w:rsidRPr="00221460">
              <w:rPr>
                <w:rFonts w:ascii="Times New Roman" w:hAnsi="Times New Roman"/>
              </w:rPr>
              <w:t xml:space="preserve"> této Dílčí smlouvy</w:t>
            </w:r>
          </w:p>
        </w:tc>
        <w:tc>
          <w:tcPr>
            <w:tcW w:w="1701" w:type="dxa"/>
            <w:vAlign w:val="center"/>
          </w:tcPr>
          <w:p w14:paraId="1622BA16" w14:textId="16B9FDA5" w:rsidR="0053385C" w:rsidRPr="00221460" w:rsidRDefault="00234210" w:rsidP="009A2208">
            <w:pPr>
              <w:pStyle w:val="Zkladntext"/>
              <w:widowControl w:val="0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3000,-</w:t>
            </w:r>
          </w:p>
        </w:tc>
        <w:tc>
          <w:tcPr>
            <w:tcW w:w="1701" w:type="dxa"/>
            <w:vAlign w:val="center"/>
          </w:tcPr>
          <w:p w14:paraId="1622BA17" w14:textId="77777777" w:rsidR="0053385C" w:rsidRPr="00221460" w:rsidRDefault="00FF52D7" w:rsidP="009A2208">
            <w:pPr>
              <w:pStyle w:val="Zkladntext"/>
              <w:widowControl w:val="0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  <w:highlight w:val="red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  <w:r w:rsidR="0053385C" w:rsidRPr="00BE751F">
              <w:rPr>
                <w:rFonts w:ascii="Times New Roman" w:hAnsi="Times New Roman"/>
                <w:color w:val="000000"/>
              </w:rPr>
              <w:t xml:space="preserve"> hodin</w:t>
            </w:r>
            <w:r w:rsidR="0053385C" w:rsidRPr="0022146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22BA18" w14:textId="185FF61D" w:rsidR="0053385C" w:rsidRPr="00221460" w:rsidRDefault="00234210" w:rsidP="009A2208">
            <w:pPr>
              <w:pStyle w:val="Zkladntext"/>
              <w:widowControl w:val="0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210.000,-</w:t>
            </w:r>
          </w:p>
        </w:tc>
      </w:tr>
      <w:tr w:rsidR="0053385C" w:rsidRPr="0076411B" w14:paraId="1622BA1C" w14:textId="77777777" w:rsidTr="00A7452E">
        <w:trPr>
          <w:trHeight w:val="680"/>
        </w:trPr>
        <w:tc>
          <w:tcPr>
            <w:tcW w:w="6531" w:type="dxa"/>
            <w:gridSpan w:val="3"/>
            <w:shd w:val="clear" w:color="auto" w:fill="D9D9D9" w:themeFill="background1" w:themeFillShade="D9"/>
            <w:vAlign w:val="center"/>
          </w:tcPr>
          <w:p w14:paraId="1622BA1A" w14:textId="77777777" w:rsidR="0053385C" w:rsidRPr="00221460" w:rsidRDefault="0053385C" w:rsidP="009A2208">
            <w:pPr>
              <w:pStyle w:val="Zkladntext"/>
              <w:widowControl w:val="0"/>
              <w:spacing w:before="60" w:after="60" w:line="280" w:lineRule="atLeast"/>
              <w:rPr>
                <w:rFonts w:ascii="Times New Roman" w:hAnsi="Times New Roman"/>
                <w:color w:val="000000"/>
              </w:rPr>
            </w:pPr>
            <w:r w:rsidRPr="00221460">
              <w:rPr>
                <w:rFonts w:ascii="Times New Roman" w:hAnsi="Times New Roman"/>
                <w:b/>
              </w:rPr>
              <w:t>Celková nabídková cen</w:t>
            </w:r>
            <w:r w:rsidR="00FC7510">
              <w:rPr>
                <w:rFonts w:ascii="Times New Roman" w:hAnsi="Times New Roman"/>
                <w:b/>
              </w:rPr>
              <w:t>a</w:t>
            </w:r>
            <w:r w:rsidRPr="00221460">
              <w:rPr>
                <w:rFonts w:ascii="Times New Roman" w:hAnsi="Times New Roman"/>
                <w:b/>
              </w:rPr>
              <w:t xml:space="preserve"> (bez DPH)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22BA1B" w14:textId="7122D360" w:rsidR="0053385C" w:rsidRPr="00221460" w:rsidRDefault="00234210" w:rsidP="009A2208">
            <w:pPr>
              <w:pStyle w:val="Zkladntext"/>
              <w:widowControl w:val="0"/>
              <w:spacing w:before="60" w:after="60" w:line="28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310.000,-</w:t>
            </w:r>
          </w:p>
        </w:tc>
      </w:tr>
    </w:tbl>
    <w:p w14:paraId="1622BA1D" w14:textId="77777777" w:rsidR="00FD5CC8" w:rsidRPr="00FD5CC8" w:rsidRDefault="003A6CEC" w:rsidP="00FD5CC8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2"/>
        </w:rPr>
      </w:pPr>
      <w:r w:rsidRPr="003A6CEC">
        <w:rPr>
          <w:rFonts w:ascii="Times New Roman" w:hAnsi="Times New Roman"/>
          <w:b w:val="0"/>
          <w:sz w:val="22"/>
          <w:szCs w:val="22"/>
        </w:rPr>
        <w:t xml:space="preserve">Odměnu za právní služby </w:t>
      </w:r>
      <w:r w:rsidRPr="003A6CEC">
        <w:rPr>
          <w:rFonts w:ascii="Times New Roman" w:hAnsi="Times New Roman"/>
          <w:b w:val="0"/>
          <w:bCs w:val="0"/>
          <w:sz w:val="22"/>
          <w:szCs w:val="22"/>
        </w:rPr>
        <w:t>spojené s </w:t>
      </w:r>
      <w:r w:rsidRPr="003A6CEC">
        <w:rPr>
          <w:rFonts w:ascii="Times New Roman" w:hAnsi="Times New Roman"/>
          <w:b w:val="0"/>
          <w:sz w:val="22"/>
          <w:szCs w:val="22"/>
        </w:rPr>
        <w:t xml:space="preserve">komplexním administrativním a právním zajištěním zadávacího řízení (dle bodu </w:t>
      </w:r>
      <w:r>
        <w:rPr>
          <w:rFonts w:ascii="Times New Roman" w:hAnsi="Times New Roman"/>
          <w:b w:val="0"/>
          <w:sz w:val="22"/>
          <w:szCs w:val="22"/>
        </w:rPr>
        <w:t>2.1.</w:t>
      </w:r>
      <w:r w:rsidR="00D1594C">
        <w:rPr>
          <w:rFonts w:ascii="Times New Roman" w:hAnsi="Times New Roman"/>
          <w:b w:val="0"/>
          <w:sz w:val="22"/>
          <w:szCs w:val="22"/>
        </w:rPr>
        <w:t xml:space="preserve">1 </w:t>
      </w:r>
      <w:r w:rsidRPr="003A6CEC">
        <w:rPr>
          <w:rFonts w:ascii="Times New Roman" w:hAnsi="Times New Roman"/>
          <w:b w:val="0"/>
          <w:sz w:val="22"/>
          <w:szCs w:val="22"/>
        </w:rPr>
        <w:t xml:space="preserve">této Dílčí smlouvy) je </w:t>
      </w:r>
      <w:r w:rsidR="009B6177">
        <w:rPr>
          <w:rFonts w:ascii="Times New Roman" w:hAnsi="Times New Roman"/>
          <w:b w:val="0"/>
          <w:sz w:val="22"/>
          <w:szCs w:val="22"/>
        </w:rPr>
        <w:t>P</w:t>
      </w:r>
      <w:r w:rsidRPr="003A6CEC">
        <w:rPr>
          <w:rFonts w:ascii="Times New Roman" w:hAnsi="Times New Roman"/>
          <w:b w:val="0"/>
          <w:sz w:val="22"/>
          <w:szCs w:val="22"/>
        </w:rPr>
        <w:t>oradce oprávněn účtovat po jejich poskytnutí, tj. po ukončení administrovaného zadávacího řízení (po předání veškeré dokumentace k tomuto zadávacímu řízení</w:t>
      </w:r>
      <w:r w:rsidR="00174C0F">
        <w:rPr>
          <w:rFonts w:ascii="Times New Roman" w:hAnsi="Times New Roman"/>
          <w:b w:val="0"/>
          <w:sz w:val="22"/>
          <w:szCs w:val="22"/>
        </w:rPr>
        <w:t>)</w:t>
      </w:r>
      <w:r w:rsidR="00FD5CC8" w:rsidRPr="00FD5CC8">
        <w:rPr>
          <w:rFonts w:ascii="Times New Roman" w:hAnsi="Times New Roman"/>
          <w:b w:val="0"/>
          <w:sz w:val="22"/>
          <w:szCs w:val="22"/>
        </w:rPr>
        <w:t xml:space="preserve">. </w:t>
      </w:r>
      <w:r w:rsidR="00D1594C">
        <w:rPr>
          <w:rFonts w:ascii="Times New Roman" w:hAnsi="Times New Roman"/>
          <w:b w:val="0"/>
          <w:sz w:val="22"/>
          <w:szCs w:val="22"/>
        </w:rPr>
        <w:t>O</w:t>
      </w:r>
      <w:r w:rsidR="00D1594C" w:rsidRPr="003B1998">
        <w:rPr>
          <w:rFonts w:ascii="Times New Roman" w:hAnsi="Times New Roman"/>
          <w:b w:val="0"/>
          <w:sz w:val="22"/>
          <w:szCs w:val="22"/>
        </w:rPr>
        <w:t>dměnu za poskytnutou právní podporu (dle bodu 2.1.2</w:t>
      </w:r>
      <w:r w:rsidR="00D1594C">
        <w:rPr>
          <w:rFonts w:ascii="Times New Roman" w:hAnsi="Times New Roman"/>
          <w:b w:val="0"/>
          <w:sz w:val="22"/>
          <w:szCs w:val="22"/>
        </w:rPr>
        <w:t>.</w:t>
      </w:r>
      <w:r w:rsidR="00D1594C" w:rsidRPr="003B1998">
        <w:rPr>
          <w:rFonts w:ascii="Times New Roman" w:hAnsi="Times New Roman"/>
          <w:b w:val="0"/>
          <w:sz w:val="22"/>
          <w:szCs w:val="22"/>
        </w:rPr>
        <w:t xml:space="preserve"> této Dílčí smlouvy</w:t>
      </w:r>
      <w:r w:rsidR="00D1594C">
        <w:rPr>
          <w:rFonts w:ascii="Times New Roman" w:hAnsi="Times New Roman"/>
          <w:b w:val="0"/>
          <w:sz w:val="22"/>
          <w:szCs w:val="22"/>
        </w:rPr>
        <w:t xml:space="preserve">), je poradce oprávněn účtovat </w:t>
      </w:r>
      <w:r w:rsidR="00D1594C" w:rsidRPr="00FD5CC8">
        <w:rPr>
          <w:rFonts w:ascii="Times New Roman" w:hAnsi="Times New Roman"/>
          <w:b w:val="0"/>
          <w:sz w:val="22"/>
          <w:szCs w:val="22"/>
        </w:rPr>
        <w:t xml:space="preserve">vždy měsíčně pozadu dle skutečného rozsahu požadované a řádně poskytnuté </w:t>
      </w:r>
      <w:r w:rsidR="00D1594C">
        <w:rPr>
          <w:rFonts w:ascii="Times New Roman" w:hAnsi="Times New Roman"/>
          <w:b w:val="0"/>
          <w:sz w:val="22"/>
          <w:szCs w:val="22"/>
        </w:rPr>
        <w:t>služby</w:t>
      </w:r>
      <w:r w:rsidR="00D1594C" w:rsidRPr="00FD5CC8">
        <w:rPr>
          <w:rFonts w:ascii="Times New Roman" w:hAnsi="Times New Roman"/>
          <w:b w:val="0"/>
          <w:sz w:val="22"/>
          <w:szCs w:val="22"/>
        </w:rPr>
        <w:t xml:space="preserve"> v předcházejícím kalendářním měsíci.</w:t>
      </w:r>
    </w:p>
    <w:p w14:paraId="1622BA1E" w14:textId="77777777" w:rsidR="00DF1214" w:rsidRPr="00FD5CC8" w:rsidRDefault="00DF1214" w:rsidP="00FD5CC8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Objednatel se zavazuje zaplatit sjednanou odměnu za poskytnuté právní služby a poradenství </w:t>
      </w:r>
      <w:r w:rsidR="00577226">
        <w:rPr>
          <w:rFonts w:ascii="Times New Roman" w:hAnsi="Times New Roman"/>
          <w:b w:val="0"/>
          <w:bCs w:val="0"/>
          <w:sz w:val="22"/>
          <w:szCs w:val="20"/>
        </w:rPr>
        <w:t>na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základě vystavené faktury. </w:t>
      </w:r>
    </w:p>
    <w:p w14:paraId="1622BA1F" w14:textId="77777777" w:rsidR="003B1998" w:rsidRDefault="00DF1214" w:rsidP="003B1998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 </w:t>
      </w:r>
      <w:r w:rsidR="003B1998" w:rsidRPr="003A6CEC">
        <w:rPr>
          <w:rFonts w:ascii="Times New Roman" w:hAnsi="Times New Roman"/>
          <w:b w:val="0"/>
          <w:sz w:val="22"/>
          <w:szCs w:val="22"/>
        </w:rPr>
        <w:t xml:space="preserve">za 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právní služby 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>spojené s 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komplexním administrativním a právním zajištěním </w:t>
      </w:r>
      <w:r w:rsidR="00C909E8">
        <w:rPr>
          <w:rFonts w:ascii="Times New Roman" w:hAnsi="Times New Roman"/>
          <w:b w:val="0"/>
          <w:sz w:val="22"/>
          <w:szCs w:val="22"/>
        </w:rPr>
        <w:t>zadávacího řízení (dle bodu 2.1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 této Dílčí smlouvy)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bude Porad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cem vystavena řádně v souladu s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§ 11 odst. 1 zákona č. 563/1991 Sb., o účetnictví,</w:t>
      </w:r>
      <w:r w:rsidR="00E24BC2">
        <w:rPr>
          <w:rFonts w:ascii="Times New Roman" w:hAnsi="Times New Roman"/>
          <w:b w:val="0"/>
          <w:bCs w:val="0"/>
          <w:sz w:val="22"/>
          <w:szCs w:val="22"/>
        </w:rPr>
        <w:t xml:space="preserve"> ve znění pozdějších předpisů a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bude obsahovat náležitosti řádného daňového dokladu dle § 28 zákona č. 235/2004 Sb., o dani z přidané hodnoty, ve zn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ění pozdějších předpisů. Faktura bude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označena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názvem 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„Uzavření rámcové smlouvy na poskytování právních služeb pro MPSV – 1. část“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a názvem </w:t>
      </w:r>
      <w:proofErr w:type="spellStart"/>
      <w:r w:rsidR="008E498A">
        <w:rPr>
          <w:rFonts w:ascii="Times New Roman" w:hAnsi="Times New Roman"/>
          <w:b w:val="0"/>
          <w:bCs w:val="0"/>
          <w:sz w:val="22"/>
          <w:szCs w:val="22"/>
        </w:rPr>
        <w:t>minit</w:t>
      </w:r>
      <w:r w:rsidR="00E44D9E">
        <w:rPr>
          <w:rFonts w:ascii="Times New Roman" w:hAnsi="Times New Roman"/>
          <w:b w:val="0"/>
          <w:bCs w:val="0"/>
          <w:sz w:val="22"/>
          <w:szCs w:val="22"/>
        </w:rPr>
        <w:t>endru</w:t>
      </w:r>
      <w:proofErr w:type="spellEnd"/>
      <w:r w:rsidR="00E44D9E">
        <w:rPr>
          <w:rFonts w:ascii="Times New Roman" w:hAnsi="Times New Roman"/>
          <w:b w:val="0"/>
          <w:bCs w:val="0"/>
          <w:sz w:val="22"/>
          <w:szCs w:val="22"/>
        </w:rPr>
        <w:t xml:space="preserve"> a </w:t>
      </w:r>
      <w:r w:rsidR="008E498A">
        <w:rPr>
          <w:rFonts w:ascii="Times New Roman" w:hAnsi="Times New Roman"/>
          <w:b w:val="0"/>
          <w:bCs w:val="0"/>
          <w:sz w:val="22"/>
          <w:szCs w:val="22"/>
        </w:rPr>
        <w:t>dané v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>eřejné zakázky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A4E01" w:rsidRPr="003B1998">
        <w:rPr>
          <w:rFonts w:ascii="Times New Roman" w:hAnsi="Times New Roman"/>
          <w:b w:val="0"/>
          <w:bCs w:val="0"/>
          <w:sz w:val="22"/>
          <w:szCs w:val="22"/>
        </w:rPr>
        <w:t>dle bodu 2.1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této D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ílčí smlouvy. 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Přílohou faktury bude podepsaný protokol</w:t>
      </w:r>
      <w:r w:rsidR="003B1998">
        <w:rPr>
          <w:rFonts w:ascii="Times New Roman" w:hAnsi="Times New Roman"/>
          <w:b w:val="0"/>
          <w:color w:val="000000"/>
          <w:sz w:val="22"/>
          <w:szCs w:val="22"/>
        </w:rPr>
        <w:t xml:space="preserve"> o 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předání veškeré dokumentace k dílčímu plnění.</w:t>
      </w:r>
    </w:p>
    <w:p w14:paraId="1622BA20" w14:textId="77777777" w:rsidR="00DF1214" w:rsidRPr="00FD5CC8" w:rsidRDefault="00DF1214" w:rsidP="00FD5CC8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V případě, že faktura nebude mít náležitosti daňového dokladu nebo nebude obsahovat správné údaje, je Objednatel oprávněn takovou fakturu vrátit Poradci s uvedením konkrétních nedostatků k doplnění údajů a odstranění případných nedostatků v Objednatelem stanovené lhůtě. Nová lhůta pro zaplacení začíná běžet dnem doručení opravené faktury Objednateli.</w:t>
      </w:r>
    </w:p>
    <w:p w14:paraId="1622BA21" w14:textId="77777777" w:rsidR="00DF1214" w:rsidRPr="00FD5CC8" w:rsidRDefault="00DF1214" w:rsidP="00FD5CC8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Splatnost faktur nesmí být kratší než 30 kalendářních dnů ode dne jejich doručení Objednateli. V případě, že bude faktura, resp. opravný daňový doklad Objednateli doručena v období od 12.</w:t>
      </w:r>
      <w:r w:rsidR="0043535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prosince příslušného kalendářního roku do 28. února roku následujícího, je splatnost takové faktury 90 kalendářních dnů od jejího doručení. Faktura, je považována za uhrazenou dnem odepsání příslušné částky z účtu Objednatele a jejím přesměrováním na účet Poradce.</w:t>
      </w:r>
    </w:p>
    <w:p w14:paraId="1622BA22" w14:textId="77777777" w:rsidR="00DF1214" w:rsidRPr="00FD5CC8" w:rsidRDefault="00DF1214" w:rsidP="00FD5CC8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Platby Objednateli budou probíhat výhradně v Kč a rovněž veškeré cenové údaje budou uváděny v této měně. Smluvní strany berou na vědomí, že Objednatel neposkytuje žádné zálohy na poskytování právních služeb a poradenství.</w:t>
      </w:r>
    </w:p>
    <w:p w14:paraId="1622BA23" w14:textId="77777777" w:rsidR="00DF1214" w:rsidRDefault="00DF1214" w:rsidP="001D06DF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lastRenderedPageBreak/>
        <w:t>V případě, že v průběhu plnění na základě této smlouvy bude sazba DPH, platná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br/>
        <w:t>ke dni podpisu této smlouvy, zvýšena nebo snížena, bude poskytovatel účtovat k ceně plnění daň podle aktuálního znění zákona.</w:t>
      </w:r>
    </w:p>
    <w:p w14:paraId="1622BA24" w14:textId="77777777" w:rsidR="008D6BD6" w:rsidRPr="00684880" w:rsidRDefault="00E44D9E" w:rsidP="00A7452E">
      <w:pPr>
        <w:pStyle w:val="Nadpis1"/>
        <w:keepNext w:val="0"/>
        <w:widowControl w:val="0"/>
        <w:numPr>
          <w:ilvl w:val="0"/>
          <w:numId w:val="0"/>
        </w:numPr>
        <w:spacing w:before="72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</w:t>
      </w:r>
      <w:r w:rsidR="008D6BD6">
        <w:rPr>
          <w:rFonts w:ascii="Times New Roman" w:hAnsi="Times New Roman"/>
          <w:sz w:val="22"/>
          <w:szCs w:val="22"/>
          <w:lang w:val="sq-AL"/>
        </w:rPr>
        <w:t>V</w:t>
      </w:r>
      <w:r w:rsidR="008D6BD6" w:rsidRPr="00684880">
        <w:rPr>
          <w:rFonts w:ascii="Times New Roman" w:hAnsi="Times New Roman"/>
          <w:sz w:val="22"/>
          <w:szCs w:val="22"/>
          <w:lang w:val="sq-AL"/>
        </w:rPr>
        <w:t>.</w:t>
      </w:r>
    </w:p>
    <w:p w14:paraId="1622BA25" w14:textId="77777777" w:rsidR="008D6BD6" w:rsidRPr="00977154" w:rsidRDefault="008D6BD6" w:rsidP="001D06DF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Doba trvání Dílčí smlouvy</w:t>
      </w:r>
    </w:p>
    <w:p w14:paraId="1622BA26" w14:textId="77777777" w:rsidR="008D6BD6" w:rsidRPr="00661FBE" w:rsidRDefault="008D6BD6" w:rsidP="001D06DF">
      <w:pPr>
        <w:pStyle w:val="Odstavecseseznamem"/>
        <w:widowControl w:val="0"/>
        <w:numPr>
          <w:ilvl w:val="0"/>
          <w:numId w:val="3"/>
        </w:numPr>
        <w:tabs>
          <w:tab w:val="left" w:pos="0"/>
        </w:tabs>
        <w:spacing w:before="240" w:after="0" w:line="280" w:lineRule="atLeast"/>
        <w:contextualSpacing w:val="0"/>
        <w:jc w:val="both"/>
        <w:outlineLvl w:val="0"/>
        <w:rPr>
          <w:rFonts w:ascii="Times New Roman" w:hAnsi="Times New Roman"/>
          <w:vanish/>
          <w:kern w:val="32"/>
          <w:szCs w:val="20"/>
          <w:lang w:eastAsia="cs-CZ"/>
        </w:rPr>
      </w:pPr>
    </w:p>
    <w:p w14:paraId="1622BA27" w14:textId="77777777" w:rsidR="008D6BD6" w:rsidRPr="008D6BD6" w:rsidRDefault="008D6BD6" w:rsidP="00D46790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 w:rsidRPr="008D6BD6">
        <w:rPr>
          <w:rFonts w:ascii="Times New Roman" w:hAnsi="Times New Roman"/>
          <w:b w:val="0"/>
          <w:color w:val="000000"/>
          <w:sz w:val="22"/>
          <w:szCs w:val="22"/>
        </w:rPr>
        <w:t>Tato Smlouva se uzavírá na dobu určitou</w:t>
      </w:r>
      <w:r>
        <w:rPr>
          <w:rFonts w:ascii="Times New Roman" w:hAnsi="Times New Roman"/>
          <w:b w:val="0"/>
          <w:color w:val="000000"/>
          <w:sz w:val="22"/>
          <w:szCs w:val="22"/>
        </w:rPr>
        <w:t>, a to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do 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>ukončení administr</w:t>
      </w:r>
      <w:r w:rsidR="00A52A3B">
        <w:rPr>
          <w:rFonts w:ascii="Times New Roman" w:hAnsi="Times New Roman"/>
          <w:b w:val="0"/>
          <w:color w:val="000000"/>
          <w:sz w:val="22"/>
          <w:szCs w:val="22"/>
        </w:rPr>
        <w:t>ovaného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zadávací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>h</w:t>
      </w:r>
      <w:r w:rsidR="00A52A3B">
        <w:rPr>
          <w:rFonts w:ascii="Times New Roman" w:hAnsi="Times New Roman"/>
          <w:b w:val="0"/>
          <w:color w:val="000000"/>
          <w:sz w:val="22"/>
          <w:szCs w:val="22"/>
        </w:rPr>
        <w:t>o</w:t>
      </w:r>
      <w:r w:rsidR="009F559F">
        <w:rPr>
          <w:rFonts w:ascii="Times New Roman" w:hAnsi="Times New Roman"/>
          <w:b w:val="0"/>
          <w:color w:val="000000"/>
          <w:sz w:val="22"/>
          <w:szCs w:val="22"/>
        </w:rPr>
        <w:t xml:space="preserve"> řízení a 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 xml:space="preserve">splnění všech povinností </w:t>
      </w:r>
      <w:r>
        <w:rPr>
          <w:rFonts w:ascii="Times New Roman" w:hAnsi="Times New Roman"/>
          <w:b w:val="0"/>
          <w:color w:val="000000"/>
          <w:sz w:val="22"/>
          <w:szCs w:val="22"/>
        </w:rPr>
        <w:t>Poradce, tj. předání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 xml:space="preserve"> dokumentace o </w:t>
      </w:r>
      <w:r>
        <w:rPr>
          <w:rFonts w:ascii="Times New Roman" w:hAnsi="Times New Roman"/>
          <w:b w:val="0"/>
          <w:color w:val="000000"/>
          <w:sz w:val="22"/>
          <w:szCs w:val="22"/>
        </w:rPr>
        <w:t>veřejné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 xml:space="preserve"> zakáz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ce </w:t>
      </w:r>
      <w:r w:rsidRPr="008D6BD6">
        <w:rPr>
          <w:rFonts w:ascii="Times New Roman" w:hAnsi="Times New Roman"/>
          <w:b w:val="0"/>
          <w:color w:val="000000"/>
          <w:sz w:val="22"/>
          <w:szCs w:val="22"/>
        </w:rPr>
        <w:t>a následným zaplacením odměny.</w:t>
      </w:r>
    </w:p>
    <w:p w14:paraId="1622BA28" w14:textId="77777777" w:rsidR="00435358" w:rsidRPr="00684880" w:rsidRDefault="00435358" w:rsidP="00A7452E">
      <w:pPr>
        <w:pStyle w:val="Nadpis1"/>
        <w:keepNext w:val="0"/>
        <w:widowControl w:val="0"/>
        <w:numPr>
          <w:ilvl w:val="0"/>
          <w:numId w:val="0"/>
        </w:numPr>
        <w:spacing w:before="72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V</w:t>
      </w:r>
      <w:r w:rsidR="00306EB0"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14:paraId="1622BA29" w14:textId="77777777" w:rsidR="00435358" w:rsidRPr="00977154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Závěrečná ustanovení</w:t>
      </w:r>
    </w:p>
    <w:p w14:paraId="1622BA2A" w14:textId="77777777" w:rsidR="00435358" w:rsidRPr="00661FBE" w:rsidRDefault="00435358" w:rsidP="00D46790">
      <w:pPr>
        <w:pStyle w:val="Odstavecseseznamem"/>
        <w:widowControl w:val="0"/>
        <w:numPr>
          <w:ilvl w:val="0"/>
          <w:numId w:val="3"/>
        </w:numPr>
        <w:tabs>
          <w:tab w:val="left" w:pos="0"/>
        </w:tabs>
        <w:spacing w:before="240" w:after="0" w:line="280" w:lineRule="atLeast"/>
        <w:contextualSpacing w:val="0"/>
        <w:jc w:val="both"/>
        <w:outlineLvl w:val="0"/>
        <w:rPr>
          <w:rFonts w:ascii="Times New Roman" w:hAnsi="Times New Roman"/>
          <w:vanish/>
          <w:kern w:val="32"/>
          <w:szCs w:val="20"/>
          <w:lang w:eastAsia="cs-CZ"/>
        </w:rPr>
      </w:pPr>
    </w:p>
    <w:p w14:paraId="1622BA2B" w14:textId="77777777" w:rsidR="00435358" w:rsidRDefault="00786987" w:rsidP="00D46790">
      <w:pPr>
        <w:pStyle w:val="Nadpis1"/>
        <w:keepNext w:val="0"/>
        <w:widowControl w:val="0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Práva a povinnosti obou smluvních stran souvisejíc</w:t>
      </w:r>
      <w:r w:rsidR="00C8365A">
        <w:rPr>
          <w:rFonts w:ascii="Times New Roman" w:hAnsi="Times New Roman"/>
          <w:b w:val="0"/>
          <w:sz w:val="22"/>
          <w:szCs w:val="20"/>
        </w:rPr>
        <w:t>í s poskytováním předmětu plnění</w:t>
      </w:r>
      <w:r>
        <w:rPr>
          <w:rFonts w:ascii="Times New Roman" w:hAnsi="Times New Roman"/>
          <w:b w:val="0"/>
          <w:sz w:val="22"/>
          <w:szCs w:val="20"/>
        </w:rPr>
        <w:t xml:space="preserve"> dle této Dílčí smlouvy se řídí Rámcovou smlouvou, není-li v této Dílčí smlouvě výslovně stanoveno jinak</w:t>
      </w:r>
      <w:r w:rsidR="00435358" w:rsidRPr="00977154">
        <w:rPr>
          <w:rFonts w:ascii="Times New Roman" w:hAnsi="Times New Roman"/>
          <w:b w:val="0"/>
          <w:sz w:val="22"/>
          <w:szCs w:val="20"/>
        </w:rPr>
        <w:t>.</w:t>
      </w:r>
    </w:p>
    <w:p w14:paraId="1622BA2C" w14:textId="77777777" w:rsidR="00786987" w:rsidRDefault="00786987" w:rsidP="00786987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Tato Dílčí s</w:t>
      </w:r>
      <w:r w:rsidRPr="00786987">
        <w:rPr>
          <w:rFonts w:ascii="Times New Roman" w:hAnsi="Times New Roman"/>
          <w:b w:val="0"/>
          <w:sz w:val="22"/>
          <w:szCs w:val="20"/>
        </w:rPr>
        <w:t>mlouva je vyhotovena v</w:t>
      </w:r>
      <w:r>
        <w:rPr>
          <w:rFonts w:ascii="Times New Roman" w:hAnsi="Times New Roman"/>
          <w:b w:val="0"/>
          <w:sz w:val="22"/>
          <w:szCs w:val="20"/>
        </w:rPr>
        <w:t>e</w:t>
      </w:r>
      <w:r w:rsidRPr="00786987">
        <w:rPr>
          <w:rFonts w:ascii="Times New Roman" w:hAnsi="Times New Roman"/>
          <w:b w:val="0"/>
          <w:sz w:val="22"/>
          <w:szCs w:val="20"/>
        </w:rPr>
        <w:t> </w:t>
      </w:r>
      <w:r>
        <w:rPr>
          <w:rFonts w:ascii="Times New Roman" w:hAnsi="Times New Roman"/>
          <w:b w:val="0"/>
          <w:sz w:val="22"/>
          <w:szCs w:val="20"/>
        </w:rPr>
        <w:t>třech (3)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stejnopisech s platností originálu, z nichž </w:t>
      </w:r>
      <w:r>
        <w:rPr>
          <w:rFonts w:ascii="Times New Roman" w:hAnsi="Times New Roman"/>
          <w:b w:val="0"/>
          <w:sz w:val="22"/>
          <w:szCs w:val="20"/>
        </w:rPr>
        <w:t>dva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(</w:t>
      </w:r>
      <w:r>
        <w:rPr>
          <w:rFonts w:ascii="Times New Roman" w:hAnsi="Times New Roman"/>
          <w:b w:val="0"/>
          <w:sz w:val="22"/>
          <w:szCs w:val="20"/>
        </w:rPr>
        <w:t>2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) obdrží Objednatel a </w:t>
      </w:r>
      <w:r>
        <w:rPr>
          <w:rFonts w:ascii="Times New Roman" w:hAnsi="Times New Roman"/>
          <w:b w:val="0"/>
          <w:sz w:val="22"/>
          <w:szCs w:val="20"/>
        </w:rPr>
        <w:t>jeden (1) Poradce.</w:t>
      </w:r>
    </w:p>
    <w:p w14:paraId="1622BA2D" w14:textId="77777777" w:rsidR="00786987" w:rsidRDefault="00786987" w:rsidP="00786987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786987">
        <w:rPr>
          <w:rFonts w:ascii="Times New Roman" w:hAnsi="Times New Roman"/>
          <w:b w:val="0"/>
          <w:sz w:val="22"/>
          <w:szCs w:val="20"/>
        </w:rPr>
        <w:t xml:space="preserve">Smluvní strany prohlašují, že si tuto </w:t>
      </w:r>
      <w:r>
        <w:rPr>
          <w:rFonts w:ascii="Times New Roman" w:hAnsi="Times New Roman"/>
          <w:b w:val="0"/>
          <w:sz w:val="22"/>
          <w:szCs w:val="20"/>
        </w:rPr>
        <w:t>Dílčí s</w:t>
      </w:r>
      <w:r w:rsidRPr="00786987">
        <w:rPr>
          <w:rFonts w:ascii="Times New Roman" w:hAnsi="Times New Roman"/>
          <w:b w:val="0"/>
          <w:sz w:val="22"/>
          <w:szCs w:val="20"/>
        </w:rPr>
        <w:t>mlouvu přečetly, jejímu obsahu porozuměly a bez výhrad s ním souhlasí, na důkaz čehož připojují jejich oprávnění zástupci své podpisy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14:paraId="1622BA2E" w14:textId="77777777" w:rsidR="009903F4" w:rsidRDefault="009903F4" w:rsidP="00141F18">
      <w:pPr>
        <w:spacing w:after="0" w:line="280" w:lineRule="atLeast"/>
        <w:rPr>
          <w:lang w:eastAsia="cs-CZ"/>
        </w:rPr>
      </w:pPr>
    </w:p>
    <w:p w14:paraId="1622BA2F" w14:textId="77777777" w:rsidR="00FF0301" w:rsidRPr="009903F4" w:rsidRDefault="00FF0301" w:rsidP="00141F18">
      <w:pPr>
        <w:spacing w:after="0" w:line="280" w:lineRule="atLeast"/>
        <w:rPr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60EBE" w14:paraId="1622BA32" w14:textId="77777777" w:rsidTr="00960EBE">
        <w:tc>
          <w:tcPr>
            <w:tcW w:w="4605" w:type="dxa"/>
          </w:tcPr>
          <w:p w14:paraId="1622BA30" w14:textId="77777777"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14:paraId="1622BA31" w14:textId="77777777"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Poradce</w:t>
            </w:r>
          </w:p>
        </w:tc>
      </w:tr>
      <w:tr w:rsidR="00960EBE" w14:paraId="1622BA37" w14:textId="77777777" w:rsidTr="00960EBE">
        <w:tc>
          <w:tcPr>
            <w:tcW w:w="4605" w:type="dxa"/>
          </w:tcPr>
          <w:p w14:paraId="1622BA33" w14:textId="77777777"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622BA34" w14:textId="77777777"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_______ </w:t>
            </w:r>
            <w:proofErr w:type="gramStart"/>
            <w:r w:rsidRPr="00423B93">
              <w:rPr>
                <w:rFonts w:ascii="Times New Roman" w:hAnsi="Times New Roman"/>
              </w:rPr>
              <w:t>dne __.__.______</w:t>
            </w:r>
            <w:proofErr w:type="gramEnd"/>
          </w:p>
        </w:tc>
        <w:tc>
          <w:tcPr>
            <w:tcW w:w="4605" w:type="dxa"/>
          </w:tcPr>
          <w:p w14:paraId="1622BA35" w14:textId="77777777"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622BA36" w14:textId="74EDF254" w:rsidR="00960EBE" w:rsidRPr="00423B93" w:rsidRDefault="00960EBE" w:rsidP="0059604C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234210"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</w:t>
            </w:r>
            <w:r w:rsidR="00234210">
              <w:rPr>
                <w:rFonts w:ascii="Times New Roman" w:hAnsi="Times New Roman"/>
              </w:rPr>
              <w:t xml:space="preserve"> </w:t>
            </w:r>
            <w:proofErr w:type="gramStart"/>
            <w:r w:rsidR="0059604C">
              <w:rPr>
                <w:rFonts w:ascii="Times New Roman" w:hAnsi="Times New Roman"/>
              </w:rPr>
              <w:t>12</w:t>
            </w:r>
            <w:r w:rsidR="00234210">
              <w:rPr>
                <w:rFonts w:ascii="Times New Roman" w:hAnsi="Times New Roman"/>
              </w:rPr>
              <w:t>.12.2016</w:t>
            </w:r>
            <w:proofErr w:type="gramEnd"/>
          </w:p>
        </w:tc>
      </w:tr>
      <w:tr w:rsidR="00960EBE" w14:paraId="1622BA44" w14:textId="77777777" w:rsidTr="00960EBE">
        <w:tc>
          <w:tcPr>
            <w:tcW w:w="4605" w:type="dxa"/>
          </w:tcPr>
          <w:p w14:paraId="1622BA38" w14:textId="77777777"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622BA39" w14:textId="77777777"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622BA3A" w14:textId="77777777" w:rsidR="00960EBE" w:rsidRPr="00423B93" w:rsidRDefault="00960EBE" w:rsidP="003B7867">
            <w:pPr>
              <w:widowControl w:val="0"/>
              <w:tabs>
                <w:tab w:val="left" w:pos="4253"/>
              </w:tabs>
              <w:spacing w:line="280" w:lineRule="atLeast"/>
              <w:ind w:left="142" w:right="136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1622BA3B" w14:textId="77777777" w:rsidR="00960EBE" w:rsidRPr="00423B93" w:rsidRDefault="00960EBE" w:rsidP="003B7867">
            <w:pPr>
              <w:widowControl w:val="0"/>
              <w:tabs>
                <w:tab w:val="left" w:pos="4253"/>
              </w:tabs>
              <w:spacing w:line="280" w:lineRule="atLeast"/>
              <w:ind w:left="142" w:right="136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14:paraId="1622BA3C" w14:textId="77777777" w:rsidR="00960EBE" w:rsidRPr="00423B93" w:rsidRDefault="009F559F" w:rsidP="003B7867">
            <w:pPr>
              <w:widowControl w:val="0"/>
              <w:tabs>
                <w:tab w:val="left" w:pos="4253"/>
              </w:tabs>
              <w:spacing w:before="120" w:line="280" w:lineRule="atLeast"/>
              <w:ind w:left="142" w:right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14:paraId="1622BA3D" w14:textId="77777777" w:rsidR="003B7867" w:rsidRDefault="003B7867" w:rsidP="003B7867">
            <w:pPr>
              <w:widowControl w:val="0"/>
              <w:tabs>
                <w:tab w:val="left" w:pos="4253"/>
              </w:tabs>
              <w:spacing w:line="280" w:lineRule="atLeast"/>
              <w:ind w:left="142" w:right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</w:t>
            </w:r>
            <w:r w:rsidR="00D1594C">
              <w:rPr>
                <w:rFonts w:ascii="Times New Roman" w:hAnsi="Times New Roman"/>
              </w:rPr>
              <w:t xml:space="preserve"> odboru centrálních nákupů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622BA3E" w14:textId="77777777" w:rsidR="00960EBE" w:rsidRPr="00423B93" w:rsidRDefault="003B7867" w:rsidP="003B7867">
            <w:pPr>
              <w:widowControl w:val="0"/>
              <w:tabs>
                <w:tab w:val="left" w:pos="4253"/>
              </w:tabs>
              <w:spacing w:line="280" w:lineRule="atLeast"/>
              <w:ind w:left="142" w:right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14:paraId="1622BA3F" w14:textId="77777777"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622BA40" w14:textId="77777777"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622BA41" w14:textId="77777777"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52CB0F91" w14:textId="77777777" w:rsidR="00234210" w:rsidRPr="00C61E8F" w:rsidRDefault="00234210" w:rsidP="00234210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C61E8F">
              <w:rPr>
                <w:rFonts w:ascii="Times New Roman" w:hAnsi="Times New Roman"/>
                <w:b/>
                <w:bCs/>
                <w:iCs/>
              </w:rPr>
              <w:t>ROWAN LEGAL, advokátní kancelář s.r.o</w:t>
            </w:r>
            <w:r w:rsidRPr="00C61E8F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5320FFA6" w14:textId="77777777" w:rsidR="00234210" w:rsidRPr="00C61E8F" w:rsidRDefault="00234210" w:rsidP="00234210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 w:rsidRPr="00C61E8F">
              <w:rPr>
                <w:rFonts w:ascii="Times New Roman" w:hAnsi="Times New Roman"/>
              </w:rPr>
              <w:t xml:space="preserve">JUDr. Vilém Podešva, LLM </w:t>
            </w:r>
          </w:p>
          <w:p w14:paraId="1622BA43" w14:textId="33FC5235" w:rsidR="00960EBE" w:rsidRPr="00423B93" w:rsidRDefault="00234210" w:rsidP="00234210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 w:rsidRPr="00C61E8F">
              <w:rPr>
                <w:rFonts w:ascii="Times New Roman" w:hAnsi="Times New Roman"/>
              </w:rPr>
              <w:t>advokát a jednatel ROWAN LEGAL, advokátní kancelář s.r.o., vedoucí člen Sdružení ROTGO</w:t>
            </w:r>
          </w:p>
        </w:tc>
      </w:tr>
    </w:tbl>
    <w:p w14:paraId="1622BA45" w14:textId="77777777" w:rsidR="00CE6755" w:rsidRPr="00786987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="Times New Roman" w:hAnsi="Times New Roman"/>
          <w:b w:val="0"/>
          <w:bCs w:val="0"/>
          <w:sz w:val="22"/>
          <w:szCs w:val="20"/>
        </w:rPr>
      </w:pPr>
    </w:p>
    <w:sectPr w:rsidR="00CE6755" w:rsidRPr="00786987" w:rsidSect="00C95FF1">
      <w:footerReference w:type="default" r:id="rId12"/>
      <w:headerReference w:type="first" r:id="rId13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2BA48" w14:textId="77777777" w:rsidR="0064560C" w:rsidRDefault="0064560C" w:rsidP="00BB0DF9">
      <w:pPr>
        <w:spacing w:after="0" w:line="240" w:lineRule="auto"/>
      </w:pPr>
      <w:r>
        <w:separator/>
      </w:r>
    </w:p>
  </w:endnote>
  <w:endnote w:type="continuationSeparator" w:id="0">
    <w:p w14:paraId="1622BA49" w14:textId="77777777" w:rsidR="0064560C" w:rsidRDefault="0064560C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22BA4A" w14:textId="77777777"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1622BA4B" w14:textId="77777777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0D6244">
              <w:rPr>
                <w:rFonts w:ascii="Times New Roman" w:hAnsi="Times New Roman"/>
                <w:noProof/>
                <w:sz w:val="20"/>
                <w:szCs w:val="18"/>
              </w:rPr>
              <w:t>6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0D6244">
              <w:rPr>
                <w:rFonts w:ascii="Times New Roman" w:hAnsi="Times New Roman"/>
                <w:noProof/>
                <w:sz w:val="20"/>
                <w:szCs w:val="18"/>
              </w:rPr>
              <w:t>6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1622BA4C" w14:textId="77777777" w:rsidR="000B7516" w:rsidRPr="000B7516" w:rsidRDefault="000D6244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1622BA4D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2BA46" w14:textId="77777777" w:rsidR="0064560C" w:rsidRDefault="0064560C" w:rsidP="00BB0DF9">
      <w:pPr>
        <w:spacing w:after="0" w:line="240" w:lineRule="auto"/>
      </w:pPr>
      <w:r>
        <w:separator/>
      </w:r>
    </w:p>
  </w:footnote>
  <w:footnote w:type="continuationSeparator" w:id="0">
    <w:p w14:paraId="1622BA47" w14:textId="77777777" w:rsidR="0064560C" w:rsidRDefault="0064560C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2BA4E" w14:textId="77777777" w:rsidR="00BB0DF9" w:rsidRPr="001C4C46" w:rsidRDefault="00BB0DF9" w:rsidP="00BB0DF9">
    <w:pPr>
      <w:pStyle w:val="Zhlav"/>
      <w:jc w:val="center"/>
      <w:rPr>
        <w:rFonts w:ascii="Times New Roman" w:hAnsi="Times New Roman"/>
        <w:bCs/>
        <w:sz w:val="16"/>
      </w:rPr>
    </w:pPr>
    <w:r w:rsidRPr="001C4C46">
      <w:rPr>
        <w:rFonts w:ascii="Times New Roman" w:hAnsi="Times New Roman"/>
        <w:bCs/>
        <w:sz w:val="16"/>
        <w:szCs w:val="20"/>
      </w:rPr>
      <w:t xml:space="preserve">Uzavření rámcové smlouvy na poskytování právních služeb pro </w:t>
    </w:r>
    <w:r w:rsidR="00F112F6">
      <w:rPr>
        <w:rFonts w:ascii="Times New Roman" w:hAnsi="Times New Roman"/>
        <w:bCs/>
        <w:sz w:val="16"/>
        <w:szCs w:val="20"/>
      </w:rPr>
      <w:t>MPSV</w:t>
    </w:r>
    <w:r w:rsidRPr="001C4C46">
      <w:rPr>
        <w:rFonts w:ascii="Times New Roman" w:hAnsi="Times New Roman"/>
        <w:bCs/>
        <w:sz w:val="16"/>
        <w:szCs w:val="20"/>
      </w:rPr>
      <w:t xml:space="preserve"> – 1. </w:t>
    </w:r>
    <w:r w:rsidRPr="001C4C46">
      <w:rPr>
        <w:rFonts w:ascii="Times New Roman" w:hAnsi="Times New Roman"/>
        <w:bCs/>
        <w:sz w:val="16"/>
      </w:rPr>
      <w:t>č</w:t>
    </w:r>
    <w:r w:rsidRPr="001C4C46">
      <w:rPr>
        <w:rFonts w:ascii="Times New Roman" w:hAnsi="Times New Roman"/>
        <w:bCs/>
        <w:sz w:val="16"/>
        <w:szCs w:val="20"/>
      </w:rPr>
      <w:t>ást</w:t>
    </w:r>
  </w:p>
  <w:p w14:paraId="1622BA4F" w14:textId="77777777" w:rsidR="00BB0DF9" w:rsidRPr="00233128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F112F6">
      <w:rPr>
        <w:rFonts w:ascii="Times New Roman" w:hAnsi="Times New Roman"/>
        <w:sz w:val="16"/>
        <w:szCs w:val="16"/>
      </w:rPr>
      <w:t xml:space="preserve">Minitendr </w:t>
    </w:r>
    <w:r w:rsidR="00F112F6">
      <w:rPr>
        <w:rFonts w:ascii="Times New Roman" w:hAnsi="Times New Roman"/>
        <w:sz w:val="16"/>
        <w:szCs w:val="16"/>
      </w:rPr>
      <w:t xml:space="preserve"> - </w:t>
    </w:r>
    <w:r w:rsidRPr="00233128">
      <w:rPr>
        <w:rFonts w:ascii="Times New Roman" w:hAnsi="Times New Roman"/>
        <w:bCs/>
        <w:sz w:val="16"/>
        <w:szCs w:val="20"/>
      </w:rPr>
      <w:t>„</w:t>
    </w:r>
    <w:r w:rsidR="0020300C" w:rsidRPr="00FC7510">
      <w:rPr>
        <w:rFonts w:ascii="Times New Roman" w:hAnsi="Times New Roman"/>
        <w:bCs/>
        <w:sz w:val="16"/>
        <w:szCs w:val="16"/>
      </w:rPr>
      <w:t xml:space="preserve">Zajištění migračních a přechodových služeb </w:t>
    </w:r>
    <w:proofErr w:type="spellStart"/>
    <w:r w:rsidR="0020300C" w:rsidRPr="00FC7510">
      <w:rPr>
        <w:rFonts w:ascii="Times New Roman" w:hAnsi="Times New Roman"/>
        <w:bCs/>
        <w:sz w:val="16"/>
        <w:szCs w:val="16"/>
      </w:rPr>
      <w:t>OKaplikací</w:t>
    </w:r>
    <w:proofErr w:type="spellEnd"/>
    <w:r w:rsidR="0020300C" w:rsidRPr="00FC7510">
      <w:rPr>
        <w:rFonts w:ascii="Times New Roman" w:hAnsi="Times New Roman"/>
        <w:bCs/>
        <w:sz w:val="16"/>
        <w:szCs w:val="16"/>
      </w:rPr>
      <w:t xml:space="preserve"> pro MPSV</w:t>
    </w:r>
    <w:r w:rsidRPr="00233128">
      <w:rPr>
        <w:rFonts w:ascii="Times New Roman" w:hAnsi="Times New Roman"/>
        <w:bCs/>
        <w:sz w:val="16"/>
        <w:szCs w:val="20"/>
      </w:rPr>
      <w:t>“</w:t>
    </w:r>
  </w:p>
  <w:p w14:paraId="1622BA50" w14:textId="77777777" w:rsidR="00BB0DF9" w:rsidRDefault="00BB0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E224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A036E2"/>
    <w:multiLevelType w:val="multilevel"/>
    <w:tmpl w:val="C71E5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8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456D84"/>
    <w:multiLevelType w:val="hybridMultilevel"/>
    <w:tmpl w:val="5F6073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9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61BC8"/>
    <w:rsid w:val="000836DD"/>
    <w:rsid w:val="000944C1"/>
    <w:rsid w:val="000B7516"/>
    <w:rsid w:val="000D6244"/>
    <w:rsid w:val="000F09E1"/>
    <w:rsid w:val="00120BE0"/>
    <w:rsid w:val="00132E54"/>
    <w:rsid w:val="00134895"/>
    <w:rsid w:val="00141F18"/>
    <w:rsid w:val="00142A92"/>
    <w:rsid w:val="0014595B"/>
    <w:rsid w:val="00174C0F"/>
    <w:rsid w:val="001B36A4"/>
    <w:rsid w:val="001C185F"/>
    <w:rsid w:val="001C38B3"/>
    <w:rsid w:val="001D06DF"/>
    <w:rsid w:val="001E701C"/>
    <w:rsid w:val="001F7807"/>
    <w:rsid w:val="0020300C"/>
    <w:rsid w:val="002134A9"/>
    <w:rsid w:val="0021630F"/>
    <w:rsid w:val="00221460"/>
    <w:rsid w:val="00223F07"/>
    <w:rsid w:val="00233128"/>
    <w:rsid w:val="00234210"/>
    <w:rsid w:val="00241790"/>
    <w:rsid w:val="00245E19"/>
    <w:rsid w:val="002537B2"/>
    <w:rsid w:val="002A517C"/>
    <w:rsid w:val="002C5394"/>
    <w:rsid w:val="003024B6"/>
    <w:rsid w:val="00305E7D"/>
    <w:rsid w:val="00306EB0"/>
    <w:rsid w:val="00314830"/>
    <w:rsid w:val="00320743"/>
    <w:rsid w:val="00356865"/>
    <w:rsid w:val="00365577"/>
    <w:rsid w:val="00365AAA"/>
    <w:rsid w:val="003811E6"/>
    <w:rsid w:val="00394491"/>
    <w:rsid w:val="00396A36"/>
    <w:rsid w:val="003A6CEC"/>
    <w:rsid w:val="003B1998"/>
    <w:rsid w:val="003B7867"/>
    <w:rsid w:val="00414850"/>
    <w:rsid w:val="00435358"/>
    <w:rsid w:val="00453BDF"/>
    <w:rsid w:val="0048083B"/>
    <w:rsid w:val="00495B5D"/>
    <w:rsid w:val="004A5349"/>
    <w:rsid w:val="004A61A3"/>
    <w:rsid w:val="004B2FCA"/>
    <w:rsid w:val="004E1463"/>
    <w:rsid w:val="004E2B0E"/>
    <w:rsid w:val="004F569C"/>
    <w:rsid w:val="0053349A"/>
    <w:rsid w:val="00533831"/>
    <w:rsid w:val="0053385C"/>
    <w:rsid w:val="0056769C"/>
    <w:rsid w:val="005721EA"/>
    <w:rsid w:val="00577226"/>
    <w:rsid w:val="0058729B"/>
    <w:rsid w:val="0059604C"/>
    <w:rsid w:val="00641F2B"/>
    <w:rsid w:val="006455EE"/>
    <w:rsid w:val="0064560C"/>
    <w:rsid w:val="006472FF"/>
    <w:rsid w:val="00661FBE"/>
    <w:rsid w:val="00672620"/>
    <w:rsid w:val="006E2F0F"/>
    <w:rsid w:val="006F13D7"/>
    <w:rsid w:val="0070022C"/>
    <w:rsid w:val="007018A6"/>
    <w:rsid w:val="00710DBE"/>
    <w:rsid w:val="00714B57"/>
    <w:rsid w:val="00715F51"/>
    <w:rsid w:val="007252D0"/>
    <w:rsid w:val="00727D76"/>
    <w:rsid w:val="007349DD"/>
    <w:rsid w:val="0074122C"/>
    <w:rsid w:val="0076411B"/>
    <w:rsid w:val="00781CC3"/>
    <w:rsid w:val="00786987"/>
    <w:rsid w:val="00792C67"/>
    <w:rsid w:val="00793C38"/>
    <w:rsid w:val="007B101E"/>
    <w:rsid w:val="007B6B1A"/>
    <w:rsid w:val="007D4586"/>
    <w:rsid w:val="007E5F6A"/>
    <w:rsid w:val="00807D9C"/>
    <w:rsid w:val="00814F5B"/>
    <w:rsid w:val="00822B54"/>
    <w:rsid w:val="00831008"/>
    <w:rsid w:val="00862A33"/>
    <w:rsid w:val="008755FA"/>
    <w:rsid w:val="00877C81"/>
    <w:rsid w:val="00881600"/>
    <w:rsid w:val="008A145A"/>
    <w:rsid w:val="008A2B29"/>
    <w:rsid w:val="008C51C5"/>
    <w:rsid w:val="008D6BD6"/>
    <w:rsid w:val="008E498A"/>
    <w:rsid w:val="008E4FDE"/>
    <w:rsid w:val="008F1523"/>
    <w:rsid w:val="008F6112"/>
    <w:rsid w:val="00914A56"/>
    <w:rsid w:val="0092054C"/>
    <w:rsid w:val="00925136"/>
    <w:rsid w:val="0093315E"/>
    <w:rsid w:val="00960EBE"/>
    <w:rsid w:val="00977154"/>
    <w:rsid w:val="00982753"/>
    <w:rsid w:val="00983DB4"/>
    <w:rsid w:val="00985EAC"/>
    <w:rsid w:val="009903F4"/>
    <w:rsid w:val="009A40F9"/>
    <w:rsid w:val="009B6177"/>
    <w:rsid w:val="009E42EE"/>
    <w:rsid w:val="009E57C8"/>
    <w:rsid w:val="009F08E0"/>
    <w:rsid w:val="009F3439"/>
    <w:rsid w:val="009F559F"/>
    <w:rsid w:val="00A44CA7"/>
    <w:rsid w:val="00A52A3B"/>
    <w:rsid w:val="00A71805"/>
    <w:rsid w:val="00A7452E"/>
    <w:rsid w:val="00A74D76"/>
    <w:rsid w:val="00A75B76"/>
    <w:rsid w:val="00AB7800"/>
    <w:rsid w:val="00AC1C43"/>
    <w:rsid w:val="00B32B05"/>
    <w:rsid w:val="00B509C9"/>
    <w:rsid w:val="00BA3B2F"/>
    <w:rsid w:val="00BB0DF9"/>
    <w:rsid w:val="00BB4F5E"/>
    <w:rsid w:val="00BF12D0"/>
    <w:rsid w:val="00BF424B"/>
    <w:rsid w:val="00BF4EFA"/>
    <w:rsid w:val="00BF5EE0"/>
    <w:rsid w:val="00C30F3C"/>
    <w:rsid w:val="00C36E30"/>
    <w:rsid w:val="00C40BA6"/>
    <w:rsid w:val="00C53A99"/>
    <w:rsid w:val="00C53B65"/>
    <w:rsid w:val="00C610DE"/>
    <w:rsid w:val="00C8365A"/>
    <w:rsid w:val="00C909E8"/>
    <w:rsid w:val="00C95FF1"/>
    <w:rsid w:val="00CC2D7E"/>
    <w:rsid w:val="00CC3E79"/>
    <w:rsid w:val="00CE6755"/>
    <w:rsid w:val="00CE6BE2"/>
    <w:rsid w:val="00CF209D"/>
    <w:rsid w:val="00D12E5C"/>
    <w:rsid w:val="00D1594C"/>
    <w:rsid w:val="00D315CF"/>
    <w:rsid w:val="00D46790"/>
    <w:rsid w:val="00D5499F"/>
    <w:rsid w:val="00D57E0E"/>
    <w:rsid w:val="00DA63AD"/>
    <w:rsid w:val="00DD6FA4"/>
    <w:rsid w:val="00DF1214"/>
    <w:rsid w:val="00E24BC2"/>
    <w:rsid w:val="00E33F71"/>
    <w:rsid w:val="00E44D9E"/>
    <w:rsid w:val="00E53487"/>
    <w:rsid w:val="00E65671"/>
    <w:rsid w:val="00E85F49"/>
    <w:rsid w:val="00E95DF0"/>
    <w:rsid w:val="00EB7290"/>
    <w:rsid w:val="00EC36CF"/>
    <w:rsid w:val="00EC5BCA"/>
    <w:rsid w:val="00EC74AA"/>
    <w:rsid w:val="00EF48E1"/>
    <w:rsid w:val="00EF4B8A"/>
    <w:rsid w:val="00F112F6"/>
    <w:rsid w:val="00F36FE7"/>
    <w:rsid w:val="00F66470"/>
    <w:rsid w:val="00F8402F"/>
    <w:rsid w:val="00F97D2C"/>
    <w:rsid w:val="00FA051E"/>
    <w:rsid w:val="00FA4E01"/>
    <w:rsid w:val="00FC7510"/>
    <w:rsid w:val="00FD2087"/>
    <w:rsid w:val="00FD5CC8"/>
    <w:rsid w:val="00FE1692"/>
    <w:rsid w:val="00FE16DF"/>
    <w:rsid w:val="00FE534F"/>
    <w:rsid w:val="00FE5CF4"/>
    <w:rsid w:val="00FF030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B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05174C901C4F9A986B1B9C2D8526" ma:contentTypeVersion="23" ma:contentTypeDescription="Create a new document." ma:contentTypeScope="" ma:versionID="834091d8702d80d5315956408f05eed4">
  <xsd:schema xmlns:xsd="http://www.w3.org/2001/XMLSchema" xmlns:xs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fc9cfd0106ed1efd52014b57c779d0e0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 minOccurs="0"/>
                <xsd:element ref="ns2:Document_x0020_State" minOccurs="0"/>
                <xsd:element ref="ns2:Category1" minOccurs="0"/>
                <xsd:element ref="ns3:_Source" minOccurs="0"/>
                <xsd:element ref="ns2:Procedural_x0020_State" minOccurs="0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6c5c-474c-4ef7-b7d6-59a0e77cc256" elementFormDefault="qualified">
    <xsd:import namespace="http://schemas.microsoft.com/office/2006/documentManagement/types"/>
    <xsd:import namespace="http://schemas.microsoft.com/office/infopath/2007/PartnerControls"/>
    <xsd:element name="English_x0020_Title" ma:index="8" nillable="true" ma:displayName="English Title" ma:internalName="English_x0020_Title" ma:readOnly="false">
      <xsd:simpleType>
        <xsd:restriction base="dms:Text">
          <xsd:maxLength value="255"/>
        </xsd:restriction>
      </xsd:simpleType>
    </xsd:element>
    <xsd:element name="Document_x0020_State" ma:index="9" nillable="true" ma:displayName="Document State" ma:format="Dropdown" ma:internalName="Document_x0020_State" ma:readOnly="fals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nillable="true" ma:displayName="Category" ma:format="Dropdown" ma:internalName="Category1" ma:readOnly="false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nillable="true" ma:displayName="Procedural State" ma:format="Dropdown" ma:internalName="Procedural_x0020_State" ma:readOnly="fals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>
          <xsd:maxLength value="255"/>
        </xsd:restriction>
      </xsd:simpleType>
    </xsd:element>
    <xsd:element name="Notes1" ma:index="18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a4f5-5f40-4143-b221-75ee5dde648a" elementFormDefault="qualified">
    <xsd:import namespace="http://schemas.microsoft.com/office/2006/documentManagement/types"/>
    <xsd:import namespace="http://schemas.microsoft.com/office/infopath/2007/PartnerControls"/>
    <xsd:element name="_Source" ma:index="11" nillable="true" ma:displayName="Source" ma:format="Dropdown" ma:internalName="_Source" ma:readOnly="fals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c659-72ab-411b-b755-fbef5cbbde18" elementFormDefault="qualified">
    <xsd:import namespace="http://schemas.microsoft.com/office/2006/documentManagement/types"/>
    <xsd:import namespace="http://schemas.microsoft.com/office/infopath/2007/PartnerControl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 xsi:nil="true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 xsi:nil="true"/>
    <Date_x0020_of_x0020_Delivery xmlns="8662c659-72ab-411b-b755-fbef5cbbde18" xsi:nil="true"/>
    <Related_x0020_Documents xmlns="5e6c6c5c-474c-4ef7-b7d6-59a0e77cc256" xsi:nil="true"/>
    <English_x0020_Title xmlns="5e6c6c5c-474c-4ef7-b7d6-59a0e77cc256" xsi:nil="true"/>
    <Document_x0020_State xmlns="5e6c6c5c-474c-4ef7-b7d6-59a0e77cc256" xsi:nil="true"/>
    <Category1 xmlns="5e6c6c5c-474c-4ef7-b7d6-59a0e77cc2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CF98-2D27-4F13-B784-FA80A4281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07CED-C3A9-415B-BA0A-A8D075B64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5F60C-C39F-49CC-9703-121BF5B371AC}">
  <ds:schemaRefs>
    <ds:schemaRef ds:uri="5e6c6c5c-474c-4ef7-b7d6-59a0e77cc256"/>
    <ds:schemaRef ds:uri="http://purl.org/dc/elements/1.1/"/>
    <ds:schemaRef ds:uri="8662c659-72ab-411b-b755-fbef5cbbde1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85a4f5-5f40-4143-b221-75ee5dde648a"/>
  </ds:schemaRefs>
</ds:datastoreItem>
</file>

<file path=customXml/itemProps4.xml><?xml version="1.0" encoding="utf-8"?>
<ds:datastoreItem xmlns:ds="http://schemas.openxmlformats.org/officeDocument/2006/customXml" ds:itemID="{F5362C4A-185A-42FB-AC19-4CA4FA77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10155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Strnadová Jana (MPSV)</cp:lastModifiedBy>
  <cp:revision>2</cp:revision>
  <cp:lastPrinted>2016-12-12T08:35:00Z</cp:lastPrinted>
  <dcterms:created xsi:type="dcterms:W3CDTF">2017-09-12T09:48:00Z</dcterms:created>
  <dcterms:modified xsi:type="dcterms:W3CDTF">2017-09-12T09:48:00Z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0x010100E2F405174C901C4F9A986B1B9C2D8526</vt:lpwstr>
  </property>
</Properties>
</file>