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F21D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F21D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1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1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1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21D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F21D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CF21D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CF21D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CF21D6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CF21D6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F21D6">
        <w:rPr>
          <w:rFonts w:ascii="Tahoma" w:hAnsi="Tahoma" w:cs="Tahoma"/>
          <w:noProof/>
          <w:sz w:val="28"/>
          <w:szCs w:val="28"/>
        </w:rPr>
        <w:t>105/25/4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F21D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1.Realizace Vánoční</w:t>
            </w:r>
            <w:r w:rsidR="00E31A19"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floristické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výzdoby</w:t>
            </w:r>
            <w:r w:rsidR="00E31A19"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– hrad Strakonice</w:t>
            </w:r>
          </w:p>
        </w:tc>
        <w:tc>
          <w:tcPr>
            <w:tcW w:w="1440" w:type="dxa"/>
          </w:tcPr>
          <w:p w:rsidR="001F0477" w:rsidRPr="006F0BA2" w:rsidRDefault="00CF21D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F21D6" w:rsidP="00CF21D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240 185,00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F21D6">
        <w:rPr>
          <w:rFonts w:ascii="Tahoma" w:hAnsi="Tahoma" w:cs="Tahoma"/>
          <w:b/>
          <w:bCs/>
          <w:noProof/>
          <w:sz w:val="20"/>
          <w:szCs w:val="20"/>
        </w:rPr>
        <w:t>240 185,00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CF21D6" w:rsidRDefault="00CF21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Objednávka zahrnuje kompletní vánoční výzdobu hradu, včetně výroby zelených girland, nastříhání a přípravy chvojí, manipulace a dopravy materiálu a následné floristické instalace přímo v prostorách hradu. Realizace bude provedena tak, aby odpovídala potřebám a požadavkům organizátorů Strakonického adventu.</w:t>
      </w:r>
    </w:p>
    <w:p w:rsidR="00CF21D6" w:rsidRDefault="00CF21D6">
      <w:pPr>
        <w:ind w:left="142"/>
        <w:rPr>
          <w:rFonts w:ascii="Tahoma" w:hAnsi="Tahoma" w:cs="Tahoma"/>
          <w:sz w:val="20"/>
          <w:szCs w:val="20"/>
        </w:rPr>
      </w:pPr>
    </w:p>
    <w:p w:rsidR="00CF21D6" w:rsidRDefault="00CF21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bez DPH 198 500 Kč </w:t>
      </w:r>
    </w:p>
    <w:p w:rsidR="001F0477" w:rsidRPr="006F0BA2" w:rsidRDefault="00CF21D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s DPH 240 185 Kč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447743" w:rsidRPr="00CF21D6" w:rsidRDefault="001F0477" w:rsidP="00CF21D6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F21D6">
        <w:rPr>
          <w:rFonts w:ascii="Tahoma" w:hAnsi="Tahoma" w:cs="Tahoma"/>
          <w:noProof/>
          <w:sz w:val="20"/>
          <w:szCs w:val="20"/>
        </w:rPr>
        <w:t>31. 12. 2025</w:t>
      </w:r>
      <w:r w:rsidR="00CF21D6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CF21D6" w:rsidRDefault="00CF21D6" w:rsidP="00CF21D6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F21D6">
        <w:rPr>
          <w:rFonts w:ascii="Tahoma" w:hAnsi="Tahoma" w:cs="Tahoma"/>
          <w:sz w:val="20"/>
          <w:szCs w:val="20"/>
        </w:rPr>
        <w:t xml:space="preserve">     </w:t>
      </w:r>
      <w:r w:rsidR="00CF21D6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F21D6">
        <w:rPr>
          <w:rFonts w:ascii="Tahoma" w:hAnsi="Tahoma" w:cs="Tahoma"/>
          <w:sz w:val="20"/>
          <w:szCs w:val="20"/>
        </w:rPr>
        <w:t xml:space="preserve">     </w:t>
      </w:r>
      <w:r w:rsidR="00CF21D6">
        <w:rPr>
          <w:rFonts w:ascii="Tahoma" w:hAnsi="Tahoma" w:cs="Tahoma"/>
          <w:noProof/>
          <w:sz w:val="20"/>
          <w:szCs w:val="20"/>
        </w:rPr>
        <w:t>vedoucí odboru ŽP</w:t>
      </w:r>
    </w:p>
    <w:p w:rsidR="00CF21D6" w:rsidRDefault="00CF21D6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</w:p>
    <w:p w:rsidR="00CF21D6" w:rsidRDefault="00CF21D6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V zastoupení: Ing. Lucie Klimešová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D6" w:rsidRDefault="00CF21D6">
      <w:r>
        <w:separator/>
      </w:r>
    </w:p>
  </w:endnote>
  <w:endnote w:type="continuationSeparator" w:id="0">
    <w:p w:rsidR="00CF21D6" w:rsidRDefault="00CF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D6" w:rsidRDefault="00CF21D6">
      <w:r>
        <w:separator/>
      </w:r>
    </w:p>
  </w:footnote>
  <w:footnote w:type="continuationSeparator" w:id="0">
    <w:p w:rsidR="00CF21D6" w:rsidRDefault="00CF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D6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F21D6"/>
    <w:rsid w:val="00D0576D"/>
    <w:rsid w:val="00D6490B"/>
    <w:rsid w:val="00E31A19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B9C2"/>
  <w15:chartTrackingRefBased/>
  <w15:docId w15:val="{2666526B-531F-4647-9317-D3556A87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187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1400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2</cp:revision>
  <dcterms:created xsi:type="dcterms:W3CDTF">2025-12-11T09:41:00Z</dcterms:created>
  <dcterms:modified xsi:type="dcterms:W3CDTF">2025-12-11T09:46:00Z</dcterms:modified>
</cp:coreProperties>
</file>