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242D" w14:textId="22DFC854" w:rsidR="00C01757" w:rsidRPr="00AD6769" w:rsidRDefault="00C01757" w:rsidP="00C01757">
      <w:pPr>
        <w:jc w:val="center"/>
        <w:rPr>
          <w:b/>
          <w:bCs/>
        </w:rPr>
      </w:pPr>
      <w:r w:rsidRPr="00AD6769">
        <w:rPr>
          <w:b/>
          <w:bCs/>
        </w:rPr>
        <w:t xml:space="preserve">Smlouva o nájmu </w:t>
      </w:r>
      <w:r>
        <w:rPr>
          <w:b/>
          <w:bCs/>
        </w:rPr>
        <w:t>prostor sloužících podnikání</w:t>
      </w:r>
      <w:r w:rsidRPr="00AD6769">
        <w:rPr>
          <w:b/>
          <w:bCs/>
        </w:rPr>
        <w:t xml:space="preserve"> č. </w:t>
      </w:r>
      <w:r w:rsidR="00531957">
        <w:rPr>
          <w:b/>
          <w:bCs/>
        </w:rPr>
        <w:t>76/2025</w:t>
      </w:r>
    </w:p>
    <w:p w14:paraId="6E36C8FE" w14:textId="77777777" w:rsidR="00C01757" w:rsidRDefault="00C01757" w:rsidP="00C01757">
      <w:pPr>
        <w:contextualSpacing/>
        <w:jc w:val="center"/>
      </w:pPr>
      <w:r>
        <w:t>ve smyslu ustanovení § 2302 a násl. zákona č. 89/2012 Sb., občanského zákoníku</w:t>
      </w:r>
      <w:r>
        <w:tab/>
      </w:r>
      <w:r>
        <w:tab/>
      </w:r>
      <w:r>
        <w:tab/>
        <w:t>uzavřená mezi těmito smluvními stranami</w:t>
      </w:r>
    </w:p>
    <w:p w14:paraId="46C9BD6C" w14:textId="77777777" w:rsidR="00C01757" w:rsidRDefault="00C01757" w:rsidP="00C01757">
      <w:r>
        <w:tab/>
      </w:r>
      <w:r>
        <w:tab/>
      </w:r>
      <w:r>
        <w:tab/>
      </w:r>
      <w:r>
        <w:tab/>
      </w:r>
      <w:r>
        <w:tab/>
      </w:r>
      <w:r>
        <w:tab/>
      </w:r>
      <w:r>
        <w:tab/>
      </w:r>
      <w:r>
        <w:tab/>
      </w:r>
      <w:r>
        <w:tab/>
      </w:r>
      <w:r>
        <w:tab/>
      </w:r>
      <w:r>
        <w:tab/>
      </w:r>
      <w:r>
        <w:tab/>
      </w:r>
    </w:p>
    <w:p w14:paraId="4474A988" w14:textId="77777777" w:rsidR="00C01757" w:rsidRPr="005238F2" w:rsidRDefault="00C01757" w:rsidP="00C01757">
      <w:pPr>
        <w:rPr>
          <w:rFonts w:cs="Calibri"/>
          <w:b/>
          <w:bCs/>
          <w:sz w:val="22"/>
          <w:szCs w:val="22"/>
        </w:rPr>
      </w:pPr>
      <w:r w:rsidRPr="005238F2">
        <w:rPr>
          <w:rFonts w:cs="Calibri"/>
          <w:b/>
          <w:bCs/>
          <w:sz w:val="22"/>
          <w:szCs w:val="22"/>
        </w:rPr>
        <w:t>Kultura Žďár, příspěvková organizace</w:t>
      </w:r>
      <w:r w:rsidRPr="005238F2">
        <w:rPr>
          <w:rFonts w:cs="Calibri"/>
          <w:b/>
          <w:bCs/>
          <w:sz w:val="22"/>
          <w:szCs w:val="22"/>
        </w:rPr>
        <w:tab/>
      </w:r>
      <w:r w:rsidRPr="005238F2">
        <w:rPr>
          <w:rFonts w:cs="Calibri"/>
          <w:b/>
          <w:bCs/>
          <w:sz w:val="22"/>
          <w:szCs w:val="22"/>
        </w:rPr>
        <w:tab/>
      </w:r>
      <w:r w:rsidRPr="005238F2">
        <w:rPr>
          <w:rFonts w:cs="Calibri"/>
          <w:b/>
          <w:bCs/>
          <w:sz w:val="22"/>
          <w:szCs w:val="22"/>
        </w:rPr>
        <w:tab/>
      </w:r>
      <w:r w:rsidRPr="005238F2">
        <w:rPr>
          <w:rFonts w:cs="Calibri"/>
          <w:b/>
          <w:bCs/>
          <w:sz w:val="22"/>
          <w:szCs w:val="22"/>
        </w:rPr>
        <w:tab/>
      </w:r>
      <w:r w:rsidRPr="005238F2">
        <w:rPr>
          <w:rFonts w:cs="Calibri"/>
          <w:b/>
          <w:bCs/>
          <w:sz w:val="22"/>
          <w:szCs w:val="22"/>
        </w:rPr>
        <w:tab/>
      </w:r>
      <w:r w:rsidRPr="005238F2">
        <w:rPr>
          <w:rFonts w:cs="Calibri"/>
          <w:b/>
          <w:bCs/>
          <w:sz w:val="22"/>
          <w:szCs w:val="22"/>
        </w:rPr>
        <w:tab/>
      </w:r>
      <w:r w:rsidRPr="005238F2">
        <w:rPr>
          <w:rFonts w:cs="Calibri"/>
          <w:b/>
          <w:bCs/>
          <w:sz w:val="22"/>
          <w:szCs w:val="22"/>
        </w:rPr>
        <w:tab/>
      </w:r>
    </w:p>
    <w:p w14:paraId="4A98A351" w14:textId="77777777" w:rsidR="00C01757" w:rsidRPr="005238F2" w:rsidRDefault="00C01757" w:rsidP="00C01757">
      <w:pPr>
        <w:rPr>
          <w:rFonts w:cs="Calibri"/>
          <w:sz w:val="22"/>
          <w:szCs w:val="22"/>
        </w:rPr>
      </w:pPr>
      <w:r w:rsidRPr="005238F2">
        <w:rPr>
          <w:rFonts w:cs="Calibri"/>
          <w:sz w:val="22"/>
          <w:szCs w:val="22"/>
        </w:rPr>
        <w:t>Dolní 183/30</w:t>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5CBE3D41" w14:textId="77777777" w:rsidR="00C01757" w:rsidRPr="005238F2" w:rsidRDefault="00C01757" w:rsidP="00C01757">
      <w:pPr>
        <w:rPr>
          <w:rFonts w:cs="Calibri"/>
          <w:sz w:val="22"/>
          <w:szCs w:val="22"/>
        </w:rPr>
      </w:pPr>
      <w:r w:rsidRPr="005238F2">
        <w:rPr>
          <w:rFonts w:cs="Calibri"/>
          <w:sz w:val="22"/>
          <w:szCs w:val="22"/>
        </w:rPr>
        <w:t>591 01 Žďár nad Sázavou</w:t>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0940D6DC" w14:textId="77777777" w:rsidR="00C01757" w:rsidRPr="005238F2" w:rsidRDefault="00C01757" w:rsidP="00C01757">
      <w:pPr>
        <w:rPr>
          <w:rFonts w:cs="Calibri"/>
          <w:sz w:val="22"/>
          <w:szCs w:val="22"/>
        </w:rPr>
      </w:pPr>
      <w:r w:rsidRPr="005238F2">
        <w:rPr>
          <w:rFonts w:cs="Calibri"/>
          <w:sz w:val="22"/>
          <w:szCs w:val="22"/>
        </w:rPr>
        <w:t>zastoupená: Mgr. Tamarou Peckovou Homolovou, ředitelkou</w:t>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177F6D26" w14:textId="77777777" w:rsidR="00C01757" w:rsidRPr="005238F2" w:rsidRDefault="00C01757" w:rsidP="00C01757">
      <w:pPr>
        <w:rPr>
          <w:rFonts w:cs="Calibri"/>
          <w:sz w:val="22"/>
          <w:szCs w:val="22"/>
        </w:rPr>
      </w:pPr>
      <w:r w:rsidRPr="005238F2">
        <w:rPr>
          <w:rFonts w:cs="Calibri"/>
          <w:sz w:val="22"/>
          <w:szCs w:val="22"/>
        </w:rPr>
        <w:t>IČ: 720 53 682</w:t>
      </w:r>
      <w:r w:rsidRPr="005238F2">
        <w:rPr>
          <w:rFonts w:cs="Calibri"/>
          <w:sz w:val="22"/>
          <w:szCs w:val="22"/>
        </w:rPr>
        <w:tab/>
      </w:r>
      <w:r w:rsidRPr="005238F2">
        <w:rPr>
          <w:rFonts w:cs="Calibri"/>
          <w:sz w:val="22"/>
          <w:szCs w:val="22"/>
        </w:rPr>
        <w:tab/>
        <w:t>DIČ: CZ72053682</w:t>
      </w:r>
    </w:p>
    <w:p w14:paraId="0E8AF943" w14:textId="77777777" w:rsidR="00C01757" w:rsidRDefault="00C01757" w:rsidP="00C01757">
      <w:pPr>
        <w:rPr>
          <w:rFonts w:cs="Calibri"/>
          <w:sz w:val="22"/>
          <w:szCs w:val="22"/>
        </w:rPr>
      </w:pPr>
      <w:r w:rsidRPr="005238F2">
        <w:rPr>
          <w:rFonts w:cs="Calibri"/>
          <w:sz w:val="22"/>
          <w:szCs w:val="22"/>
        </w:rPr>
        <w:t>Zapsaná v obchodním rejstříku vedeném Krajským soudem v Brně, oddíl Pr, vložka 1653</w:t>
      </w:r>
    </w:p>
    <w:p w14:paraId="04894A7F" w14:textId="77777777" w:rsidR="00C01757" w:rsidRDefault="00C01757" w:rsidP="00C01757">
      <w:pPr>
        <w:rPr>
          <w:rFonts w:cs="Calibri"/>
          <w:sz w:val="22"/>
          <w:szCs w:val="22"/>
        </w:rPr>
      </w:pPr>
    </w:p>
    <w:p w14:paraId="21FBA4BC" w14:textId="77777777" w:rsidR="00C01757" w:rsidRPr="005238F2" w:rsidRDefault="00C01757" w:rsidP="00C01757">
      <w:pPr>
        <w:rPr>
          <w:rFonts w:cs="Calibri"/>
          <w:sz w:val="22"/>
          <w:szCs w:val="22"/>
        </w:rPr>
      </w:pP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4DEB756C" w14:textId="77777777" w:rsidR="00C01757" w:rsidRDefault="00C01757" w:rsidP="00C01757">
      <w:pPr>
        <w:spacing w:after="120"/>
        <w:rPr>
          <w:rFonts w:cs="Calibri"/>
          <w:b/>
          <w:bCs/>
          <w:sz w:val="22"/>
          <w:szCs w:val="22"/>
        </w:rPr>
      </w:pPr>
      <w:r w:rsidRPr="005238F2">
        <w:rPr>
          <w:rFonts w:cs="Calibri"/>
          <w:sz w:val="22"/>
          <w:szCs w:val="22"/>
        </w:rPr>
        <w:t xml:space="preserve">dále jen </w:t>
      </w:r>
      <w:r w:rsidRPr="005238F2">
        <w:rPr>
          <w:rFonts w:cs="Calibri"/>
          <w:b/>
          <w:bCs/>
          <w:sz w:val="22"/>
          <w:szCs w:val="22"/>
        </w:rPr>
        <w:t>nájemce</w:t>
      </w:r>
    </w:p>
    <w:p w14:paraId="5D0481C1" w14:textId="77777777" w:rsidR="00C01757" w:rsidRPr="005238F2" w:rsidRDefault="00C01757" w:rsidP="00C01757">
      <w:pPr>
        <w:spacing w:after="120"/>
        <w:rPr>
          <w:rFonts w:cs="Calibri"/>
          <w:sz w:val="22"/>
          <w:szCs w:val="22"/>
        </w:rPr>
      </w:pPr>
      <w:r w:rsidRPr="005238F2">
        <w:rPr>
          <w:rFonts w:cs="Calibri"/>
          <w:sz w:val="22"/>
          <w:szCs w:val="22"/>
        </w:rPr>
        <w:tab/>
      </w:r>
      <w:r w:rsidRPr="005238F2">
        <w:rPr>
          <w:rFonts w:cs="Calibri"/>
          <w:sz w:val="22"/>
          <w:szCs w:val="22"/>
        </w:rPr>
        <w:tab/>
      </w:r>
      <w:r w:rsidRPr="005238F2">
        <w:rPr>
          <w:rFonts w:cs="Calibri"/>
          <w:sz w:val="22"/>
          <w:szCs w:val="22"/>
        </w:rPr>
        <w:tab/>
      </w:r>
    </w:p>
    <w:p w14:paraId="10F2BAEF" w14:textId="77777777" w:rsidR="00C01757" w:rsidRPr="005238F2" w:rsidRDefault="00C01757" w:rsidP="00C01757">
      <w:pPr>
        <w:spacing w:after="120"/>
        <w:rPr>
          <w:rFonts w:cs="Calibri"/>
          <w:sz w:val="22"/>
          <w:szCs w:val="22"/>
        </w:rPr>
      </w:pPr>
      <w:r w:rsidRPr="005238F2">
        <w:rPr>
          <w:rFonts w:cs="Calibri"/>
          <w:sz w:val="22"/>
          <w:szCs w:val="22"/>
        </w:rPr>
        <w:t>a</w:t>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41D29550" w14:textId="77777777" w:rsidR="00C01757" w:rsidRPr="001631C8" w:rsidRDefault="00C01757" w:rsidP="00C01757">
      <w:pPr>
        <w:rPr>
          <w:rFonts w:cs="Calibri"/>
          <w:b/>
          <w:bCs/>
          <w:sz w:val="22"/>
          <w:szCs w:val="22"/>
        </w:rPr>
      </w:pPr>
      <w:r w:rsidRPr="001631C8">
        <w:rPr>
          <w:rFonts w:cs="Calibri"/>
          <w:b/>
          <w:bCs/>
          <w:sz w:val="22"/>
          <w:szCs w:val="22"/>
        </w:rPr>
        <w:t>Název:</w:t>
      </w:r>
      <w:r w:rsidRPr="001631C8">
        <w:rPr>
          <w:rFonts w:cs="Calibri"/>
          <w:b/>
          <w:bCs/>
          <w:sz w:val="22"/>
          <w:szCs w:val="22"/>
        </w:rPr>
        <w:tab/>
        <w:t>ACO Industries k.s.</w:t>
      </w:r>
      <w:r w:rsidRPr="001631C8">
        <w:rPr>
          <w:rFonts w:cs="Calibri"/>
          <w:b/>
          <w:bCs/>
          <w:sz w:val="22"/>
          <w:szCs w:val="22"/>
        </w:rPr>
        <w:tab/>
      </w:r>
      <w:r w:rsidRPr="001631C8">
        <w:rPr>
          <w:rFonts w:cs="Calibri"/>
          <w:b/>
          <w:bCs/>
          <w:sz w:val="22"/>
          <w:szCs w:val="22"/>
        </w:rPr>
        <w:tab/>
      </w:r>
      <w:r w:rsidRPr="001631C8">
        <w:rPr>
          <w:rFonts w:cs="Calibri"/>
          <w:b/>
          <w:bCs/>
          <w:sz w:val="22"/>
          <w:szCs w:val="22"/>
        </w:rPr>
        <w:tab/>
      </w:r>
      <w:r w:rsidRPr="001631C8">
        <w:rPr>
          <w:rFonts w:cs="Calibri"/>
          <w:b/>
          <w:bCs/>
          <w:sz w:val="22"/>
          <w:szCs w:val="22"/>
        </w:rPr>
        <w:tab/>
      </w:r>
      <w:r w:rsidRPr="001631C8">
        <w:rPr>
          <w:rFonts w:cs="Calibri"/>
          <w:b/>
          <w:bCs/>
          <w:sz w:val="22"/>
          <w:szCs w:val="22"/>
        </w:rPr>
        <w:tab/>
      </w:r>
      <w:r w:rsidRPr="001631C8">
        <w:rPr>
          <w:rFonts w:cs="Calibri"/>
          <w:b/>
          <w:bCs/>
          <w:sz w:val="22"/>
          <w:szCs w:val="22"/>
        </w:rPr>
        <w:tab/>
      </w:r>
      <w:r w:rsidRPr="001631C8">
        <w:rPr>
          <w:rFonts w:cs="Calibri"/>
          <w:b/>
          <w:bCs/>
          <w:sz w:val="22"/>
          <w:szCs w:val="22"/>
        </w:rPr>
        <w:tab/>
      </w:r>
      <w:r w:rsidRPr="001631C8">
        <w:rPr>
          <w:rFonts w:cs="Calibri"/>
          <w:b/>
          <w:bCs/>
          <w:sz w:val="22"/>
          <w:szCs w:val="22"/>
        </w:rPr>
        <w:tab/>
      </w:r>
    </w:p>
    <w:p w14:paraId="46B7052A" w14:textId="77777777" w:rsidR="00C01757" w:rsidRPr="001631C8" w:rsidRDefault="00C01757" w:rsidP="00C01757">
      <w:pPr>
        <w:rPr>
          <w:rFonts w:cs="Calibri"/>
          <w:sz w:val="22"/>
          <w:szCs w:val="22"/>
        </w:rPr>
      </w:pPr>
      <w:r w:rsidRPr="001631C8">
        <w:rPr>
          <w:rFonts w:cs="Calibri"/>
          <w:sz w:val="22"/>
          <w:szCs w:val="22"/>
        </w:rPr>
        <w:t>Sídlo: Havlíčkova 260, 582 22 Přibyslav, Česká republika</w:t>
      </w:r>
      <w:r w:rsidRPr="001631C8">
        <w:rPr>
          <w:rFonts w:cs="Calibri"/>
          <w:sz w:val="22"/>
          <w:szCs w:val="22"/>
        </w:rPr>
        <w:tab/>
      </w:r>
      <w:r w:rsidRPr="001631C8">
        <w:rPr>
          <w:rFonts w:cs="Calibri"/>
          <w:sz w:val="22"/>
          <w:szCs w:val="22"/>
        </w:rPr>
        <w:tab/>
      </w:r>
      <w:r w:rsidRPr="001631C8">
        <w:rPr>
          <w:rFonts w:cs="Calibri"/>
          <w:sz w:val="22"/>
          <w:szCs w:val="22"/>
        </w:rPr>
        <w:tab/>
      </w:r>
      <w:r w:rsidRPr="001631C8">
        <w:rPr>
          <w:rFonts w:cs="Calibri"/>
          <w:sz w:val="22"/>
          <w:szCs w:val="22"/>
        </w:rPr>
        <w:tab/>
      </w:r>
      <w:r w:rsidRPr="001631C8">
        <w:rPr>
          <w:rFonts w:cs="Calibri"/>
          <w:sz w:val="22"/>
          <w:szCs w:val="22"/>
        </w:rPr>
        <w:tab/>
      </w:r>
    </w:p>
    <w:p w14:paraId="764DF3B2" w14:textId="77777777" w:rsidR="00C01757" w:rsidRPr="001631C8" w:rsidRDefault="00C01757" w:rsidP="00C01757">
      <w:pPr>
        <w:rPr>
          <w:rFonts w:cs="Calibri"/>
          <w:sz w:val="22"/>
          <w:szCs w:val="22"/>
        </w:rPr>
      </w:pPr>
      <w:r w:rsidRPr="001631C8">
        <w:rPr>
          <w:rFonts w:cs="Calibri"/>
          <w:sz w:val="22"/>
          <w:szCs w:val="22"/>
        </w:rPr>
        <w:t>zastoupený: Ing. Jan Císek, generální ředitel</w:t>
      </w:r>
      <w:r w:rsidRPr="001631C8">
        <w:rPr>
          <w:rFonts w:cs="Calibri"/>
          <w:sz w:val="22"/>
          <w:szCs w:val="22"/>
        </w:rPr>
        <w:tab/>
      </w:r>
      <w:r w:rsidRPr="001631C8">
        <w:rPr>
          <w:rFonts w:cs="Calibri"/>
          <w:sz w:val="22"/>
          <w:szCs w:val="22"/>
        </w:rPr>
        <w:tab/>
      </w:r>
      <w:r w:rsidRPr="001631C8">
        <w:rPr>
          <w:rFonts w:cs="Calibri"/>
          <w:sz w:val="22"/>
          <w:szCs w:val="22"/>
        </w:rPr>
        <w:tab/>
      </w:r>
      <w:r w:rsidRPr="001631C8">
        <w:rPr>
          <w:rFonts w:cs="Calibri"/>
          <w:sz w:val="22"/>
          <w:szCs w:val="22"/>
        </w:rPr>
        <w:tab/>
      </w:r>
      <w:r w:rsidRPr="001631C8">
        <w:rPr>
          <w:rFonts w:cs="Calibri"/>
          <w:sz w:val="22"/>
          <w:szCs w:val="22"/>
        </w:rPr>
        <w:tab/>
      </w:r>
      <w:r w:rsidRPr="001631C8">
        <w:rPr>
          <w:rFonts w:cs="Calibri"/>
          <w:sz w:val="22"/>
          <w:szCs w:val="22"/>
        </w:rPr>
        <w:tab/>
      </w:r>
      <w:r w:rsidRPr="001631C8">
        <w:rPr>
          <w:rFonts w:cs="Calibri"/>
          <w:sz w:val="22"/>
          <w:szCs w:val="22"/>
        </w:rPr>
        <w:tab/>
      </w:r>
    </w:p>
    <w:p w14:paraId="6A9F637F" w14:textId="278AF2E5" w:rsidR="00C01757" w:rsidRPr="00384002" w:rsidRDefault="00C01757" w:rsidP="00C01757">
      <w:pPr>
        <w:rPr>
          <w:rFonts w:cs="Calibri"/>
          <w:sz w:val="22"/>
          <w:szCs w:val="22"/>
        </w:rPr>
      </w:pPr>
      <w:r w:rsidRPr="001631C8">
        <w:rPr>
          <w:rFonts w:cs="Calibri"/>
          <w:sz w:val="22"/>
          <w:szCs w:val="22"/>
        </w:rPr>
        <w:t>IČ: 48119458</w:t>
      </w:r>
      <w:r w:rsidRPr="001631C8">
        <w:rPr>
          <w:rFonts w:cs="Calibri"/>
          <w:sz w:val="22"/>
          <w:szCs w:val="22"/>
        </w:rPr>
        <w:tab/>
      </w:r>
      <w:r w:rsidRPr="001631C8">
        <w:rPr>
          <w:rFonts w:cs="Calibri"/>
          <w:sz w:val="22"/>
          <w:szCs w:val="22"/>
        </w:rPr>
        <w:tab/>
        <w:t>DIČ: CZ48119458</w:t>
      </w:r>
    </w:p>
    <w:p w14:paraId="7FB8FEE3" w14:textId="77777777" w:rsidR="00C01757" w:rsidRPr="00384002" w:rsidRDefault="00C01757" w:rsidP="00C01757">
      <w:pPr>
        <w:rPr>
          <w:rFonts w:cs="Calibri"/>
          <w:sz w:val="22"/>
          <w:szCs w:val="22"/>
        </w:rPr>
      </w:pPr>
      <w:r w:rsidRPr="00384002">
        <w:rPr>
          <w:rFonts w:cs="Calibri"/>
          <w:sz w:val="22"/>
          <w:szCs w:val="22"/>
        </w:rPr>
        <w:tab/>
      </w:r>
      <w:r w:rsidRPr="00384002">
        <w:rPr>
          <w:rFonts w:cs="Calibri"/>
          <w:sz w:val="22"/>
          <w:szCs w:val="22"/>
        </w:rPr>
        <w:tab/>
      </w:r>
      <w:r w:rsidRPr="00384002">
        <w:rPr>
          <w:rFonts w:cs="Calibri"/>
          <w:sz w:val="22"/>
          <w:szCs w:val="22"/>
        </w:rPr>
        <w:tab/>
      </w:r>
    </w:p>
    <w:p w14:paraId="77173F0D" w14:textId="77777777" w:rsidR="00C01757" w:rsidRPr="005238F2" w:rsidRDefault="00C01757" w:rsidP="00C01757">
      <w:pPr>
        <w:rPr>
          <w:rFonts w:cs="Calibri"/>
          <w:sz w:val="22"/>
          <w:szCs w:val="22"/>
        </w:rPr>
      </w:pPr>
      <w:r w:rsidRPr="005238F2">
        <w:rPr>
          <w:rFonts w:cs="Calibri"/>
          <w:sz w:val="22"/>
          <w:szCs w:val="22"/>
        </w:rPr>
        <w:t xml:space="preserve">dále jen </w:t>
      </w:r>
      <w:r w:rsidRPr="005238F2">
        <w:rPr>
          <w:rFonts w:cs="Calibri"/>
          <w:b/>
          <w:bCs/>
          <w:sz w:val="22"/>
          <w:szCs w:val="22"/>
        </w:rPr>
        <w:t>podnájemce</w:t>
      </w:r>
      <w:r w:rsidRPr="005238F2">
        <w:rPr>
          <w:rFonts w:cs="Calibri"/>
          <w:b/>
          <w:bCs/>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51DAC7D6" w14:textId="77777777" w:rsidR="00C01757" w:rsidRDefault="00C01757" w:rsidP="00C01757">
      <w:pPr>
        <w:rPr>
          <w:rFonts w:cs="Calibri"/>
          <w:sz w:val="22"/>
          <w:szCs w:val="22"/>
        </w:rPr>
      </w:pP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51314F28" w14:textId="77777777" w:rsidR="00C01757" w:rsidRPr="005238F2" w:rsidRDefault="00C01757" w:rsidP="00C01757">
      <w:pPr>
        <w:rPr>
          <w:rFonts w:cs="Calibri"/>
          <w:sz w:val="22"/>
          <w:szCs w:val="22"/>
        </w:rPr>
      </w:pP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6BB69961" w14:textId="77777777" w:rsidR="00C01757" w:rsidRPr="005238F2" w:rsidRDefault="00C01757" w:rsidP="00C01757">
      <w:pPr>
        <w:jc w:val="center"/>
        <w:rPr>
          <w:rFonts w:cs="Calibri"/>
          <w:b/>
          <w:bCs/>
          <w:sz w:val="22"/>
          <w:szCs w:val="22"/>
        </w:rPr>
      </w:pPr>
      <w:r w:rsidRPr="005238F2">
        <w:rPr>
          <w:rFonts w:cs="Calibri"/>
          <w:b/>
          <w:bCs/>
          <w:sz w:val="22"/>
          <w:szCs w:val="22"/>
        </w:rPr>
        <w:t>1. Předmět smlouvy</w:t>
      </w:r>
    </w:p>
    <w:p w14:paraId="57271500" w14:textId="77777777" w:rsidR="00C01757" w:rsidRPr="005238F2" w:rsidRDefault="00C01757" w:rsidP="00C01757">
      <w:pPr>
        <w:jc w:val="both"/>
        <w:rPr>
          <w:rFonts w:cs="Calibri"/>
          <w:sz w:val="22"/>
          <w:szCs w:val="22"/>
        </w:rPr>
      </w:pPr>
      <w:r w:rsidRPr="005238F2">
        <w:rPr>
          <w:rFonts w:cs="Calibri"/>
          <w:sz w:val="22"/>
          <w:szCs w:val="22"/>
        </w:rPr>
        <w:t>1.1 Předmětem smlouvy je pronájem prostor umístěných v budově Domu kultury Žďár nad Sázavou, na adrese Dolní 183/30, Žďár nad Sázavou (dále jen DK). Nájemce na základě této smlouvy přenechává podnájemci do dočasného užívání následující prostory sloužící podnikání. Prostorami se rozumí sál</w:t>
      </w:r>
      <w:r>
        <w:rPr>
          <w:rFonts w:cs="Calibri"/>
          <w:sz w:val="22"/>
          <w:szCs w:val="22"/>
        </w:rPr>
        <w:t>, balkon</w:t>
      </w:r>
      <w:r w:rsidRPr="005238F2">
        <w:rPr>
          <w:rFonts w:cs="Calibri"/>
          <w:sz w:val="22"/>
          <w:szCs w:val="22"/>
        </w:rPr>
        <w:t>,</w:t>
      </w:r>
      <w:r>
        <w:rPr>
          <w:rFonts w:cs="Calibri"/>
          <w:sz w:val="22"/>
          <w:szCs w:val="22"/>
        </w:rPr>
        <w:t xml:space="preserve"> pořadatelské šatny, horní </w:t>
      </w:r>
      <w:r w:rsidRPr="00384002">
        <w:rPr>
          <w:rFonts w:cs="Calibri"/>
          <w:sz w:val="22"/>
          <w:szCs w:val="22"/>
        </w:rPr>
        <w:t xml:space="preserve">vestibul </w:t>
      </w:r>
      <w:r w:rsidRPr="00B435D9">
        <w:rPr>
          <w:rFonts w:cs="Calibri"/>
          <w:b/>
          <w:bCs/>
          <w:sz w:val="22"/>
          <w:szCs w:val="22"/>
        </w:rPr>
        <w:t>(vyjma prostor bufetu/baru v II. patře DK),</w:t>
      </w:r>
      <w:r w:rsidRPr="00B435D9">
        <w:rPr>
          <w:rFonts w:cs="Calibri"/>
          <w:sz w:val="22"/>
          <w:szCs w:val="22"/>
        </w:rPr>
        <w:t xml:space="preserve"> vstupní hala </w:t>
      </w:r>
      <w:r w:rsidRPr="00B435D9">
        <w:rPr>
          <w:rFonts w:cs="Calibri"/>
          <w:b/>
          <w:bCs/>
          <w:sz w:val="22"/>
          <w:szCs w:val="22"/>
        </w:rPr>
        <w:t>(vyjma prostor bufetu/baru v přízemí DK)</w:t>
      </w:r>
      <w:r w:rsidRPr="00B435D9">
        <w:rPr>
          <w:rFonts w:cs="Calibri"/>
          <w:sz w:val="22"/>
          <w:szCs w:val="22"/>
        </w:rPr>
        <w:t>.</w:t>
      </w:r>
    </w:p>
    <w:p w14:paraId="115D7719" w14:textId="0919789B" w:rsidR="00C01757" w:rsidRPr="005238F2" w:rsidRDefault="00C01757" w:rsidP="00C01757">
      <w:pPr>
        <w:jc w:val="both"/>
        <w:rPr>
          <w:rFonts w:cs="Calibri"/>
          <w:sz w:val="22"/>
          <w:szCs w:val="22"/>
        </w:rPr>
      </w:pPr>
      <w:r w:rsidRPr="005238F2">
        <w:rPr>
          <w:rFonts w:cs="Calibri"/>
          <w:sz w:val="22"/>
          <w:szCs w:val="22"/>
        </w:rPr>
        <w:t xml:space="preserve">1.2 Pronájem se sjednává na dobu určitou, a to konkrétně v termínu </w:t>
      </w:r>
      <w:r w:rsidR="00A82235" w:rsidRPr="00A82235">
        <w:rPr>
          <w:rFonts w:cs="Calibri"/>
          <w:b/>
          <w:bCs/>
          <w:sz w:val="22"/>
          <w:szCs w:val="22"/>
        </w:rPr>
        <w:t>12. prosince 2025</w:t>
      </w:r>
      <w:r w:rsidRPr="005238F2">
        <w:rPr>
          <w:rFonts w:cs="Calibri"/>
          <w:sz w:val="22"/>
          <w:szCs w:val="22"/>
        </w:rPr>
        <w:t xml:space="preserve"> </w:t>
      </w:r>
      <w:r w:rsidRPr="00A82235">
        <w:rPr>
          <w:rFonts w:cs="Calibri"/>
          <w:bCs/>
          <w:sz w:val="22"/>
          <w:szCs w:val="22"/>
        </w:rPr>
        <w:t>od</w:t>
      </w:r>
      <w:r w:rsidR="00A82235" w:rsidRPr="00A82235">
        <w:rPr>
          <w:rFonts w:cs="Calibri"/>
          <w:bCs/>
          <w:sz w:val="22"/>
          <w:szCs w:val="22"/>
        </w:rPr>
        <w:t xml:space="preserve"> 9:00</w:t>
      </w:r>
      <w:r w:rsidRPr="00A82235">
        <w:rPr>
          <w:rFonts w:cs="Calibri"/>
          <w:bCs/>
          <w:sz w:val="22"/>
          <w:szCs w:val="22"/>
        </w:rPr>
        <w:t xml:space="preserve"> do</w:t>
      </w:r>
      <w:r w:rsidR="00A82235">
        <w:rPr>
          <w:rFonts w:cs="Calibri"/>
          <w:bCs/>
          <w:sz w:val="22"/>
          <w:szCs w:val="22"/>
        </w:rPr>
        <w:t xml:space="preserve"> </w:t>
      </w:r>
      <w:r w:rsidR="00A82235" w:rsidRPr="00A82235">
        <w:rPr>
          <w:rFonts w:cs="Calibri"/>
          <w:bCs/>
          <w:sz w:val="22"/>
          <w:szCs w:val="22"/>
        </w:rPr>
        <w:t>1:30</w:t>
      </w:r>
      <w:r w:rsidR="00A82235">
        <w:rPr>
          <w:rFonts w:cs="Calibri"/>
          <w:b/>
          <w:sz w:val="22"/>
          <w:szCs w:val="22"/>
        </w:rPr>
        <w:t xml:space="preserve"> </w:t>
      </w:r>
      <w:r w:rsidRPr="006F0E0D">
        <w:rPr>
          <w:rFonts w:cs="Calibri"/>
          <w:sz w:val="22"/>
          <w:szCs w:val="22"/>
        </w:rPr>
        <w:t xml:space="preserve">(začátek akce je </w:t>
      </w:r>
      <w:r w:rsidR="00A82235">
        <w:rPr>
          <w:rFonts w:cs="Calibri"/>
          <w:sz w:val="22"/>
          <w:szCs w:val="22"/>
        </w:rPr>
        <w:t>v 16:00</w:t>
      </w:r>
      <w:r w:rsidRPr="006F0E0D">
        <w:rPr>
          <w:rFonts w:cs="Calibri"/>
          <w:sz w:val="22"/>
          <w:szCs w:val="22"/>
        </w:rPr>
        <w:t>).</w:t>
      </w:r>
      <w:r w:rsidRPr="005238F2">
        <w:rPr>
          <w:rFonts w:cs="Calibri"/>
          <w:sz w:val="22"/>
          <w:szCs w:val="22"/>
        </w:rPr>
        <w:t xml:space="preserve"> </w:t>
      </w:r>
    </w:p>
    <w:p w14:paraId="49AEA23E" w14:textId="61D844F6" w:rsidR="00C01757" w:rsidRDefault="00C01757" w:rsidP="00C01757">
      <w:pPr>
        <w:jc w:val="both"/>
        <w:rPr>
          <w:rFonts w:cs="Calibri"/>
          <w:sz w:val="22"/>
          <w:szCs w:val="22"/>
        </w:rPr>
      </w:pPr>
      <w:r w:rsidRPr="005238F2">
        <w:rPr>
          <w:rFonts w:cs="Calibri"/>
          <w:sz w:val="22"/>
          <w:szCs w:val="22"/>
        </w:rPr>
        <w:t xml:space="preserve">1.3 Podnájemce je oprávněn užít prostory za účelem uspořádání </w:t>
      </w:r>
      <w:r w:rsidR="00A82235" w:rsidRPr="001631C8">
        <w:rPr>
          <w:rFonts w:cs="Calibri"/>
          <w:b/>
          <w:sz w:val="22"/>
          <w:szCs w:val="22"/>
        </w:rPr>
        <w:t xml:space="preserve">pořádání firemní akce konané dne </w:t>
      </w:r>
      <w:r w:rsidR="00A82235">
        <w:rPr>
          <w:rFonts w:cs="Calibri"/>
          <w:b/>
          <w:sz w:val="22"/>
          <w:szCs w:val="22"/>
        </w:rPr>
        <w:t xml:space="preserve">12. prosince </w:t>
      </w:r>
      <w:r w:rsidRPr="005238F2">
        <w:rPr>
          <w:rFonts w:cs="Calibri"/>
          <w:sz w:val="22"/>
          <w:szCs w:val="22"/>
        </w:rPr>
        <w:t>(dále jen akce).</w:t>
      </w:r>
    </w:p>
    <w:p w14:paraId="4B930C26" w14:textId="77777777" w:rsidR="00C01757" w:rsidRPr="005238F2" w:rsidRDefault="00C01757" w:rsidP="00C01757">
      <w:pPr>
        <w:jc w:val="both"/>
        <w:rPr>
          <w:rFonts w:cs="Calibri"/>
          <w:sz w:val="22"/>
          <w:szCs w:val="22"/>
        </w:rPr>
      </w:pPr>
    </w:p>
    <w:p w14:paraId="6345EFA9" w14:textId="77777777" w:rsidR="00C01757" w:rsidRPr="005238F2" w:rsidRDefault="00C01757" w:rsidP="00C01757">
      <w:pPr>
        <w:rPr>
          <w:rFonts w:cs="Calibri"/>
          <w:sz w:val="22"/>
          <w:szCs w:val="22"/>
        </w:rPr>
      </w:pP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0D0808C7" w14:textId="77777777" w:rsidR="00C01757" w:rsidRPr="005238F2" w:rsidRDefault="00C01757" w:rsidP="00C01757">
      <w:pPr>
        <w:jc w:val="center"/>
        <w:rPr>
          <w:rFonts w:cs="Calibri"/>
          <w:b/>
          <w:bCs/>
          <w:sz w:val="22"/>
          <w:szCs w:val="22"/>
        </w:rPr>
      </w:pPr>
      <w:r w:rsidRPr="005238F2">
        <w:rPr>
          <w:rFonts w:cs="Calibri"/>
          <w:b/>
          <w:bCs/>
          <w:sz w:val="22"/>
          <w:szCs w:val="22"/>
        </w:rPr>
        <w:t>2. Nájemce</w:t>
      </w:r>
    </w:p>
    <w:p w14:paraId="084580BB" w14:textId="77777777" w:rsidR="00C01757" w:rsidRPr="005238F2" w:rsidRDefault="00C01757" w:rsidP="00C01757">
      <w:pPr>
        <w:spacing w:after="120"/>
        <w:jc w:val="both"/>
        <w:rPr>
          <w:rFonts w:cs="Calibri"/>
          <w:sz w:val="22"/>
          <w:szCs w:val="22"/>
        </w:rPr>
      </w:pPr>
      <w:r w:rsidRPr="005238F2">
        <w:rPr>
          <w:rFonts w:cs="Calibri"/>
          <w:sz w:val="22"/>
          <w:szCs w:val="22"/>
        </w:rPr>
        <w:t>2.1 Nájemce prohlašuje, že v době uzavírání této smlouvy nemá jiné smluvní závazky, které by mu bránily v plnění předmětu smlouvy.</w:t>
      </w:r>
      <w:r w:rsidRPr="005238F2">
        <w:rPr>
          <w:rFonts w:cs="Calibri"/>
          <w:sz w:val="22"/>
          <w:szCs w:val="22"/>
        </w:rPr>
        <w:tab/>
      </w:r>
    </w:p>
    <w:p w14:paraId="6D682F84" w14:textId="77777777" w:rsidR="00C01757" w:rsidRPr="005238F2" w:rsidRDefault="00C01757" w:rsidP="00C01757">
      <w:pPr>
        <w:jc w:val="both"/>
        <w:rPr>
          <w:rFonts w:cs="Calibri"/>
          <w:sz w:val="22"/>
          <w:szCs w:val="22"/>
        </w:rPr>
      </w:pPr>
      <w:r w:rsidRPr="005238F2">
        <w:rPr>
          <w:rFonts w:cs="Calibri"/>
          <w:sz w:val="22"/>
          <w:szCs w:val="22"/>
        </w:rPr>
        <w:t xml:space="preserve">2.2 Předá pronajaté prostory včas, uklizené a v souladu s bezpečnostními, hygienickými a požárními předpisy.  Maximální kapacita sálu DK je 960 míst, z toho 916 k sezení. </w:t>
      </w:r>
    </w:p>
    <w:p w14:paraId="50F3D3E3" w14:textId="77777777" w:rsidR="00C01757" w:rsidRDefault="00C01757" w:rsidP="00C01757">
      <w:pPr>
        <w:rPr>
          <w:rFonts w:cs="Calibri"/>
          <w:sz w:val="22"/>
          <w:szCs w:val="22"/>
        </w:rPr>
      </w:pP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35148BE6" w14:textId="77777777" w:rsidR="00C01757" w:rsidRPr="005238F2" w:rsidRDefault="00C01757" w:rsidP="00C01757">
      <w:pPr>
        <w:rPr>
          <w:rFonts w:cs="Calibri"/>
          <w:sz w:val="22"/>
          <w:szCs w:val="22"/>
        </w:rPr>
      </w:pP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7047C7A0" w14:textId="77777777" w:rsidR="00C01757" w:rsidRPr="005238F2" w:rsidRDefault="00C01757" w:rsidP="00C01757">
      <w:pPr>
        <w:jc w:val="center"/>
        <w:rPr>
          <w:rFonts w:cs="Calibri"/>
          <w:b/>
          <w:bCs/>
          <w:sz w:val="22"/>
          <w:szCs w:val="22"/>
        </w:rPr>
      </w:pPr>
      <w:r w:rsidRPr="005238F2">
        <w:rPr>
          <w:rFonts w:cs="Calibri"/>
          <w:b/>
          <w:bCs/>
          <w:sz w:val="22"/>
          <w:szCs w:val="22"/>
        </w:rPr>
        <w:t>3. Podnájemce</w:t>
      </w:r>
    </w:p>
    <w:p w14:paraId="0CC2337F" w14:textId="77777777" w:rsidR="00C01757" w:rsidRPr="005238F2" w:rsidRDefault="00C01757" w:rsidP="00C01757">
      <w:pPr>
        <w:jc w:val="both"/>
        <w:rPr>
          <w:rFonts w:cs="Calibri"/>
          <w:sz w:val="22"/>
          <w:szCs w:val="22"/>
        </w:rPr>
      </w:pPr>
      <w:r w:rsidRPr="005238F2">
        <w:rPr>
          <w:rFonts w:cs="Calibri"/>
          <w:sz w:val="22"/>
          <w:szCs w:val="22"/>
        </w:rPr>
        <w:t>3.1 Podnájemce převezme od odpovědného pracovníka nájemce prostory uvedené v</w:t>
      </w:r>
      <w:r>
        <w:rPr>
          <w:rFonts w:cs="Calibri"/>
          <w:sz w:val="22"/>
          <w:szCs w:val="22"/>
        </w:rPr>
        <w:t> článku 1</w:t>
      </w:r>
      <w:r w:rsidRPr="005238F2">
        <w:rPr>
          <w:rFonts w:cs="Calibri"/>
          <w:sz w:val="22"/>
          <w:szCs w:val="22"/>
        </w:rPr>
        <w:t>. Předmět smlouvy a po skončení akce prostory opět předá. O případných vzniklých závadách způsobených při akci bude sepsán zápis. Podnájemce se podpisem na záznamu o škodách zavazuje k jejich úhradě.</w:t>
      </w:r>
      <w:r w:rsidRPr="005238F2">
        <w:rPr>
          <w:rFonts w:cs="Calibri"/>
          <w:sz w:val="22"/>
          <w:szCs w:val="22"/>
        </w:rPr>
        <w:tab/>
      </w:r>
    </w:p>
    <w:p w14:paraId="113E580C" w14:textId="77777777" w:rsidR="00C01757" w:rsidRPr="005238F2" w:rsidRDefault="00C01757" w:rsidP="00C01757">
      <w:pPr>
        <w:jc w:val="both"/>
        <w:rPr>
          <w:rFonts w:cs="Calibri"/>
          <w:sz w:val="22"/>
          <w:szCs w:val="22"/>
        </w:rPr>
      </w:pPr>
      <w:r w:rsidRPr="005238F2">
        <w:rPr>
          <w:rFonts w:cs="Calibri"/>
          <w:sz w:val="22"/>
          <w:szCs w:val="22"/>
        </w:rPr>
        <w:t>Pod pokutou 5.000 Kč je v prostorech nájemce zakázáno:</w:t>
      </w:r>
      <w:r w:rsidRPr="005238F2">
        <w:rPr>
          <w:rFonts w:cs="Calibri"/>
          <w:sz w:val="22"/>
          <w:szCs w:val="22"/>
        </w:rPr>
        <w:tab/>
      </w:r>
      <w:r w:rsidRPr="005238F2">
        <w:rPr>
          <w:rFonts w:cs="Calibri"/>
          <w:sz w:val="22"/>
          <w:szCs w:val="22"/>
        </w:rPr>
        <w:tab/>
      </w:r>
    </w:p>
    <w:p w14:paraId="1FC46DB9" w14:textId="77777777" w:rsidR="00C01757" w:rsidRDefault="00C01757" w:rsidP="00C01757">
      <w:pPr>
        <w:pStyle w:val="Odstavecseseznamem"/>
        <w:numPr>
          <w:ilvl w:val="0"/>
          <w:numId w:val="2"/>
        </w:numPr>
        <w:jc w:val="both"/>
        <w:rPr>
          <w:rFonts w:cs="Calibri"/>
          <w:sz w:val="22"/>
          <w:szCs w:val="22"/>
        </w:rPr>
      </w:pPr>
      <w:r w:rsidRPr="005238F2">
        <w:rPr>
          <w:rFonts w:cs="Calibri"/>
          <w:sz w:val="22"/>
          <w:szCs w:val="22"/>
        </w:rPr>
        <w:lastRenderedPageBreak/>
        <w:t xml:space="preserve">Pronajaté prostory jakkoli upravovat, vnitřní vybavení přemisťovat, připevňovat reklamy a dekorace na stěny pomocí hřebíků a lepidla. Lze používat pouze gumovou hmotu. </w:t>
      </w:r>
    </w:p>
    <w:p w14:paraId="4DB20FDF" w14:textId="77777777" w:rsidR="00C01757" w:rsidRDefault="00C01757" w:rsidP="00C01757">
      <w:pPr>
        <w:pStyle w:val="Odstavecseseznamem"/>
        <w:ind w:left="0"/>
        <w:jc w:val="both"/>
        <w:rPr>
          <w:rFonts w:cs="Calibri"/>
          <w:sz w:val="22"/>
          <w:szCs w:val="22"/>
        </w:rPr>
      </w:pPr>
    </w:p>
    <w:p w14:paraId="4317CAA8" w14:textId="77777777" w:rsidR="00C01757" w:rsidRPr="005238F2" w:rsidRDefault="00C01757" w:rsidP="00C01757">
      <w:pPr>
        <w:jc w:val="both"/>
        <w:rPr>
          <w:rFonts w:cs="Calibri"/>
          <w:sz w:val="22"/>
          <w:szCs w:val="22"/>
        </w:rPr>
      </w:pPr>
      <w:r w:rsidRPr="005238F2">
        <w:rPr>
          <w:rFonts w:cs="Calibri"/>
          <w:sz w:val="22"/>
          <w:szCs w:val="22"/>
        </w:rPr>
        <w:t>3.2 Zavazuje se:</w:t>
      </w:r>
      <w:r w:rsidRPr="005238F2">
        <w:rPr>
          <w:rFonts w:cs="Calibri"/>
          <w:sz w:val="22"/>
          <w:szCs w:val="22"/>
        </w:rPr>
        <w:tab/>
      </w:r>
    </w:p>
    <w:p w14:paraId="02C67769" w14:textId="77777777" w:rsidR="00C01757" w:rsidRPr="005238F2" w:rsidRDefault="00C01757" w:rsidP="00C01757">
      <w:pPr>
        <w:pStyle w:val="Odstavecseseznamem"/>
        <w:numPr>
          <w:ilvl w:val="0"/>
          <w:numId w:val="1"/>
        </w:numPr>
        <w:jc w:val="both"/>
        <w:rPr>
          <w:rFonts w:cs="Calibri"/>
          <w:sz w:val="22"/>
          <w:szCs w:val="22"/>
        </w:rPr>
      </w:pPr>
      <w:r w:rsidRPr="005238F2">
        <w:rPr>
          <w:rFonts w:cs="Calibri"/>
          <w:sz w:val="22"/>
          <w:szCs w:val="22"/>
        </w:rPr>
        <w:t>používat k příjezdu k DK pouze zpevněné přístupové cesty. V případě poškození travnatých ploch nebo škod vzniklých chybným najížděním ke vchodům DK (poškozené schody, vstupy, atd.) uhradí vzniklé škody v plné výši.</w:t>
      </w:r>
    </w:p>
    <w:p w14:paraId="12DFAB99" w14:textId="77777777" w:rsidR="00C01757" w:rsidRPr="00A82235" w:rsidRDefault="00C01757" w:rsidP="00C01757">
      <w:pPr>
        <w:pStyle w:val="Odstavecseseznamem"/>
        <w:numPr>
          <w:ilvl w:val="0"/>
          <w:numId w:val="1"/>
        </w:numPr>
        <w:spacing w:after="120"/>
        <w:ind w:left="1429" w:hanging="357"/>
        <w:jc w:val="both"/>
        <w:rPr>
          <w:rFonts w:cs="Calibri"/>
          <w:sz w:val="22"/>
          <w:szCs w:val="22"/>
        </w:rPr>
      </w:pPr>
      <w:r w:rsidRPr="00A82235">
        <w:rPr>
          <w:rFonts w:cs="Calibri"/>
          <w:sz w:val="22"/>
          <w:szCs w:val="22"/>
        </w:rPr>
        <w:t>propagovat akci ve městě Žďáru nad Sázavou pouze způsobem a v rozsahu povoleným Městským úřadem ve Žďáře nad Sázavou, a to v souladu s Nařízením č. 3/2023, kterým se zakazuje reklama šířená na veřejně přístupných místech mimo provozovnu (</w:t>
      </w:r>
      <w:hyperlink r:id="rId5" w:tgtFrame="blank" w:history="1">
        <w:r w:rsidRPr="00A82235">
          <w:rPr>
            <w:rFonts w:cs="Calibri"/>
            <w:sz w:val="22"/>
            <w:szCs w:val="22"/>
          </w:rPr>
          <w:t>https://1url.cz/XJXbP</w:t>
        </w:r>
      </w:hyperlink>
      <w:r w:rsidRPr="00A82235">
        <w:rPr>
          <w:rFonts w:cs="Calibri"/>
          <w:sz w:val="22"/>
          <w:szCs w:val="22"/>
        </w:rPr>
        <w:t>).</w:t>
      </w:r>
    </w:p>
    <w:p w14:paraId="29C6C5C2" w14:textId="77777777" w:rsidR="00C01757" w:rsidRPr="005238F2" w:rsidRDefault="00C01757" w:rsidP="00C01757">
      <w:pPr>
        <w:pStyle w:val="Odstavecseseznamem"/>
        <w:numPr>
          <w:ilvl w:val="0"/>
          <w:numId w:val="1"/>
        </w:numPr>
        <w:spacing w:after="120"/>
        <w:ind w:left="1429" w:hanging="357"/>
        <w:jc w:val="both"/>
        <w:rPr>
          <w:rFonts w:cs="Calibri"/>
          <w:sz w:val="22"/>
          <w:szCs w:val="22"/>
        </w:rPr>
      </w:pPr>
      <w:r w:rsidRPr="005238F2">
        <w:rPr>
          <w:rFonts w:cs="Calibri"/>
          <w:sz w:val="22"/>
          <w:szCs w:val="22"/>
        </w:rPr>
        <w:t>dodržovat platné předpisy o bezpečnosti a hygieně práce, o požární ochraně (zák. č. 133/1985 Sb. o požární ochraně a prov.</w:t>
      </w:r>
      <w:r>
        <w:rPr>
          <w:rFonts w:cs="Calibri"/>
          <w:sz w:val="22"/>
          <w:szCs w:val="22"/>
        </w:rPr>
        <w:t xml:space="preserve"> </w:t>
      </w:r>
      <w:r w:rsidRPr="005238F2">
        <w:rPr>
          <w:rFonts w:cs="Calibri"/>
          <w:sz w:val="22"/>
          <w:szCs w:val="22"/>
        </w:rPr>
        <w:t xml:space="preserve">vyhl. č. 246/2001 Sb., o požární prevenci), včetně ustanovení požární asistenční hlídky. V prostorách DK je zakázáno používat jakékoli pyrotechnické výrobky, směsi a otevřený oheň. Před začátkem akce budou pořadatelé pracovníkem </w:t>
      </w:r>
      <w:r w:rsidRPr="00384002">
        <w:rPr>
          <w:rFonts w:cs="Calibri"/>
          <w:sz w:val="22"/>
          <w:szCs w:val="22"/>
        </w:rPr>
        <w:t>nájemce</w:t>
      </w:r>
      <w:r w:rsidRPr="005238F2">
        <w:rPr>
          <w:rFonts w:cs="Calibri"/>
          <w:sz w:val="22"/>
          <w:szCs w:val="22"/>
        </w:rPr>
        <w:t xml:space="preserve"> poučení o požárních opatřeních.</w:t>
      </w:r>
      <w:r w:rsidRPr="005238F2">
        <w:rPr>
          <w:rFonts w:cs="Calibri"/>
          <w:sz w:val="22"/>
          <w:szCs w:val="22"/>
        </w:rPr>
        <w:tab/>
      </w:r>
    </w:p>
    <w:p w14:paraId="499D5E4C" w14:textId="77777777" w:rsidR="00C01757" w:rsidRPr="005238F2" w:rsidRDefault="00C01757" w:rsidP="00C01757">
      <w:pPr>
        <w:jc w:val="both"/>
        <w:rPr>
          <w:rFonts w:cs="Calibri"/>
          <w:sz w:val="22"/>
          <w:szCs w:val="22"/>
        </w:rPr>
      </w:pPr>
      <w:r w:rsidRPr="005238F2">
        <w:rPr>
          <w:rFonts w:cs="Calibri"/>
          <w:sz w:val="22"/>
          <w:szCs w:val="22"/>
        </w:rPr>
        <w:t>3.3 Bude dodržovat:</w:t>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353753A4" w14:textId="77777777" w:rsidR="00C01757" w:rsidRPr="005238F2" w:rsidRDefault="00C01757" w:rsidP="00C01757">
      <w:pPr>
        <w:pStyle w:val="Odstavecseseznamem"/>
        <w:numPr>
          <w:ilvl w:val="0"/>
          <w:numId w:val="3"/>
        </w:numPr>
        <w:spacing w:after="120"/>
        <w:ind w:left="1429" w:hanging="357"/>
        <w:jc w:val="both"/>
        <w:rPr>
          <w:rFonts w:cs="Calibri"/>
          <w:sz w:val="22"/>
          <w:szCs w:val="22"/>
        </w:rPr>
      </w:pPr>
      <w:r w:rsidRPr="005238F2">
        <w:rPr>
          <w:rFonts w:cs="Calibri"/>
          <w:sz w:val="22"/>
          <w:szCs w:val="22"/>
        </w:rPr>
        <w:t>začátek a konec akce dle času uvedeného ve smlouvě, zajistí dostatečný počet pořadatelů a jejich fungování po celou dobu konání dané akce (zejména u vchodu a šatny), bude udržovat pořádek ve všech pronajatých prostorech včetně WC, atd.</w:t>
      </w:r>
      <w:r w:rsidRPr="005238F2">
        <w:rPr>
          <w:rFonts w:cs="Calibri"/>
          <w:sz w:val="22"/>
          <w:szCs w:val="22"/>
        </w:rPr>
        <w:tab/>
      </w:r>
    </w:p>
    <w:p w14:paraId="26907FBD" w14:textId="77777777" w:rsidR="00C01757" w:rsidRDefault="00C01757" w:rsidP="00C01757">
      <w:pPr>
        <w:pStyle w:val="Odstavecseseznamem"/>
        <w:numPr>
          <w:ilvl w:val="0"/>
          <w:numId w:val="3"/>
        </w:numPr>
        <w:spacing w:after="120"/>
        <w:ind w:left="1429" w:hanging="357"/>
        <w:jc w:val="both"/>
        <w:rPr>
          <w:rFonts w:cs="Calibri"/>
          <w:sz w:val="22"/>
          <w:szCs w:val="22"/>
        </w:rPr>
      </w:pPr>
      <w:r w:rsidRPr="005238F2">
        <w:rPr>
          <w:rFonts w:cs="Calibri"/>
          <w:sz w:val="22"/>
          <w:szCs w:val="22"/>
        </w:rPr>
        <w:t>povinnosti plynoucí ze zákona o ochraně autorských práv</w:t>
      </w:r>
      <w:r w:rsidRPr="00384002">
        <w:rPr>
          <w:rFonts w:cs="Calibri"/>
          <w:sz w:val="22"/>
          <w:szCs w:val="22"/>
        </w:rPr>
        <w:t>. Podnájemce prohlašuje, že odpovídá za splnění veškerých případných povinností vůči autorům a výkonným umělcům, které vyplývají z autorského zákona, neboť je pořadatelem akce. Nájemce nenese jakoukoliv odpovědnost za případná porušení autorských práv či práv s autorskými právy souvisejícími, ke kterým by došlo v době a v rámci sjednaného pronájmu. Podnájemce je zároveň odpovědný za vyplacení případných poplatků správcům jako je OSA, DILIA aj.</w:t>
      </w:r>
    </w:p>
    <w:p w14:paraId="1081423D" w14:textId="77777777" w:rsidR="00C01757" w:rsidRDefault="00C01757" w:rsidP="00C01757">
      <w:pPr>
        <w:pStyle w:val="Odstavecseseznamem"/>
        <w:spacing w:after="120"/>
        <w:ind w:left="0"/>
        <w:jc w:val="both"/>
        <w:rPr>
          <w:rFonts w:cs="Calibri"/>
          <w:sz w:val="22"/>
          <w:szCs w:val="22"/>
        </w:rPr>
      </w:pPr>
    </w:p>
    <w:p w14:paraId="49D6EA10" w14:textId="77777777" w:rsidR="00C01757" w:rsidRPr="00531957" w:rsidRDefault="00C01757" w:rsidP="00C01757">
      <w:pPr>
        <w:jc w:val="both"/>
        <w:rPr>
          <w:rFonts w:cs="Calibri"/>
          <w:sz w:val="22"/>
          <w:szCs w:val="22"/>
        </w:rPr>
      </w:pPr>
      <w:r w:rsidRPr="00531957">
        <w:rPr>
          <w:rFonts w:cs="Calibri"/>
          <w:sz w:val="22"/>
          <w:szCs w:val="22"/>
        </w:rPr>
        <w:t xml:space="preserve">3.4 V prostorách DK je přísně zakázáno používání konfet jakéhokoli druhu, a to zejména papírových, plastových, kovových či biodegradabilních, stejně jako všech zařízení určených k jejich aplikaci. V případě porušení této povinnosti je podnájemce povinen uhradit nájemci smluvní pokutu ve výši </w:t>
      </w:r>
      <w:r w:rsidRPr="00531957">
        <w:rPr>
          <w:rFonts w:cs="Calibri"/>
          <w:b/>
          <w:bCs/>
          <w:sz w:val="22"/>
          <w:szCs w:val="22"/>
        </w:rPr>
        <w:t>20.000,- Kč</w:t>
      </w:r>
      <w:r w:rsidRPr="00531957">
        <w:rPr>
          <w:rFonts w:cs="Calibri"/>
          <w:sz w:val="22"/>
          <w:szCs w:val="22"/>
        </w:rPr>
        <w:t>. Smluvní pokuta je splatná do 14 dnů ode dne doručení písemné výzvy nájemce k její úhradě.</w:t>
      </w:r>
    </w:p>
    <w:p w14:paraId="54DE41BA" w14:textId="77777777" w:rsidR="00C01757" w:rsidRPr="00531957" w:rsidRDefault="00C01757" w:rsidP="00C01757">
      <w:pPr>
        <w:jc w:val="both"/>
        <w:rPr>
          <w:rFonts w:cs="Calibri"/>
          <w:sz w:val="22"/>
          <w:szCs w:val="22"/>
        </w:rPr>
      </w:pPr>
    </w:p>
    <w:p w14:paraId="6D8C5535" w14:textId="77777777" w:rsidR="00C01757" w:rsidRPr="00DD068C" w:rsidRDefault="00C01757" w:rsidP="00C01757">
      <w:pPr>
        <w:jc w:val="both"/>
        <w:rPr>
          <w:rFonts w:cs="Calibri"/>
          <w:sz w:val="22"/>
          <w:szCs w:val="22"/>
        </w:rPr>
      </w:pPr>
      <w:r w:rsidRPr="00531957">
        <w:rPr>
          <w:rFonts w:cs="Calibri"/>
          <w:sz w:val="22"/>
          <w:szCs w:val="22"/>
        </w:rPr>
        <w:t xml:space="preserve">3.5 Podnájemce je povinen po ukončení akce odstranit veškeré jím vnesené dekorace, ozdoby, plakáty, poutače, upozornění a další materiály použité v rámci akce, a to ze všech pronajatých prostor. V případě nesplnění této povinnosti je podnájemce povinen uhradit nájemci smluvní pokutu ve výši </w:t>
      </w:r>
      <w:r w:rsidRPr="00531957">
        <w:rPr>
          <w:rFonts w:cs="Calibri"/>
          <w:b/>
          <w:bCs/>
          <w:sz w:val="22"/>
          <w:szCs w:val="22"/>
        </w:rPr>
        <w:t>20.000,- Kč</w:t>
      </w:r>
      <w:r w:rsidRPr="00531957">
        <w:rPr>
          <w:rFonts w:cs="Calibri"/>
          <w:sz w:val="22"/>
          <w:szCs w:val="22"/>
        </w:rPr>
        <w:t>. Smluvní pokuta je splatná do 14 dnů ode dne doručení písemné výzvy nájemce k její úhradě.</w:t>
      </w:r>
    </w:p>
    <w:p w14:paraId="3BADCDE3" w14:textId="77777777" w:rsidR="00C01757" w:rsidRPr="00DD068C" w:rsidRDefault="00C01757" w:rsidP="00C01757">
      <w:pPr>
        <w:jc w:val="both"/>
        <w:rPr>
          <w:rFonts w:cs="Calibri"/>
          <w:sz w:val="22"/>
          <w:szCs w:val="22"/>
        </w:rPr>
      </w:pPr>
    </w:p>
    <w:p w14:paraId="15C04C38" w14:textId="77777777" w:rsidR="00C01757" w:rsidRDefault="00C01757" w:rsidP="00C01757">
      <w:pPr>
        <w:jc w:val="both"/>
        <w:rPr>
          <w:rFonts w:cs="Calibri"/>
          <w:sz w:val="22"/>
          <w:szCs w:val="22"/>
        </w:rPr>
      </w:pPr>
      <w:r w:rsidRPr="005238F2">
        <w:rPr>
          <w:rFonts w:cs="Calibri"/>
          <w:sz w:val="22"/>
          <w:szCs w:val="22"/>
        </w:rPr>
        <w:t>3.</w:t>
      </w:r>
      <w:r>
        <w:rPr>
          <w:rFonts w:cs="Calibri"/>
          <w:sz w:val="22"/>
          <w:szCs w:val="22"/>
        </w:rPr>
        <w:t>6</w:t>
      </w:r>
      <w:r w:rsidRPr="005238F2">
        <w:rPr>
          <w:rFonts w:cs="Calibri"/>
          <w:sz w:val="22"/>
          <w:szCs w:val="22"/>
        </w:rPr>
        <w:t xml:space="preserve"> Dodá nejpozději 3 dny před začátkem akce plán rozestavění sálu.</w:t>
      </w:r>
    </w:p>
    <w:p w14:paraId="0D38B027" w14:textId="77777777" w:rsidR="00C01757" w:rsidRDefault="00C01757" w:rsidP="00C01757">
      <w:pPr>
        <w:jc w:val="both"/>
        <w:rPr>
          <w:rFonts w:cs="Calibri"/>
          <w:sz w:val="22"/>
          <w:szCs w:val="22"/>
        </w:rPr>
      </w:pPr>
    </w:p>
    <w:p w14:paraId="52CA774C" w14:textId="77777777" w:rsidR="00C01757" w:rsidRDefault="00C01757" w:rsidP="00C01757">
      <w:pPr>
        <w:jc w:val="both"/>
        <w:rPr>
          <w:rFonts w:cs="Calibri"/>
          <w:sz w:val="22"/>
          <w:szCs w:val="22"/>
        </w:rPr>
      </w:pP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3C4F821D" w14:textId="77777777" w:rsidR="00C01757" w:rsidRPr="005238F2" w:rsidRDefault="00C01757" w:rsidP="00C01757">
      <w:pPr>
        <w:jc w:val="both"/>
        <w:rPr>
          <w:rFonts w:cs="Calibri"/>
          <w:sz w:val="22"/>
          <w:szCs w:val="22"/>
        </w:rPr>
      </w:pPr>
      <w:r w:rsidRPr="005238F2">
        <w:rPr>
          <w:rFonts w:cs="Calibri"/>
          <w:sz w:val="22"/>
          <w:szCs w:val="22"/>
        </w:rPr>
        <w:tab/>
      </w:r>
      <w:r w:rsidRPr="005238F2">
        <w:rPr>
          <w:rFonts w:cs="Calibri"/>
          <w:sz w:val="22"/>
          <w:szCs w:val="22"/>
        </w:rPr>
        <w:tab/>
      </w:r>
      <w:r w:rsidRPr="005238F2">
        <w:rPr>
          <w:rFonts w:cs="Calibri"/>
          <w:sz w:val="22"/>
          <w:szCs w:val="22"/>
        </w:rPr>
        <w:tab/>
      </w:r>
    </w:p>
    <w:p w14:paraId="513F74C4" w14:textId="77777777" w:rsidR="00C01757" w:rsidRDefault="00C01757" w:rsidP="00C01757">
      <w:pPr>
        <w:jc w:val="center"/>
        <w:rPr>
          <w:rFonts w:cs="Calibri"/>
          <w:b/>
          <w:bCs/>
          <w:sz w:val="22"/>
          <w:szCs w:val="22"/>
        </w:rPr>
      </w:pPr>
      <w:r w:rsidRPr="005238F2">
        <w:rPr>
          <w:rFonts w:cs="Calibri"/>
          <w:b/>
          <w:bCs/>
          <w:sz w:val="22"/>
          <w:szCs w:val="22"/>
        </w:rPr>
        <w:t>4. Platební podmínky</w:t>
      </w:r>
    </w:p>
    <w:p w14:paraId="0A6F6211" w14:textId="77777777" w:rsidR="00C01757" w:rsidRPr="005238F2" w:rsidRDefault="00C01757" w:rsidP="00C01757">
      <w:pPr>
        <w:jc w:val="center"/>
        <w:rPr>
          <w:rFonts w:cs="Calibri"/>
          <w:b/>
          <w:bCs/>
          <w:sz w:val="22"/>
          <w:szCs w:val="22"/>
        </w:rPr>
      </w:pPr>
    </w:p>
    <w:p w14:paraId="6E11D800" w14:textId="77777777" w:rsidR="00C01757" w:rsidRPr="005238F2" w:rsidRDefault="00C01757" w:rsidP="00C01757">
      <w:pPr>
        <w:spacing w:after="120"/>
        <w:jc w:val="both"/>
        <w:rPr>
          <w:rFonts w:cs="Calibri"/>
          <w:sz w:val="22"/>
          <w:szCs w:val="22"/>
        </w:rPr>
      </w:pPr>
      <w:r w:rsidRPr="005238F2">
        <w:rPr>
          <w:rFonts w:cs="Calibri"/>
          <w:sz w:val="22"/>
          <w:szCs w:val="22"/>
        </w:rPr>
        <w:lastRenderedPageBreak/>
        <w:t xml:space="preserve">4.1 Před zahájením akce uhradí podnájemce </w:t>
      </w:r>
      <w:r w:rsidRPr="00531957">
        <w:rPr>
          <w:rFonts w:cs="Calibri"/>
          <w:b/>
          <w:bCs/>
          <w:sz w:val="22"/>
          <w:szCs w:val="22"/>
        </w:rPr>
        <w:t>kauci ve výši 10.000 Kč</w:t>
      </w:r>
      <w:r w:rsidRPr="005238F2">
        <w:rPr>
          <w:rFonts w:cs="Calibri"/>
          <w:sz w:val="22"/>
          <w:szCs w:val="22"/>
        </w:rPr>
        <w:t>, která mu bude vrácena ihned po ukončení akce a předání pronajatých prostor. V případě poškození majetku bude suma krácena o příslušnou škodu.</w:t>
      </w:r>
    </w:p>
    <w:p w14:paraId="3D98702F" w14:textId="15C30DF9" w:rsidR="00C01757" w:rsidRPr="005238F2" w:rsidRDefault="00C01757" w:rsidP="00C01757">
      <w:pPr>
        <w:spacing w:after="120"/>
        <w:jc w:val="both"/>
        <w:rPr>
          <w:rFonts w:cs="Calibri"/>
          <w:sz w:val="22"/>
          <w:szCs w:val="22"/>
        </w:rPr>
      </w:pPr>
      <w:r w:rsidRPr="005238F2">
        <w:rPr>
          <w:rFonts w:cs="Calibri"/>
          <w:sz w:val="22"/>
          <w:szCs w:val="22"/>
        </w:rPr>
        <w:t>4.</w:t>
      </w:r>
      <w:r>
        <w:rPr>
          <w:rFonts w:cs="Calibri"/>
          <w:sz w:val="22"/>
          <w:szCs w:val="22"/>
        </w:rPr>
        <w:t>2</w:t>
      </w:r>
      <w:r w:rsidRPr="005238F2">
        <w:rPr>
          <w:rFonts w:cs="Calibri"/>
          <w:sz w:val="22"/>
          <w:szCs w:val="22"/>
        </w:rPr>
        <w:t xml:space="preserve"> Podnájemce se zavazuje uhradit částku </w:t>
      </w:r>
      <w:r w:rsidRPr="00531957">
        <w:rPr>
          <w:rFonts w:cs="Calibri"/>
          <w:b/>
          <w:bCs/>
          <w:sz w:val="22"/>
          <w:szCs w:val="22"/>
        </w:rPr>
        <w:t xml:space="preserve">ve výši </w:t>
      </w:r>
      <w:r w:rsidR="00531957" w:rsidRPr="00531957">
        <w:rPr>
          <w:rFonts w:cs="Calibri"/>
          <w:b/>
          <w:bCs/>
          <w:sz w:val="22"/>
          <w:szCs w:val="22"/>
        </w:rPr>
        <w:t xml:space="preserve">90 768,- Kč </w:t>
      </w:r>
      <w:r w:rsidRPr="00531957">
        <w:rPr>
          <w:rFonts w:cs="Calibri"/>
          <w:b/>
          <w:bCs/>
          <w:sz w:val="22"/>
          <w:szCs w:val="22"/>
        </w:rPr>
        <w:t>včetně DPH</w:t>
      </w:r>
      <w:r w:rsidRPr="005238F2">
        <w:rPr>
          <w:rFonts w:cs="Calibri"/>
          <w:sz w:val="22"/>
          <w:szCs w:val="22"/>
        </w:rPr>
        <w:t xml:space="preserve"> dle platných právních předpisů. V ceně podnájmu je zahrnuta </w:t>
      </w:r>
      <w:r w:rsidRPr="00734FC9">
        <w:rPr>
          <w:rFonts w:cs="Calibri"/>
          <w:sz w:val="22"/>
          <w:szCs w:val="22"/>
        </w:rPr>
        <w:t>cena za tyto služby: energ</w:t>
      </w:r>
      <w:r w:rsidRPr="005238F2">
        <w:rPr>
          <w:rFonts w:cs="Calibri"/>
          <w:sz w:val="22"/>
          <w:szCs w:val="22"/>
        </w:rPr>
        <w:t xml:space="preserve">ie, příprava a úklid prostor, základní statické nasvícení, požární a technická služba v počtu </w:t>
      </w:r>
      <w:r>
        <w:rPr>
          <w:rFonts w:cs="Calibri"/>
          <w:sz w:val="22"/>
          <w:szCs w:val="22"/>
        </w:rPr>
        <w:t>4</w:t>
      </w:r>
      <w:r w:rsidRPr="005238F2">
        <w:rPr>
          <w:rFonts w:cs="Calibri"/>
          <w:sz w:val="22"/>
          <w:szCs w:val="22"/>
        </w:rPr>
        <w:t xml:space="preserve"> osob</w:t>
      </w:r>
      <w:r>
        <w:rPr>
          <w:rFonts w:cs="Calibri"/>
          <w:sz w:val="22"/>
          <w:szCs w:val="22"/>
        </w:rPr>
        <w:t xml:space="preserve">, </w:t>
      </w:r>
      <w:r w:rsidRPr="00384002">
        <w:rPr>
          <w:rFonts w:cs="Calibri"/>
          <w:sz w:val="22"/>
          <w:szCs w:val="22"/>
        </w:rPr>
        <w:t>vypůjčení losovacího bubnu a červeného nástupního koberce.</w:t>
      </w:r>
      <w:r w:rsidRPr="005238F2">
        <w:rPr>
          <w:rFonts w:cs="Calibri"/>
          <w:sz w:val="22"/>
          <w:szCs w:val="22"/>
        </w:rPr>
        <w:t xml:space="preserve"> Cenová kalkulace viz Příloha 1. </w:t>
      </w:r>
      <w:r w:rsidRPr="005238F2">
        <w:rPr>
          <w:rFonts w:cs="Calibri"/>
          <w:sz w:val="22"/>
          <w:szCs w:val="22"/>
        </w:rPr>
        <w:tab/>
      </w:r>
    </w:p>
    <w:p w14:paraId="1C14A267" w14:textId="3BB3D3FF" w:rsidR="00C01757" w:rsidRPr="005238F2" w:rsidRDefault="00C01757" w:rsidP="00C01757">
      <w:pPr>
        <w:spacing w:after="120"/>
        <w:jc w:val="both"/>
        <w:rPr>
          <w:rFonts w:cs="Calibri"/>
          <w:sz w:val="22"/>
          <w:szCs w:val="22"/>
        </w:rPr>
      </w:pPr>
      <w:r w:rsidRPr="005238F2">
        <w:rPr>
          <w:rFonts w:cs="Calibri"/>
          <w:sz w:val="22"/>
          <w:szCs w:val="22"/>
        </w:rPr>
        <w:t>4.</w:t>
      </w:r>
      <w:r>
        <w:rPr>
          <w:rFonts w:cs="Calibri"/>
          <w:sz w:val="22"/>
          <w:szCs w:val="22"/>
        </w:rPr>
        <w:t>3</w:t>
      </w:r>
      <w:r w:rsidRPr="005238F2">
        <w:rPr>
          <w:rFonts w:cs="Calibri"/>
          <w:sz w:val="22"/>
          <w:szCs w:val="22"/>
        </w:rPr>
        <w:t xml:space="preserve"> Platba proběhne na základě faktury vystavené nájemcem, </w:t>
      </w:r>
      <w:r w:rsidRPr="005238F2">
        <w:rPr>
          <w:rFonts w:cs="Calibri"/>
          <w:b/>
          <w:bCs/>
          <w:sz w:val="22"/>
          <w:szCs w:val="22"/>
        </w:rPr>
        <w:t>splatnost do</w:t>
      </w:r>
      <w:r w:rsidR="00531957">
        <w:rPr>
          <w:rFonts w:cs="Calibri"/>
          <w:b/>
          <w:bCs/>
          <w:sz w:val="22"/>
          <w:szCs w:val="22"/>
        </w:rPr>
        <w:t xml:space="preserve"> 30. prosince 2025.</w:t>
      </w:r>
      <w:r w:rsidRPr="005238F2">
        <w:rPr>
          <w:rFonts w:cs="Calibri"/>
          <w:sz w:val="22"/>
          <w:szCs w:val="22"/>
        </w:rPr>
        <w:tab/>
      </w:r>
    </w:p>
    <w:p w14:paraId="5EA70F66" w14:textId="77777777" w:rsidR="00C01757" w:rsidRPr="005238F2" w:rsidRDefault="00C01757" w:rsidP="00C01757">
      <w:pPr>
        <w:spacing w:after="120"/>
        <w:jc w:val="both"/>
        <w:rPr>
          <w:rFonts w:cs="Calibri"/>
          <w:sz w:val="22"/>
          <w:szCs w:val="22"/>
        </w:rPr>
      </w:pPr>
      <w:r w:rsidRPr="005238F2">
        <w:rPr>
          <w:rFonts w:cs="Calibri"/>
          <w:sz w:val="22"/>
          <w:szCs w:val="22"/>
        </w:rPr>
        <w:t>Při překročení dohodnutého času akce bude účtována plná sazba za každou započatou hodinu.</w:t>
      </w:r>
    </w:p>
    <w:p w14:paraId="4A06AEEB" w14:textId="77777777" w:rsidR="00C01757" w:rsidRPr="005238F2" w:rsidRDefault="00C01757" w:rsidP="00C01757">
      <w:pPr>
        <w:spacing w:after="120"/>
        <w:jc w:val="both"/>
        <w:rPr>
          <w:rFonts w:cs="Calibri"/>
          <w:sz w:val="22"/>
          <w:szCs w:val="22"/>
        </w:rPr>
      </w:pPr>
      <w:r w:rsidRPr="005238F2">
        <w:rPr>
          <w:rFonts w:cs="Calibri"/>
          <w:sz w:val="22"/>
          <w:szCs w:val="22"/>
        </w:rPr>
        <w:t>4.</w:t>
      </w:r>
      <w:r>
        <w:rPr>
          <w:rFonts w:cs="Calibri"/>
          <w:sz w:val="22"/>
          <w:szCs w:val="22"/>
        </w:rPr>
        <w:t>4</w:t>
      </w:r>
      <w:r w:rsidRPr="005238F2">
        <w:rPr>
          <w:rFonts w:cs="Calibri"/>
          <w:sz w:val="22"/>
          <w:szCs w:val="22"/>
        </w:rPr>
        <w:t xml:space="preserve"> Odřekne-li podnájemce podnájem prostor do 3 týdnů před konáním akce, je povinen zaplatit organizaci 40 % celkové částky, 2 týdny před konáním akce je povinen zaplatit 60 % celkové smluvní částky, v posledních 7 dnech před konáním akce je povinen zaplatit celou smluvní částku vyjma požadovaných služeb k zajištění akce (zvukař, pořadatel atd.)</w:t>
      </w:r>
      <w:r w:rsidRPr="005238F2">
        <w:rPr>
          <w:rFonts w:cs="Calibri"/>
          <w:sz w:val="22"/>
          <w:szCs w:val="22"/>
        </w:rPr>
        <w:tab/>
      </w:r>
    </w:p>
    <w:p w14:paraId="7D7158AA" w14:textId="77777777" w:rsidR="00C01757" w:rsidRPr="005238F2" w:rsidRDefault="00C01757" w:rsidP="00C01757">
      <w:pPr>
        <w:spacing w:after="120"/>
        <w:jc w:val="both"/>
        <w:rPr>
          <w:rFonts w:cs="Calibri"/>
          <w:sz w:val="22"/>
          <w:szCs w:val="22"/>
        </w:rPr>
      </w:pPr>
      <w:r w:rsidRPr="005238F2">
        <w:rPr>
          <w:rFonts w:cs="Calibri"/>
          <w:sz w:val="22"/>
          <w:szCs w:val="22"/>
        </w:rPr>
        <w:t>4.</w:t>
      </w:r>
      <w:r>
        <w:rPr>
          <w:rFonts w:cs="Calibri"/>
          <w:sz w:val="22"/>
          <w:szCs w:val="22"/>
        </w:rPr>
        <w:t>5</w:t>
      </w:r>
      <w:r w:rsidRPr="005238F2">
        <w:rPr>
          <w:rFonts w:cs="Calibri"/>
          <w:sz w:val="22"/>
          <w:szCs w:val="22"/>
        </w:rPr>
        <w:t xml:space="preserve"> Při případném nedodržení termínu splatnosti bude účtován úrok z prodlení ve výši 0,05 % z dlužné částky za každý den prodlení.</w:t>
      </w:r>
      <w:r w:rsidRPr="005238F2">
        <w:rPr>
          <w:rFonts w:cs="Calibri"/>
          <w:sz w:val="22"/>
          <w:szCs w:val="22"/>
        </w:rPr>
        <w:tab/>
      </w:r>
    </w:p>
    <w:p w14:paraId="00637629" w14:textId="77777777" w:rsidR="00C01757" w:rsidRPr="005238F2" w:rsidRDefault="00C01757" w:rsidP="00C01757">
      <w:pPr>
        <w:spacing w:after="120"/>
        <w:jc w:val="both"/>
        <w:rPr>
          <w:rFonts w:cs="Calibri"/>
          <w:sz w:val="22"/>
          <w:szCs w:val="22"/>
        </w:rPr>
      </w:pPr>
      <w:r w:rsidRPr="005238F2">
        <w:rPr>
          <w:rFonts w:cs="Calibri"/>
          <w:sz w:val="22"/>
          <w:szCs w:val="22"/>
        </w:rPr>
        <w:t>4.</w:t>
      </w:r>
      <w:r>
        <w:rPr>
          <w:rFonts w:cs="Calibri"/>
          <w:sz w:val="22"/>
          <w:szCs w:val="22"/>
        </w:rPr>
        <w:t>6</w:t>
      </w:r>
      <w:r w:rsidRPr="005238F2">
        <w:rPr>
          <w:rFonts w:cs="Calibri"/>
          <w:sz w:val="22"/>
          <w:szCs w:val="22"/>
        </w:rPr>
        <w:t xml:space="preserve"> Pohledávka je uhrazena dnem připsání na účet dodavatele.</w:t>
      </w:r>
      <w:r w:rsidRPr="005238F2">
        <w:rPr>
          <w:rFonts w:cs="Calibri"/>
          <w:sz w:val="22"/>
          <w:szCs w:val="22"/>
        </w:rPr>
        <w:tab/>
      </w:r>
    </w:p>
    <w:p w14:paraId="02B8B4E0" w14:textId="77777777" w:rsidR="00C01757" w:rsidRPr="00E512E4" w:rsidRDefault="00C01757" w:rsidP="00C01757">
      <w:pPr>
        <w:jc w:val="both"/>
        <w:rPr>
          <w:rFonts w:cs="Calibri"/>
          <w:sz w:val="22"/>
          <w:szCs w:val="22"/>
        </w:rPr>
      </w:pPr>
      <w:r w:rsidRPr="00E512E4">
        <w:rPr>
          <w:rFonts w:cs="Calibri"/>
          <w:sz w:val="22"/>
          <w:szCs w:val="22"/>
        </w:rPr>
        <w:t>4.7</w:t>
      </w:r>
      <w:r>
        <w:rPr>
          <w:rFonts w:cs="Calibri"/>
          <w:sz w:val="22"/>
          <w:szCs w:val="22"/>
        </w:rPr>
        <w:t xml:space="preserve"> </w:t>
      </w:r>
      <w:r w:rsidRPr="00E512E4">
        <w:rPr>
          <w:rFonts w:cs="Calibri"/>
          <w:sz w:val="22"/>
          <w:szCs w:val="22"/>
        </w:rPr>
        <w:t>Podnájemce prohlašuje, že byl nájemcem seznámen se skutečností, že catering v sále po dobu akce zajišťuje obchodní společnost Krystal ZR s.r.o. (dále jen „Krystal ZR s.r.o.“), která je k tomu oprávněna na základě Smlouvy o nájmu prostor sloužících k podnikání ze dne 15.12.2021 uzavřené mezi nájemcem a Krystal ZR s.r.o. (dále jen „Smlouva o nájmu ze dne 15.12.2021“).</w:t>
      </w:r>
    </w:p>
    <w:p w14:paraId="02FFAEC7" w14:textId="77777777" w:rsidR="00C01757" w:rsidRDefault="00C01757" w:rsidP="00C01757">
      <w:pPr>
        <w:rPr>
          <w:rFonts w:cs="Calibri"/>
          <w:sz w:val="22"/>
          <w:szCs w:val="22"/>
        </w:rPr>
      </w:pPr>
      <w:r w:rsidRPr="00E512E4">
        <w:rPr>
          <w:rFonts w:cs="Calibri"/>
          <w:sz w:val="22"/>
          <w:szCs w:val="22"/>
        </w:rPr>
        <w:t>Cateringem se pro účely této smlouvy rozumí zajištění a prodej občerstvení během akce, a to zejména:</w:t>
      </w:r>
    </w:p>
    <w:p w14:paraId="25E0A907" w14:textId="77777777" w:rsidR="00C01757" w:rsidRDefault="00C01757" w:rsidP="00C01757">
      <w:pPr>
        <w:rPr>
          <w:rFonts w:cs="Calibri"/>
          <w:sz w:val="22"/>
          <w:szCs w:val="22"/>
        </w:rPr>
      </w:pPr>
      <w:r w:rsidRPr="00E512E4">
        <w:rPr>
          <w:rFonts w:cs="Calibri"/>
          <w:sz w:val="22"/>
          <w:szCs w:val="22"/>
        </w:rPr>
        <w:br/>
        <w:t>– alkoholických a nealkoholických nápojů,</w:t>
      </w:r>
      <w:r w:rsidRPr="00E512E4">
        <w:rPr>
          <w:rFonts w:cs="Calibri"/>
          <w:sz w:val="22"/>
          <w:szCs w:val="22"/>
        </w:rPr>
        <w:br/>
        <w:t>– teplého a studeného občerstvení (např. chlebíčky, obložené mísy, polévky, teplá jídla, zákusky),</w:t>
      </w:r>
      <w:r w:rsidRPr="00E512E4">
        <w:rPr>
          <w:rFonts w:cs="Calibri"/>
          <w:sz w:val="22"/>
          <w:szCs w:val="22"/>
        </w:rPr>
        <w:br/>
        <w:t>– servírování, obsluha a distribuce jídel a nápojů,</w:t>
      </w:r>
      <w:r w:rsidRPr="00E512E4">
        <w:rPr>
          <w:rFonts w:cs="Calibri"/>
          <w:sz w:val="22"/>
          <w:szCs w:val="22"/>
        </w:rPr>
        <w:br/>
        <w:t>– dodávka, instalace a provoz vybavení pro občerstvení (např. stánky, bary, výčepy, výdejní stoly),</w:t>
      </w:r>
      <w:r w:rsidRPr="00E512E4">
        <w:rPr>
          <w:rFonts w:cs="Calibri"/>
          <w:sz w:val="22"/>
          <w:szCs w:val="22"/>
        </w:rPr>
        <w:br/>
        <w:t>– průběžné zajištění úklidu vnitřních prostor Domu kultury (DK), v nichž se catering poskytuje nebo s ním bezprostředně souvisejí.</w:t>
      </w:r>
    </w:p>
    <w:p w14:paraId="36C13398" w14:textId="77777777" w:rsidR="00C01757" w:rsidRPr="00E512E4" w:rsidRDefault="00C01757" w:rsidP="00C01757">
      <w:pPr>
        <w:rPr>
          <w:rFonts w:cs="Calibri"/>
          <w:sz w:val="22"/>
          <w:szCs w:val="22"/>
        </w:rPr>
      </w:pPr>
    </w:p>
    <w:p w14:paraId="2CE51956" w14:textId="77777777" w:rsidR="00C01757" w:rsidRDefault="00C01757" w:rsidP="00C01757">
      <w:pPr>
        <w:jc w:val="both"/>
        <w:rPr>
          <w:rFonts w:cs="Calibri"/>
          <w:sz w:val="22"/>
          <w:szCs w:val="22"/>
        </w:rPr>
      </w:pPr>
      <w:r w:rsidRPr="00E512E4">
        <w:rPr>
          <w:rFonts w:cs="Calibri"/>
          <w:sz w:val="22"/>
          <w:szCs w:val="22"/>
        </w:rPr>
        <w:t>Tuto skutečnost mají smluvní strany za nespornou, podnájemce výslovně prohlašuje, že tuto skutečnost nijak nerozporuje a souhlasí s ní.</w:t>
      </w:r>
    </w:p>
    <w:p w14:paraId="6C09C292" w14:textId="77777777" w:rsidR="00C01757" w:rsidRPr="00E512E4" w:rsidRDefault="00C01757" w:rsidP="00C01757">
      <w:pPr>
        <w:jc w:val="both"/>
        <w:rPr>
          <w:rFonts w:cs="Calibri"/>
          <w:sz w:val="22"/>
          <w:szCs w:val="22"/>
        </w:rPr>
      </w:pPr>
    </w:p>
    <w:p w14:paraId="4D7A3C12" w14:textId="77777777" w:rsidR="00C01757" w:rsidRDefault="00C01757" w:rsidP="00C01757">
      <w:pPr>
        <w:jc w:val="both"/>
        <w:rPr>
          <w:rFonts w:cs="Calibri"/>
          <w:sz w:val="22"/>
          <w:szCs w:val="22"/>
        </w:rPr>
      </w:pPr>
      <w:r w:rsidRPr="00E512E4">
        <w:rPr>
          <w:rFonts w:cs="Calibri"/>
          <w:sz w:val="22"/>
          <w:szCs w:val="22"/>
        </w:rPr>
        <w:t>Podnájemce se může s Krystal ZR s.r.o. písemně domluvit, popř. vyžádat předchozí písemný souhlas Krystal ZR s.r.o., že po dobu akce bude catering zajišťovat jiný subjekt než Krystal ZR s.r.o.; takováto písemná dohoda nebo písemný souhlas však musí být doložena nájemci nejpozději 5 pracovních dnů před konáním akce.</w:t>
      </w:r>
    </w:p>
    <w:p w14:paraId="655F6111" w14:textId="77777777" w:rsidR="00C01757" w:rsidRPr="00E512E4" w:rsidRDefault="00C01757" w:rsidP="00C01757">
      <w:pPr>
        <w:jc w:val="both"/>
        <w:rPr>
          <w:rFonts w:cs="Calibri"/>
          <w:sz w:val="22"/>
          <w:szCs w:val="22"/>
        </w:rPr>
      </w:pPr>
    </w:p>
    <w:p w14:paraId="171BC3E9" w14:textId="77777777" w:rsidR="00C01757" w:rsidRPr="00E512E4" w:rsidRDefault="00C01757" w:rsidP="00C01757">
      <w:pPr>
        <w:spacing w:after="120"/>
        <w:jc w:val="both"/>
        <w:rPr>
          <w:rFonts w:cs="Calibri"/>
          <w:sz w:val="22"/>
          <w:szCs w:val="22"/>
        </w:rPr>
      </w:pPr>
      <w:r w:rsidRPr="00E512E4">
        <w:rPr>
          <w:rFonts w:cs="Calibri"/>
          <w:sz w:val="22"/>
          <w:szCs w:val="22"/>
        </w:rPr>
        <w:t>Za písemnou dohodu nebo písemný souhlas se považuje:</w:t>
      </w:r>
    </w:p>
    <w:p w14:paraId="1F37895A" w14:textId="77777777" w:rsidR="00C01757" w:rsidRPr="00E512E4" w:rsidRDefault="00C01757" w:rsidP="00C01757">
      <w:pPr>
        <w:rPr>
          <w:rFonts w:cs="Calibri"/>
          <w:sz w:val="22"/>
          <w:szCs w:val="22"/>
        </w:rPr>
      </w:pPr>
    </w:p>
    <w:p w14:paraId="309D1504" w14:textId="77777777" w:rsidR="00C01757" w:rsidRDefault="00C01757" w:rsidP="00C01757">
      <w:pPr>
        <w:rPr>
          <w:rFonts w:cs="Calibri"/>
          <w:sz w:val="22"/>
          <w:szCs w:val="22"/>
        </w:rPr>
      </w:pPr>
      <w:r>
        <w:rPr>
          <w:rFonts w:cs="Calibri"/>
          <w:sz w:val="22"/>
          <w:szCs w:val="22"/>
        </w:rPr>
        <w:t>a</w:t>
      </w:r>
      <w:r w:rsidRPr="00E512E4">
        <w:rPr>
          <w:rFonts w:cs="Calibri"/>
          <w:sz w:val="22"/>
          <w:szCs w:val="22"/>
        </w:rPr>
        <w:t>) písemný dokument – například dopis, e-mail s uznávaným elektronickým podpisem nebo datová zpráva – z nějž bude zřejmé:</w:t>
      </w:r>
    </w:p>
    <w:p w14:paraId="153C13B2" w14:textId="77777777" w:rsidR="00C01757" w:rsidRDefault="00C01757" w:rsidP="00C01757">
      <w:pPr>
        <w:rPr>
          <w:rFonts w:cs="Calibri"/>
          <w:sz w:val="22"/>
          <w:szCs w:val="22"/>
        </w:rPr>
      </w:pPr>
      <w:r w:rsidRPr="00E512E4">
        <w:rPr>
          <w:rFonts w:cs="Calibri"/>
          <w:sz w:val="22"/>
          <w:szCs w:val="22"/>
        </w:rPr>
        <w:br/>
        <w:t>– označení akce,</w:t>
      </w:r>
      <w:r w:rsidRPr="00E512E4">
        <w:rPr>
          <w:rFonts w:cs="Calibri"/>
          <w:sz w:val="22"/>
          <w:szCs w:val="22"/>
        </w:rPr>
        <w:br/>
        <w:t>– datum konání akce,</w:t>
      </w:r>
      <w:r w:rsidRPr="00E512E4">
        <w:rPr>
          <w:rFonts w:cs="Calibri"/>
          <w:sz w:val="22"/>
          <w:szCs w:val="22"/>
        </w:rPr>
        <w:br/>
        <w:t>– jednoznačná identifikace subjektu, který bude catering zajišťovat,</w:t>
      </w:r>
      <w:r w:rsidRPr="00E512E4">
        <w:rPr>
          <w:rFonts w:cs="Calibri"/>
          <w:sz w:val="22"/>
          <w:szCs w:val="22"/>
        </w:rPr>
        <w:br/>
        <w:t>– výslovný souhlas Krystal ZR s.r.o. s tímto postupem,</w:t>
      </w:r>
      <w:r w:rsidRPr="00E512E4">
        <w:rPr>
          <w:rFonts w:cs="Calibri"/>
          <w:sz w:val="22"/>
          <w:szCs w:val="22"/>
        </w:rPr>
        <w:br/>
        <w:t>– podpis (nebo elektronický podpis) oprávněné osoby Krystal ZR s.r.o.</w:t>
      </w:r>
    </w:p>
    <w:p w14:paraId="3CCC53F4" w14:textId="77777777" w:rsidR="00C01757" w:rsidRPr="00E512E4" w:rsidRDefault="00C01757" w:rsidP="00C01757">
      <w:pPr>
        <w:rPr>
          <w:rFonts w:cs="Calibri"/>
          <w:sz w:val="22"/>
          <w:szCs w:val="22"/>
        </w:rPr>
      </w:pPr>
    </w:p>
    <w:p w14:paraId="05BD8BA4" w14:textId="77777777" w:rsidR="00C01757" w:rsidRPr="00E512E4" w:rsidRDefault="00C01757" w:rsidP="00C01757">
      <w:pPr>
        <w:spacing w:after="120"/>
        <w:jc w:val="both"/>
        <w:rPr>
          <w:rFonts w:cs="Calibri"/>
          <w:sz w:val="22"/>
          <w:szCs w:val="22"/>
        </w:rPr>
      </w:pPr>
      <w:r w:rsidRPr="00E512E4">
        <w:rPr>
          <w:rFonts w:cs="Calibri"/>
          <w:sz w:val="22"/>
          <w:szCs w:val="22"/>
        </w:rPr>
        <w:t>V případě, že bude catering zajišťovat jiný subjekt, zajistí podnájemce vlastní ubrusování a rovněž průběžný úklid prostor DK souvisejících s podáváním občerstvení.</w:t>
      </w:r>
    </w:p>
    <w:p w14:paraId="53A2B771" w14:textId="77777777" w:rsidR="00C01757" w:rsidRPr="00E512E4" w:rsidRDefault="00C01757" w:rsidP="00C01757">
      <w:pPr>
        <w:spacing w:after="120"/>
        <w:jc w:val="both"/>
        <w:rPr>
          <w:rFonts w:cs="Calibri"/>
          <w:sz w:val="22"/>
          <w:szCs w:val="22"/>
        </w:rPr>
      </w:pPr>
    </w:p>
    <w:p w14:paraId="246451FA" w14:textId="77777777" w:rsidR="00C01757" w:rsidRPr="00E512E4" w:rsidRDefault="00C01757" w:rsidP="00C01757">
      <w:pPr>
        <w:spacing w:after="120"/>
        <w:jc w:val="both"/>
        <w:rPr>
          <w:rFonts w:cs="Calibri"/>
          <w:sz w:val="22"/>
          <w:szCs w:val="22"/>
        </w:rPr>
      </w:pPr>
      <w:r w:rsidRPr="00E512E4">
        <w:rPr>
          <w:rFonts w:cs="Calibri"/>
          <w:sz w:val="22"/>
          <w:szCs w:val="22"/>
        </w:rPr>
        <w:t>4.8</w:t>
      </w:r>
      <w:r>
        <w:rPr>
          <w:rFonts w:cs="Calibri"/>
          <w:sz w:val="22"/>
          <w:szCs w:val="22"/>
        </w:rPr>
        <w:t xml:space="preserve"> </w:t>
      </w:r>
      <w:r w:rsidRPr="00E512E4">
        <w:rPr>
          <w:rFonts w:cs="Calibri"/>
          <w:sz w:val="22"/>
          <w:szCs w:val="22"/>
        </w:rPr>
        <w:t>V případě, že podnájemce si zajistí catering po dobu akce jiným subjektem než Krystal ZR s.r.o. bez předchozí písemné dohody nebo písemného souhlasu Krystal ZR s.r.o. dle bodu 4.7, je podnájemce povinen uhradit nájemci smluvní pokutu ve výši 20.000,- Kč.</w:t>
      </w:r>
    </w:p>
    <w:p w14:paraId="37A9BB30" w14:textId="77777777" w:rsidR="00C01757" w:rsidRPr="00E512E4" w:rsidRDefault="00C01757" w:rsidP="00C01757">
      <w:pPr>
        <w:spacing w:after="120"/>
        <w:jc w:val="both"/>
        <w:rPr>
          <w:rFonts w:cs="Calibri"/>
          <w:sz w:val="22"/>
          <w:szCs w:val="22"/>
        </w:rPr>
      </w:pPr>
      <w:r w:rsidRPr="00E512E4">
        <w:rPr>
          <w:rFonts w:cs="Calibri"/>
          <w:sz w:val="22"/>
          <w:szCs w:val="22"/>
        </w:rPr>
        <w:t>Smluvní pokuta je splatná do 14 dnů poté, co bude písemná výzva nájemce k její úhradě doručena podnájemci.</w:t>
      </w:r>
    </w:p>
    <w:p w14:paraId="057EF257" w14:textId="77777777" w:rsidR="00C01757" w:rsidRPr="00E512E4" w:rsidRDefault="00C01757" w:rsidP="00C01757">
      <w:pPr>
        <w:spacing w:after="120"/>
        <w:jc w:val="both"/>
        <w:rPr>
          <w:rFonts w:cs="Calibri"/>
          <w:sz w:val="22"/>
          <w:szCs w:val="22"/>
        </w:rPr>
      </w:pPr>
    </w:p>
    <w:p w14:paraId="7223952C" w14:textId="77777777" w:rsidR="00C01757" w:rsidRPr="00E512E4" w:rsidRDefault="00C01757" w:rsidP="00C01757">
      <w:pPr>
        <w:rPr>
          <w:rFonts w:cs="Calibri"/>
          <w:sz w:val="22"/>
          <w:szCs w:val="22"/>
        </w:rPr>
      </w:pPr>
      <w:r w:rsidRPr="00E512E4">
        <w:rPr>
          <w:rFonts w:cs="Calibri"/>
          <w:sz w:val="22"/>
          <w:szCs w:val="22"/>
        </w:rPr>
        <w:t>4.9</w:t>
      </w:r>
      <w:r>
        <w:rPr>
          <w:rFonts w:cs="Calibri"/>
          <w:sz w:val="22"/>
          <w:szCs w:val="22"/>
        </w:rPr>
        <w:t xml:space="preserve"> </w:t>
      </w:r>
      <w:r w:rsidRPr="00E512E4">
        <w:rPr>
          <w:rFonts w:cs="Calibri"/>
          <w:sz w:val="22"/>
          <w:szCs w:val="22"/>
        </w:rPr>
        <w:t>Dle bodu 1.1 této smlouvy mezi prostory, které byly touto smlouvou přenechány podnájemci nájemcem do dočasného užívání za účelem pořádání akce, nenáleží prostory bufetu/baru v horním vestibulu v II. patře DK a bufetu/baru ve vstupní hale v přízemí DK.</w:t>
      </w:r>
    </w:p>
    <w:p w14:paraId="5A1EA135" w14:textId="77777777" w:rsidR="00C01757" w:rsidRDefault="00C01757" w:rsidP="00C01757">
      <w:pPr>
        <w:rPr>
          <w:rFonts w:cs="Calibri"/>
          <w:sz w:val="22"/>
          <w:szCs w:val="22"/>
        </w:rPr>
      </w:pPr>
      <w:r w:rsidRPr="00E512E4">
        <w:rPr>
          <w:rFonts w:cs="Calibri"/>
          <w:sz w:val="22"/>
          <w:szCs w:val="22"/>
        </w:rPr>
        <w:t>Podnájemce prohlašuje, že byl nájemcem seznámen s tím, že tyto prostory má na základě Smlouvy o nájmu ze dne 15.12.2021 v podnájmu Krystal ZR s.r.o., která je oprávněna po dobu akce v uvedených prostorách provozovat bufet/bar.</w:t>
      </w:r>
    </w:p>
    <w:p w14:paraId="641B6191" w14:textId="77777777" w:rsidR="00C01757" w:rsidRPr="00E512E4" w:rsidRDefault="00C01757" w:rsidP="00C01757">
      <w:pPr>
        <w:rPr>
          <w:rFonts w:cs="Calibri"/>
          <w:sz w:val="22"/>
          <w:szCs w:val="22"/>
        </w:rPr>
      </w:pPr>
    </w:p>
    <w:p w14:paraId="097AE66C" w14:textId="77777777" w:rsidR="00C01757" w:rsidRDefault="00C01757" w:rsidP="00C01757">
      <w:pPr>
        <w:rPr>
          <w:rFonts w:cs="Calibri"/>
          <w:sz w:val="22"/>
          <w:szCs w:val="22"/>
        </w:rPr>
      </w:pPr>
      <w:r w:rsidRPr="00E512E4">
        <w:rPr>
          <w:rFonts w:cs="Calibri"/>
          <w:sz w:val="22"/>
          <w:szCs w:val="22"/>
        </w:rPr>
        <w:t>Provozováním se rozumí zejména:</w:t>
      </w:r>
      <w:r w:rsidRPr="00E512E4">
        <w:rPr>
          <w:rFonts w:cs="Calibri"/>
          <w:sz w:val="22"/>
          <w:szCs w:val="22"/>
        </w:rPr>
        <w:br/>
        <w:t>– prodej alkoholických a nealkoholických nápojů,</w:t>
      </w:r>
      <w:r w:rsidRPr="00E512E4">
        <w:rPr>
          <w:rFonts w:cs="Calibri"/>
          <w:sz w:val="22"/>
          <w:szCs w:val="22"/>
        </w:rPr>
        <w:br/>
        <w:t>– prodej teplého a studeného občerstvení,</w:t>
      </w:r>
      <w:r w:rsidRPr="00E512E4">
        <w:rPr>
          <w:rFonts w:cs="Calibri"/>
          <w:sz w:val="22"/>
          <w:szCs w:val="22"/>
        </w:rPr>
        <w:br/>
        <w:t>– prodej doplňkového sortimentu (např. balené občerstvení, cukrovinky).</w:t>
      </w:r>
    </w:p>
    <w:p w14:paraId="4AE6828B" w14:textId="77777777" w:rsidR="00C01757" w:rsidRPr="00E512E4" w:rsidRDefault="00C01757" w:rsidP="00C01757">
      <w:pPr>
        <w:rPr>
          <w:rFonts w:cs="Calibri"/>
          <w:sz w:val="22"/>
          <w:szCs w:val="22"/>
        </w:rPr>
      </w:pPr>
    </w:p>
    <w:p w14:paraId="082AE903" w14:textId="77777777" w:rsidR="00C01757" w:rsidRPr="00E512E4" w:rsidRDefault="00C01757" w:rsidP="00C01757">
      <w:pPr>
        <w:rPr>
          <w:rFonts w:cs="Calibri"/>
          <w:sz w:val="22"/>
          <w:szCs w:val="22"/>
        </w:rPr>
      </w:pPr>
      <w:r w:rsidRPr="00E512E4">
        <w:rPr>
          <w:rFonts w:cs="Calibri"/>
          <w:sz w:val="22"/>
          <w:szCs w:val="22"/>
        </w:rPr>
        <w:t>Tuto skutečnost mají smluvní strany za nespornou, podnájemce výslovně prohlašuje, že tuto skutečnost nijak nerozporuje a souhlasí s ní.</w:t>
      </w:r>
    </w:p>
    <w:p w14:paraId="7139DBBF" w14:textId="77777777" w:rsidR="00C01757" w:rsidRPr="00E512E4" w:rsidRDefault="00C01757" w:rsidP="00C01757">
      <w:pPr>
        <w:spacing w:after="120"/>
        <w:rPr>
          <w:rFonts w:cs="Calibri"/>
          <w:sz w:val="22"/>
          <w:szCs w:val="22"/>
        </w:rPr>
      </w:pPr>
      <w:r w:rsidRPr="00E512E4">
        <w:rPr>
          <w:rFonts w:cs="Calibri"/>
          <w:sz w:val="22"/>
          <w:szCs w:val="22"/>
        </w:rPr>
        <w:t>Podnájemce se může s Krystal ZR s.r.o. písemně domluvit, popř. vyžádat předchozí písemný souhlas Krystal ZR s.r.o., že po dobu akce bude bufet/bar v uvedených prostorách provozovat jiný subjekt; takováto písemná dohoda nebo písemný souhlas však musí být doložena nájemci nejpozději 5 pracovních dnů před konáním akce.</w:t>
      </w:r>
    </w:p>
    <w:p w14:paraId="53B02F6A" w14:textId="77777777" w:rsidR="00C01757" w:rsidRPr="00E512E4" w:rsidRDefault="00C01757" w:rsidP="00C01757">
      <w:pPr>
        <w:spacing w:after="120"/>
        <w:jc w:val="both"/>
        <w:rPr>
          <w:rFonts w:cs="Calibri"/>
          <w:sz w:val="22"/>
          <w:szCs w:val="22"/>
        </w:rPr>
      </w:pPr>
      <w:r w:rsidRPr="00E512E4">
        <w:rPr>
          <w:rFonts w:cs="Calibri"/>
          <w:sz w:val="22"/>
          <w:szCs w:val="22"/>
        </w:rPr>
        <w:t>Za písemnou dohodu nebo písemný souhlas se považuje:</w:t>
      </w:r>
    </w:p>
    <w:p w14:paraId="2917C742" w14:textId="77777777" w:rsidR="00C01757" w:rsidRDefault="00C01757" w:rsidP="00C01757">
      <w:pPr>
        <w:spacing w:after="120"/>
        <w:rPr>
          <w:rFonts w:cs="Calibri"/>
          <w:sz w:val="22"/>
          <w:szCs w:val="22"/>
        </w:rPr>
      </w:pPr>
      <w:r>
        <w:rPr>
          <w:rFonts w:cs="Calibri"/>
          <w:sz w:val="22"/>
          <w:szCs w:val="22"/>
        </w:rPr>
        <w:t>a</w:t>
      </w:r>
      <w:r w:rsidRPr="00E512E4">
        <w:rPr>
          <w:rFonts w:cs="Calibri"/>
          <w:sz w:val="22"/>
          <w:szCs w:val="22"/>
        </w:rPr>
        <w:t>) písemný dokument – například dopis, e-mail s uznávaným elektronickým podpisem nebo datová zpráva – z nějž bude zřejmé:</w:t>
      </w:r>
    </w:p>
    <w:p w14:paraId="1043E8F9" w14:textId="77777777" w:rsidR="00C01757" w:rsidRPr="00E512E4" w:rsidRDefault="00C01757" w:rsidP="00C01757">
      <w:pPr>
        <w:spacing w:after="120"/>
        <w:rPr>
          <w:rFonts w:cs="Calibri"/>
          <w:sz w:val="22"/>
          <w:szCs w:val="22"/>
        </w:rPr>
      </w:pPr>
      <w:r w:rsidRPr="00E512E4">
        <w:rPr>
          <w:rFonts w:cs="Calibri"/>
          <w:sz w:val="22"/>
          <w:szCs w:val="22"/>
        </w:rPr>
        <w:br/>
        <w:t>– označení akce,</w:t>
      </w:r>
      <w:r w:rsidRPr="00E512E4">
        <w:rPr>
          <w:rFonts w:cs="Calibri"/>
          <w:sz w:val="22"/>
          <w:szCs w:val="22"/>
        </w:rPr>
        <w:br/>
        <w:t>– datum konání akce,</w:t>
      </w:r>
      <w:r w:rsidRPr="00E512E4">
        <w:rPr>
          <w:rFonts w:cs="Calibri"/>
          <w:sz w:val="22"/>
          <w:szCs w:val="22"/>
        </w:rPr>
        <w:br/>
        <w:t>– jednoznačná identifikace subjektu, který bude bufet/bar provozovat,</w:t>
      </w:r>
      <w:r w:rsidRPr="00E512E4">
        <w:rPr>
          <w:rFonts w:cs="Calibri"/>
          <w:sz w:val="22"/>
          <w:szCs w:val="22"/>
        </w:rPr>
        <w:br/>
        <w:t>– výslovný souhlas Krystal ZR s.r.o. s tímto postupem,</w:t>
      </w:r>
      <w:r w:rsidRPr="00E512E4">
        <w:rPr>
          <w:rFonts w:cs="Calibri"/>
          <w:sz w:val="22"/>
          <w:szCs w:val="22"/>
        </w:rPr>
        <w:br/>
        <w:t>– podpis (nebo elektronický podpis) oprávněné osoby Krystal ZR s.r.o.</w:t>
      </w:r>
    </w:p>
    <w:p w14:paraId="184D6290" w14:textId="77777777" w:rsidR="00C01757" w:rsidRPr="00E512E4" w:rsidRDefault="00C01757" w:rsidP="00C01757">
      <w:pPr>
        <w:spacing w:after="120"/>
        <w:rPr>
          <w:rFonts w:cs="Calibri"/>
          <w:sz w:val="22"/>
          <w:szCs w:val="22"/>
        </w:rPr>
      </w:pPr>
    </w:p>
    <w:p w14:paraId="6BCAFA70" w14:textId="77777777" w:rsidR="00C01757" w:rsidRPr="00E512E4" w:rsidRDefault="00C01757" w:rsidP="00C01757">
      <w:pPr>
        <w:spacing w:after="120"/>
        <w:jc w:val="both"/>
        <w:rPr>
          <w:rFonts w:cs="Calibri"/>
          <w:sz w:val="22"/>
          <w:szCs w:val="22"/>
        </w:rPr>
      </w:pPr>
      <w:r w:rsidRPr="00E512E4">
        <w:rPr>
          <w:rFonts w:cs="Calibri"/>
          <w:sz w:val="22"/>
          <w:szCs w:val="22"/>
        </w:rPr>
        <w:t>4.10</w:t>
      </w:r>
      <w:r>
        <w:rPr>
          <w:rFonts w:cs="Calibri"/>
          <w:sz w:val="22"/>
          <w:szCs w:val="22"/>
        </w:rPr>
        <w:t xml:space="preserve"> </w:t>
      </w:r>
      <w:r w:rsidRPr="00E512E4">
        <w:rPr>
          <w:rFonts w:cs="Calibri"/>
          <w:sz w:val="22"/>
          <w:szCs w:val="22"/>
        </w:rPr>
        <w:t>Podnájemce se zavazuje, že nebude Krystal ZR s.r.o. žádným způsobem bráněno v provozování bufetu/baru v horním vestibulu v II. patře DK a bufetu/baru ve vstupní hale v přízemí DK, zejména např. zatarasením přístupu do těchto prostor nebo jiným omezením provozu.</w:t>
      </w:r>
    </w:p>
    <w:p w14:paraId="64F68981" w14:textId="77777777" w:rsidR="00C01757" w:rsidRPr="00E512E4" w:rsidRDefault="00C01757" w:rsidP="00C01757">
      <w:pPr>
        <w:spacing w:after="120"/>
        <w:jc w:val="both"/>
        <w:rPr>
          <w:rFonts w:cs="Calibri"/>
          <w:sz w:val="22"/>
          <w:szCs w:val="22"/>
        </w:rPr>
      </w:pPr>
      <w:r w:rsidRPr="00E512E4">
        <w:rPr>
          <w:rFonts w:cs="Calibri"/>
          <w:sz w:val="22"/>
          <w:szCs w:val="22"/>
        </w:rPr>
        <w:t>Podnájemce je povinen zajistit dodržení tohoto závazku také ze strany svých dodavatelů, zaměstnanců, návštěvníků a dalších osob účastnících se akce.</w:t>
      </w:r>
    </w:p>
    <w:p w14:paraId="61060C94" w14:textId="77777777" w:rsidR="00C01757" w:rsidRPr="00E512E4" w:rsidRDefault="00C01757" w:rsidP="00C01757">
      <w:pPr>
        <w:spacing w:after="120"/>
        <w:jc w:val="both"/>
        <w:rPr>
          <w:rFonts w:cs="Calibri"/>
          <w:sz w:val="22"/>
          <w:szCs w:val="22"/>
        </w:rPr>
      </w:pPr>
    </w:p>
    <w:p w14:paraId="401D6720" w14:textId="77777777" w:rsidR="00C01757" w:rsidRPr="00E512E4" w:rsidRDefault="00C01757" w:rsidP="00C01757">
      <w:pPr>
        <w:spacing w:after="120"/>
        <w:jc w:val="both"/>
        <w:rPr>
          <w:rFonts w:cs="Calibri"/>
          <w:sz w:val="22"/>
          <w:szCs w:val="22"/>
        </w:rPr>
      </w:pPr>
      <w:r w:rsidRPr="00E512E4">
        <w:rPr>
          <w:rFonts w:cs="Calibri"/>
          <w:sz w:val="22"/>
          <w:szCs w:val="22"/>
        </w:rPr>
        <w:t>4.11</w:t>
      </w:r>
      <w:r>
        <w:rPr>
          <w:rFonts w:cs="Calibri"/>
          <w:sz w:val="22"/>
          <w:szCs w:val="22"/>
        </w:rPr>
        <w:t xml:space="preserve"> </w:t>
      </w:r>
      <w:r w:rsidRPr="00E512E4">
        <w:rPr>
          <w:rFonts w:cs="Calibri"/>
          <w:sz w:val="22"/>
          <w:szCs w:val="22"/>
        </w:rPr>
        <w:t>V případě, že podnájemce poruší povinnost dle bodu 4.10 této smlouvy, je povinen uhradit nájemci smluvní pokutu ve výši 20.000,- Kč.</w:t>
      </w:r>
    </w:p>
    <w:p w14:paraId="430A1CE7" w14:textId="77777777" w:rsidR="00C01757" w:rsidRPr="00E512E4" w:rsidRDefault="00C01757" w:rsidP="00C01757">
      <w:pPr>
        <w:spacing w:after="120"/>
        <w:jc w:val="both"/>
        <w:rPr>
          <w:rFonts w:cs="Calibri"/>
          <w:sz w:val="22"/>
          <w:szCs w:val="22"/>
        </w:rPr>
      </w:pPr>
      <w:r w:rsidRPr="00E512E4">
        <w:rPr>
          <w:rFonts w:cs="Calibri"/>
          <w:sz w:val="22"/>
          <w:szCs w:val="22"/>
        </w:rPr>
        <w:lastRenderedPageBreak/>
        <w:t>Smluvní pokuta je splatná do 14 dnů ode dne doručení písemné výzvy nájemce k její úhradě.</w:t>
      </w:r>
    </w:p>
    <w:p w14:paraId="7603A16E" w14:textId="77777777" w:rsidR="00C01757" w:rsidRPr="00E512E4" w:rsidRDefault="00C01757" w:rsidP="00C01757">
      <w:pPr>
        <w:spacing w:after="120"/>
        <w:jc w:val="both"/>
        <w:rPr>
          <w:rFonts w:cs="Calibri"/>
          <w:sz w:val="22"/>
          <w:szCs w:val="22"/>
        </w:rPr>
      </w:pPr>
    </w:p>
    <w:p w14:paraId="0454FF29" w14:textId="77777777" w:rsidR="00C01757" w:rsidRPr="004A2DCB" w:rsidRDefault="00C01757" w:rsidP="00C01757">
      <w:pPr>
        <w:spacing w:after="120"/>
        <w:jc w:val="both"/>
        <w:rPr>
          <w:rFonts w:cs="Calibri"/>
          <w:color w:val="000000"/>
          <w:sz w:val="22"/>
          <w:szCs w:val="22"/>
          <w:shd w:val="clear" w:color="auto" w:fill="FFFFFF"/>
        </w:rPr>
      </w:pPr>
    </w:p>
    <w:p w14:paraId="4BCD87A8" w14:textId="77777777" w:rsidR="00C01757" w:rsidRPr="005238F2" w:rsidRDefault="00C01757" w:rsidP="00C01757">
      <w:pPr>
        <w:pStyle w:val="Normlnweb"/>
        <w:contextualSpacing/>
        <w:jc w:val="center"/>
        <w:rPr>
          <w:rFonts w:ascii="Calibri" w:hAnsi="Calibri" w:cs="Calibri"/>
          <w:b/>
          <w:bCs/>
          <w:sz w:val="22"/>
          <w:szCs w:val="22"/>
        </w:rPr>
      </w:pPr>
      <w:r w:rsidRPr="005238F2">
        <w:rPr>
          <w:rFonts w:ascii="Calibri" w:hAnsi="Calibri" w:cs="Calibri"/>
          <w:b/>
          <w:bCs/>
          <w:sz w:val="22"/>
          <w:szCs w:val="22"/>
        </w:rPr>
        <w:t>5. Zvláštní ujednání</w:t>
      </w:r>
    </w:p>
    <w:p w14:paraId="26DA27FA" w14:textId="77777777" w:rsidR="00C01757" w:rsidRPr="005238F2" w:rsidRDefault="00C01757" w:rsidP="00C01757">
      <w:pPr>
        <w:pStyle w:val="Normlnweb"/>
        <w:contextualSpacing/>
        <w:jc w:val="both"/>
        <w:rPr>
          <w:rFonts w:ascii="Calibri" w:hAnsi="Calibri" w:cs="Calibri"/>
          <w:sz w:val="22"/>
          <w:szCs w:val="22"/>
        </w:rPr>
      </w:pPr>
      <w:r w:rsidRPr="005238F2">
        <w:rPr>
          <w:rFonts w:ascii="Calibri" w:hAnsi="Calibri" w:cs="Calibri"/>
          <w:sz w:val="22"/>
          <w:szCs w:val="22"/>
        </w:rPr>
        <w:t>5.1 Podnájemce si je vědom povinností (zejména v souvislosti s podáváním alkoholických nápojů během akce) vyplývajících ze zákona č. 65/2017 Sb., o ochraně zdraví před škodlivými účinky návykových látek, a ze zákona č. 40/2009 Sb., trestní zákoník.</w:t>
      </w:r>
      <w:r w:rsidRPr="005238F2">
        <w:rPr>
          <w:rFonts w:ascii="Calibri" w:hAnsi="Calibri" w:cs="Calibri"/>
          <w:sz w:val="22"/>
          <w:szCs w:val="22"/>
        </w:rPr>
        <w:tab/>
      </w:r>
    </w:p>
    <w:p w14:paraId="1A3C6389" w14:textId="1ABBE706" w:rsidR="00C01757" w:rsidRPr="00F85DA2" w:rsidRDefault="00C01757" w:rsidP="00C01757">
      <w:pPr>
        <w:pStyle w:val="Normlnweb"/>
        <w:contextualSpacing/>
        <w:jc w:val="both"/>
        <w:rPr>
          <w:rFonts w:ascii="Calibri" w:hAnsi="Calibri" w:cs="Calibri"/>
          <w:sz w:val="22"/>
          <w:szCs w:val="22"/>
        </w:rPr>
      </w:pPr>
      <w:r w:rsidRPr="00384002">
        <w:rPr>
          <w:rFonts w:ascii="Calibri" w:hAnsi="Calibri" w:cs="Calibri"/>
          <w:sz w:val="22"/>
          <w:szCs w:val="22"/>
        </w:rPr>
        <w:t xml:space="preserve">5.2 V případě zvýšení cen energií si pronajímatel vyhrazuje právo navýšit finanční částku uvedenou v bodu 4.2 této smlouvy, je však povinen tuto změnu písemně vypůjčiteli oznámit alespoň tři dny před konáním akce. Písemnou formou se rozumí i zaslání oznámení o zvýšení částky uvedené v bodu 4.2 této smlouvy na </w:t>
      </w:r>
      <w:r w:rsidRPr="00384002">
        <w:rPr>
          <w:rFonts w:ascii="Calibri" w:hAnsi="Calibri" w:cs="Calibri"/>
          <w:b/>
          <w:sz w:val="22"/>
          <w:szCs w:val="22"/>
        </w:rPr>
        <w:t xml:space="preserve">e-mail: </w:t>
      </w:r>
      <w:r w:rsidR="00037273">
        <w:rPr>
          <w:rFonts w:ascii="Calibri" w:hAnsi="Calibri" w:cs="Calibri"/>
          <w:b/>
          <w:sz w:val="22"/>
          <w:szCs w:val="22"/>
        </w:rPr>
        <w:t>XXX</w:t>
      </w:r>
    </w:p>
    <w:p w14:paraId="19C33DB6" w14:textId="77777777" w:rsidR="00C01757" w:rsidRPr="005238F2" w:rsidRDefault="00C01757" w:rsidP="00C01757">
      <w:pPr>
        <w:pStyle w:val="Normlnweb"/>
        <w:contextualSpacing/>
        <w:jc w:val="both"/>
        <w:rPr>
          <w:rFonts w:ascii="Calibri" w:hAnsi="Calibri" w:cs="Calibri"/>
          <w:sz w:val="22"/>
          <w:szCs w:val="22"/>
        </w:rPr>
      </w:pPr>
      <w:r w:rsidRPr="005238F2">
        <w:rPr>
          <w:rFonts w:ascii="Calibri" w:hAnsi="Calibri" w:cs="Calibri"/>
          <w:sz w:val="22"/>
          <w:szCs w:val="22"/>
        </w:rPr>
        <w:t>5.3 Vzhledem k veřejnoprávnímu charakteru Kultury Žďár, příspěvkové organizace (PO) druhá strana (DS) výslovně prohlašuje, že je s touto skutečností obeznámena. DS dále souhlasí s tím, že ze strany PO bude, resp. může být, při dodržení podmínek stanovených zákonem č. 110/2019 Sb., o zpracování osobních údajů, zveřejněna tato smlouva jako celek, popřípadě její část nebo dílčí informace týkající se této smlouvy a jejího plnění na portále veřejné správy.</w:t>
      </w:r>
    </w:p>
    <w:p w14:paraId="722338C5" w14:textId="77777777" w:rsidR="00C01757" w:rsidRPr="005238F2" w:rsidRDefault="00C01757" w:rsidP="00C01757">
      <w:pPr>
        <w:pStyle w:val="Normlnweb"/>
        <w:contextualSpacing/>
        <w:jc w:val="both"/>
        <w:rPr>
          <w:rFonts w:ascii="Calibri" w:hAnsi="Calibri" w:cs="Calibri"/>
          <w:sz w:val="22"/>
          <w:szCs w:val="22"/>
        </w:rPr>
      </w:pPr>
      <w:r w:rsidRPr="005238F2">
        <w:rPr>
          <w:rFonts w:ascii="Calibri" w:hAnsi="Calibri" w:cs="Calibri"/>
          <w:sz w:val="22"/>
          <w:szCs w:val="22"/>
        </w:rPr>
        <w:t>5.4 Nájemce za odložené věci v DK mimo šatny v režii nájemce neručí.</w:t>
      </w:r>
    </w:p>
    <w:p w14:paraId="4C45CC9C" w14:textId="77777777" w:rsidR="00C01757" w:rsidRPr="005238F2" w:rsidRDefault="00C01757" w:rsidP="00C01757">
      <w:pPr>
        <w:pStyle w:val="Normlnweb"/>
        <w:contextualSpacing/>
        <w:jc w:val="both"/>
        <w:rPr>
          <w:rFonts w:ascii="Calibri" w:hAnsi="Calibri" w:cs="Calibri"/>
          <w:sz w:val="22"/>
          <w:szCs w:val="22"/>
        </w:rPr>
      </w:pPr>
      <w:r w:rsidRPr="00384002">
        <w:rPr>
          <w:rFonts w:ascii="Calibri" w:hAnsi="Calibri" w:cs="Calibri"/>
          <w:sz w:val="22"/>
          <w:szCs w:val="22"/>
        </w:rPr>
        <w:t>5.5 Nájemce je oprávněn vypovědět tuto smlouvu, je-li podnájemce v prodlení s úhradou ceny podnájmu nebo pokud podnájemce užívá prostory v rozporu s touto smlouvou. Výpověď musí být písemná a účinná je okamžikem jejího doručení druhé smluvní straně.</w:t>
      </w:r>
    </w:p>
    <w:p w14:paraId="2CC75E01" w14:textId="77777777" w:rsidR="00C01757" w:rsidRPr="005238F2" w:rsidRDefault="00C01757" w:rsidP="00C01757">
      <w:pPr>
        <w:pStyle w:val="Normlnweb"/>
        <w:numPr>
          <w:ilvl w:val="1"/>
          <w:numId w:val="4"/>
        </w:numPr>
        <w:ind w:left="0" w:firstLine="0"/>
        <w:contextualSpacing/>
        <w:jc w:val="both"/>
        <w:rPr>
          <w:rFonts w:ascii="Calibri" w:hAnsi="Calibri" w:cs="Calibri"/>
          <w:sz w:val="22"/>
          <w:szCs w:val="22"/>
        </w:rPr>
      </w:pPr>
      <w:r w:rsidRPr="005238F2">
        <w:rPr>
          <w:rFonts w:ascii="Calibri" w:hAnsi="Calibri" w:cs="Calibri"/>
          <w:sz w:val="22"/>
          <w:szCs w:val="22"/>
        </w:rPr>
        <w:t>Tuto smlouvu lze měnit a doplňovat výhradně písemnou formou, je vyhotovena ve dvou</w:t>
      </w:r>
      <w:r>
        <w:rPr>
          <w:rFonts w:ascii="Calibri" w:hAnsi="Calibri" w:cs="Calibri"/>
          <w:sz w:val="22"/>
          <w:szCs w:val="22"/>
        </w:rPr>
        <w:t xml:space="preserve"> </w:t>
      </w:r>
      <w:r w:rsidRPr="005238F2">
        <w:rPr>
          <w:rFonts w:ascii="Calibri" w:hAnsi="Calibri" w:cs="Calibri"/>
          <w:sz w:val="22"/>
          <w:szCs w:val="22"/>
        </w:rPr>
        <w:t>výtiscích.</w:t>
      </w:r>
    </w:p>
    <w:p w14:paraId="776E2453" w14:textId="77777777" w:rsidR="00C01757" w:rsidRPr="005238F2" w:rsidRDefault="00C01757" w:rsidP="00C01757">
      <w:pPr>
        <w:pStyle w:val="Normlnweb"/>
        <w:contextualSpacing/>
        <w:jc w:val="both"/>
        <w:rPr>
          <w:rFonts w:ascii="Calibri" w:hAnsi="Calibri" w:cs="Calibri"/>
          <w:sz w:val="22"/>
          <w:szCs w:val="22"/>
        </w:rPr>
      </w:pPr>
      <w:r>
        <w:rPr>
          <w:rFonts w:ascii="Calibri" w:hAnsi="Calibri" w:cs="Calibri"/>
          <w:sz w:val="22"/>
          <w:szCs w:val="22"/>
        </w:rPr>
        <w:t xml:space="preserve">5.7 </w:t>
      </w:r>
      <w:r w:rsidRPr="005238F2">
        <w:rPr>
          <w:rFonts w:ascii="Calibri" w:hAnsi="Calibri" w:cs="Calibri"/>
          <w:sz w:val="22"/>
          <w:szCs w:val="22"/>
        </w:rPr>
        <w:t>Nedílnou součástí této smlouvy j</w:t>
      </w:r>
      <w:r>
        <w:rPr>
          <w:rFonts w:ascii="Calibri" w:hAnsi="Calibri" w:cs="Calibri"/>
          <w:sz w:val="22"/>
          <w:szCs w:val="22"/>
        </w:rPr>
        <w:t>e</w:t>
      </w:r>
      <w:r w:rsidRPr="005238F2">
        <w:rPr>
          <w:rFonts w:ascii="Calibri" w:hAnsi="Calibri" w:cs="Calibri"/>
          <w:sz w:val="22"/>
          <w:szCs w:val="22"/>
        </w:rPr>
        <w:t xml:space="preserve"> Příloha 1 - Cenová kalkulace. </w:t>
      </w:r>
    </w:p>
    <w:p w14:paraId="57748DCB" w14:textId="77777777" w:rsidR="00C01757" w:rsidRPr="00BE3B7F" w:rsidRDefault="00C01757" w:rsidP="00C01757">
      <w:pPr>
        <w:pStyle w:val="Normlnweb"/>
        <w:contextualSpacing/>
        <w:jc w:val="both"/>
        <w:rPr>
          <w:rFonts w:ascii="Calibri" w:hAnsi="Calibri" w:cs="Calibri"/>
          <w:sz w:val="22"/>
          <w:szCs w:val="22"/>
        </w:rPr>
      </w:pPr>
      <w:r w:rsidRPr="00384002">
        <w:rPr>
          <w:rFonts w:ascii="Calibri" w:hAnsi="Calibri" w:cs="Calibri"/>
          <w:sz w:val="22"/>
          <w:szCs w:val="22"/>
        </w:rPr>
        <w:t>5.8 Smlouva nabývá platnosti podpisem obou smluvních stran. Smluvní strany berou na vědomí, že Kultura Žďár, příspěvková organizace má dle zákona č. 340/2015 Sb., o zvláštních podmínkách účinnosti některých smluv, uveřejňování těchto smluv a o registru smluv (zákon o registru smluv), povinnost tuto smlouvu zveřejnit prostřednictvím registru smluv. Smluvní strany dále prohlašují, že tato smlouva neobsahuje obchodní tajemství.</w:t>
      </w:r>
    </w:p>
    <w:p w14:paraId="2D709883" w14:textId="77777777" w:rsidR="00C01757" w:rsidRPr="005238F2" w:rsidRDefault="00C01757" w:rsidP="00C01757">
      <w:pPr>
        <w:pStyle w:val="Normlnweb"/>
        <w:contextualSpacing/>
        <w:jc w:val="both"/>
        <w:rPr>
          <w:rFonts w:ascii="Calibri" w:hAnsi="Calibri" w:cs="Calibri"/>
          <w:sz w:val="22"/>
          <w:szCs w:val="22"/>
        </w:rPr>
      </w:pPr>
      <w:r w:rsidRPr="005238F2">
        <w:rPr>
          <w:rFonts w:ascii="Calibri" w:hAnsi="Calibri" w:cs="Calibri"/>
          <w:sz w:val="22"/>
          <w:szCs w:val="22"/>
        </w:rPr>
        <w:t xml:space="preserve">5.9 Dodavatel se zavazuje neposkytovat třetí osobě žádné informace o skutečnostech, které mají charakter důvěrných informací včetně osobních údajů, s nimiž se setkávají v průběhu smluvní činnosti. Dále se zavazují nezpracovávat osobní údaje jinak, než za účelem plnění smlouvy a v souladu s nařízením EU a zákonem č. 110/2019 sb., o zpracování osobních údajů. </w:t>
      </w:r>
      <w:r w:rsidRPr="005238F2">
        <w:rPr>
          <w:rFonts w:ascii="Calibri" w:hAnsi="Calibri" w:cs="Calibri"/>
          <w:sz w:val="22"/>
          <w:szCs w:val="22"/>
        </w:rPr>
        <w:tab/>
      </w:r>
      <w:r w:rsidRPr="005238F2">
        <w:rPr>
          <w:rFonts w:ascii="Calibri" w:hAnsi="Calibri" w:cs="Calibri"/>
          <w:sz w:val="22"/>
          <w:szCs w:val="22"/>
        </w:rPr>
        <w:tab/>
      </w:r>
      <w:r w:rsidRPr="005238F2">
        <w:rPr>
          <w:rFonts w:ascii="Calibri" w:hAnsi="Calibri" w:cs="Calibri"/>
          <w:sz w:val="22"/>
          <w:szCs w:val="22"/>
        </w:rPr>
        <w:tab/>
      </w:r>
      <w:r w:rsidRPr="005238F2">
        <w:rPr>
          <w:rFonts w:ascii="Calibri" w:hAnsi="Calibri" w:cs="Calibri"/>
          <w:sz w:val="22"/>
          <w:szCs w:val="22"/>
        </w:rPr>
        <w:tab/>
      </w:r>
      <w:r w:rsidRPr="005238F2">
        <w:rPr>
          <w:rFonts w:ascii="Calibri" w:hAnsi="Calibri" w:cs="Calibri"/>
          <w:sz w:val="22"/>
          <w:szCs w:val="22"/>
        </w:rPr>
        <w:tab/>
      </w:r>
      <w:r w:rsidRPr="005238F2">
        <w:rPr>
          <w:rFonts w:ascii="Calibri" w:hAnsi="Calibri" w:cs="Calibri"/>
          <w:sz w:val="22"/>
          <w:szCs w:val="22"/>
        </w:rPr>
        <w:tab/>
      </w:r>
      <w:r w:rsidRPr="005238F2">
        <w:rPr>
          <w:rFonts w:ascii="Calibri" w:hAnsi="Calibri" w:cs="Calibri"/>
          <w:sz w:val="22"/>
          <w:szCs w:val="22"/>
        </w:rPr>
        <w:tab/>
      </w:r>
      <w:r w:rsidRPr="005238F2">
        <w:rPr>
          <w:rFonts w:ascii="Calibri" w:hAnsi="Calibri" w:cs="Calibri"/>
          <w:sz w:val="22"/>
          <w:szCs w:val="22"/>
        </w:rPr>
        <w:tab/>
      </w:r>
      <w:r w:rsidRPr="005238F2">
        <w:rPr>
          <w:rFonts w:ascii="Calibri" w:hAnsi="Calibri" w:cs="Calibri"/>
          <w:sz w:val="22"/>
          <w:szCs w:val="22"/>
        </w:rPr>
        <w:tab/>
      </w:r>
      <w:r w:rsidRPr="005238F2">
        <w:rPr>
          <w:rFonts w:ascii="Calibri" w:hAnsi="Calibri" w:cs="Calibri"/>
          <w:sz w:val="22"/>
          <w:szCs w:val="22"/>
        </w:rPr>
        <w:tab/>
      </w:r>
      <w:r w:rsidRPr="005238F2">
        <w:rPr>
          <w:rFonts w:ascii="Calibri" w:hAnsi="Calibri" w:cs="Calibri"/>
          <w:sz w:val="22"/>
          <w:szCs w:val="22"/>
        </w:rPr>
        <w:tab/>
      </w:r>
    </w:p>
    <w:p w14:paraId="0B8346A8" w14:textId="51CE0A3E" w:rsidR="00C01757" w:rsidRPr="005238F2" w:rsidRDefault="00C01757" w:rsidP="00C01757">
      <w:pPr>
        <w:rPr>
          <w:rFonts w:cs="Calibri"/>
          <w:sz w:val="22"/>
          <w:szCs w:val="22"/>
        </w:rPr>
      </w:pPr>
      <w:r w:rsidRPr="005238F2">
        <w:rPr>
          <w:rFonts w:cs="Calibri"/>
          <w:sz w:val="22"/>
          <w:szCs w:val="22"/>
        </w:rPr>
        <w:t>Dne:</w:t>
      </w:r>
      <w:r w:rsidRPr="005238F2">
        <w:rPr>
          <w:rFonts w:cs="Calibri"/>
          <w:sz w:val="22"/>
          <w:szCs w:val="22"/>
        </w:rPr>
        <w:tab/>
        <w:t>Žďár nad Sázavou</w:t>
      </w:r>
      <w:r w:rsidR="003F3366">
        <w:rPr>
          <w:rFonts w:cs="Calibri"/>
          <w:sz w:val="22"/>
          <w:szCs w:val="22"/>
        </w:rPr>
        <w:t xml:space="preserve"> 11. 12. 2025</w:t>
      </w:r>
      <w:r w:rsidRPr="005238F2">
        <w:rPr>
          <w:rFonts w:cs="Calibri"/>
          <w:sz w:val="22"/>
          <w:szCs w:val="22"/>
        </w:rPr>
        <w:tab/>
      </w:r>
      <w:r w:rsidRPr="005238F2">
        <w:rPr>
          <w:rFonts w:cs="Calibri"/>
          <w:sz w:val="22"/>
          <w:szCs w:val="22"/>
        </w:rPr>
        <w:tab/>
        <w:t>Dne:</w:t>
      </w:r>
      <w:r w:rsidRPr="005238F2">
        <w:rPr>
          <w:rFonts w:cs="Calibri"/>
          <w:sz w:val="22"/>
          <w:szCs w:val="22"/>
        </w:rPr>
        <w:tab/>
        <w:t>Žďár nad Sázavou</w:t>
      </w:r>
      <w:r w:rsidR="003F3366">
        <w:rPr>
          <w:rFonts w:cs="Calibri"/>
          <w:sz w:val="22"/>
          <w:szCs w:val="22"/>
        </w:rPr>
        <w:t xml:space="preserve"> 11. 12. 2025</w:t>
      </w:r>
      <w:r w:rsidRPr="005238F2">
        <w:rPr>
          <w:rFonts w:cs="Calibri"/>
          <w:sz w:val="22"/>
          <w:szCs w:val="22"/>
        </w:rPr>
        <w:tab/>
      </w:r>
      <w:r w:rsidRPr="005238F2">
        <w:rPr>
          <w:rFonts w:cs="Calibri"/>
          <w:sz w:val="22"/>
          <w:szCs w:val="22"/>
        </w:rPr>
        <w:tab/>
      </w:r>
      <w:r w:rsidRPr="005238F2">
        <w:rPr>
          <w:rFonts w:cs="Calibri"/>
          <w:sz w:val="22"/>
          <w:szCs w:val="22"/>
        </w:rPr>
        <w:tab/>
      </w:r>
    </w:p>
    <w:p w14:paraId="463A6463" w14:textId="77777777" w:rsidR="00C01757" w:rsidRPr="005238F2" w:rsidRDefault="00C01757" w:rsidP="00C01757">
      <w:pPr>
        <w:rPr>
          <w:rFonts w:cs="Calibri"/>
          <w:sz w:val="22"/>
          <w:szCs w:val="22"/>
        </w:rPr>
      </w:pPr>
    </w:p>
    <w:p w14:paraId="4929FD23" w14:textId="77777777" w:rsidR="00C01757" w:rsidRPr="005238F2" w:rsidRDefault="00C01757" w:rsidP="00C01757">
      <w:pPr>
        <w:rPr>
          <w:rFonts w:cs="Calibri"/>
          <w:sz w:val="22"/>
          <w:szCs w:val="22"/>
        </w:rPr>
      </w:pPr>
    </w:p>
    <w:p w14:paraId="6AE0F304" w14:textId="77777777" w:rsidR="00C01757" w:rsidRPr="005238F2" w:rsidRDefault="00C01757" w:rsidP="00C01757">
      <w:pPr>
        <w:rPr>
          <w:rFonts w:cs="Calibri"/>
          <w:sz w:val="22"/>
          <w:szCs w:val="22"/>
        </w:rPr>
      </w:pPr>
    </w:p>
    <w:p w14:paraId="52D7CF59" w14:textId="2F4E62E0" w:rsidR="00C01757" w:rsidRPr="005238F2" w:rsidRDefault="00C01757" w:rsidP="00C01757">
      <w:pPr>
        <w:rPr>
          <w:rFonts w:cs="Calibri"/>
          <w:sz w:val="22"/>
          <w:szCs w:val="22"/>
        </w:rPr>
      </w:pPr>
      <w:r w:rsidRPr="005238F2">
        <w:rPr>
          <w:rFonts w:cs="Calibri"/>
          <w:sz w:val="22"/>
          <w:szCs w:val="22"/>
        </w:rPr>
        <w:tab/>
      </w:r>
      <w:r w:rsidRPr="005238F2">
        <w:rPr>
          <w:rFonts w:cs="Calibri"/>
          <w:sz w:val="22"/>
          <w:szCs w:val="22"/>
        </w:rPr>
        <w:tab/>
      </w:r>
      <w:r w:rsidR="00A937D9">
        <w:rPr>
          <w:rFonts w:cs="Calibri"/>
          <w:sz w:val="22"/>
          <w:szCs w:val="22"/>
        </w:rPr>
        <w:t>XXX</w:t>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00A937D9">
        <w:rPr>
          <w:rFonts w:cs="Calibri"/>
          <w:sz w:val="22"/>
          <w:szCs w:val="22"/>
        </w:rPr>
        <w:t>XXX</w:t>
      </w:r>
      <w:r w:rsidRPr="005238F2">
        <w:rPr>
          <w:rFonts w:cs="Calibri"/>
          <w:sz w:val="22"/>
          <w:szCs w:val="22"/>
        </w:rPr>
        <w:tab/>
      </w:r>
      <w:r w:rsidRPr="005238F2">
        <w:rPr>
          <w:rFonts w:cs="Calibri"/>
          <w:sz w:val="22"/>
          <w:szCs w:val="22"/>
        </w:rPr>
        <w:tab/>
      </w:r>
      <w:r w:rsidRPr="005238F2">
        <w:rPr>
          <w:rFonts w:cs="Calibri"/>
          <w:sz w:val="22"/>
          <w:szCs w:val="22"/>
        </w:rPr>
        <w:tab/>
      </w:r>
    </w:p>
    <w:p w14:paraId="3C3A5C94" w14:textId="77777777" w:rsidR="00C01757" w:rsidRPr="005238F2" w:rsidRDefault="00C01757" w:rsidP="00C01757">
      <w:pPr>
        <w:rPr>
          <w:rFonts w:cs="Calibri"/>
          <w:sz w:val="22"/>
          <w:szCs w:val="22"/>
        </w:rPr>
      </w:pPr>
      <w:r w:rsidRPr="005238F2">
        <w:rPr>
          <w:rFonts w:cs="Calibri"/>
          <w:sz w:val="22"/>
          <w:szCs w:val="22"/>
        </w:rPr>
        <w:t>……………………………………………………..                             ………………………………………………………..</w:t>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25FE6C0A" w14:textId="77777777" w:rsidR="00C01757" w:rsidRPr="008377CC" w:rsidRDefault="00C01757" w:rsidP="00C01757">
      <w:pPr>
        <w:rPr>
          <w:rFonts w:cs="Calibri"/>
          <w:sz w:val="22"/>
          <w:szCs w:val="22"/>
          <w:highlight w:val="yellow"/>
        </w:rPr>
      </w:pPr>
      <w:r w:rsidRPr="005238F2">
        <w:rPr>
          <w:rFonts w:cs="Calibri"/>
          <w:sz w:val="22"/>
          <w:szCs w:val="22"/>
        </w:rPr>
        <w:t>za Kultura Žďár, příspěvková organizace</w:t>
      </w:r>
      <w:r w:rsidRPr="005238F2">
        <w:rPr>
          <w:rFonts w:cs="Calibri"/>
          <w:sz w:val="22"/>
          <w:szCs w:val="22"/>
        </w:rPr>
        <w:tab/>
      </w:r>
      <w:r w:rsidRPr="005238F2">
        <w:rPr>
          <w:rFonts w:cs="Calibri"/>
          <w:sz w:val="22"/>
          <w:szCs w:val="22"/>
        </w:rPr>
        <w:tab/>
      </w:r>
      <w:r w:rsidRPr="008377CC">
        <w:rPr>
          <w:rFonts w:cs="Calibri"/>
          <w:sz w:val="22"/>
          <w:szCs w:val="22"/>
        </w:rPr>
        <w:t xml:space="preserve">za </w:t>
      </w:r>
      <w:r w:rsidRPr="008377CC">
        <w:rPr>
          <w:rFonts w:cs="Calibri"/>
          <w:bCs/>
          <w:sz w:val="22"/>
          <w:szCs w:val="22"/>
        </w:rPr>
        <w:t>ACO Industries k.s.</w:t>
      </w:r>
    </w:p>
    <w:p w14:paraId="2C83800B" w14:textId="77777777" w:rsidR="00C01757" w:rsidRDefault="00C01757" w:rsidP="00C01757">
      <w:pPr>
        <w:rPr>
          <w:rFonts w:cs="Calibri"/>
          <w:sz w:val="22"/>
          <w:szCs w:val="22"/>
        </w:rPr>
      </w:pPr>
      <w:r w:rsidRPr="005238F2">
        <w:rPr>
          <w:rFonts w:cs="Calibri"/>
          <w:sz w:val="22"/>
          <w:szCs w:val="22"/>
        </w:rPr>
        <w:t>Mgr. Tamara Pecková Homolová</w:t>
      </w:r>
      <w:r w:rsidRPr="005238F2">
        <w:rPr>
          <w:rFonts w:cs="Calibri"/>
          <w:sz w:val="22"/>
          <w:szCs w:val="22"/>
        </w:rPr>
        <w:tab/>
      </w:r>
      <w:r w:rsidRPr="005238F2">
        <w:rPr>
          <w:rFonts w:cs="Calibri"/>
          <w:sz w:val="22"/>
          <w:szCs w:val="22"/>
        </w:rPr>
        <w:tab/>
      </w:r>
      <w:r w:rsidRPr="005238F2">
        <w:rPr>
          <w:rFonts w:cs="Calibri"/>
          <w:sz w:val="22"/>
          <w:szCs w:val="22"/>
        </w:rPr>
        <w:tab/>
      </w:r>
      <w:r w:rsidRPr="001631C8">
        <w:rPr>
          <w:rFonts w:cs="Calibri"/>
          <w:sz w:val="22"/>
          <w:szCs w:val="22"/>
        </w:rPr>
        <w:t>Ing. Jan Císek</w:t>
      </w:r>
    </w:p>
    <w:p w14:paraId="4BD3F99E" w14:textId="77777777" w:rsidR="00C01757" w:rsidRPr="005238F2" w:rsidRDefault="00C01757" w:rsidP="00C01757">
      <w:pPr>
        <w:rPr>
          <w:rFonts w:cs="Calibri"/>
          <w:sz w:val="22"/>
          <w:szCs w:val="22"/>
        </w:rPr>
      </w:pPr>
      <w:r w:rsidRPr="005238F2">
        <w:rPr>
          <w:rFonts w:cs="Calibri"/>
          <w:sz w:val="22"/>
          <w:szCs w:val="22"/>
        </w:rPr>
        <w:t xml:space="preserve">ředitelka </w:t>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Pr>
          <w:rFonts w:cs="Calibri"/>
          <w:sz w:val="22"/>
          <w:szCs w:val="22"/>
        </w:rPr>
        <w:t>generální ředitelka</w:t>
      </w:r>
      <w:r w:rsidRPr="001631C8">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3F2F62F5" w14:textId="77777777" w:rsidR="00C01757" w:rsidRPr="005238F2" w:rsidRDefault="00C01757" w:rsidP="00C01757">
      <w:pPr>
        <w:rPr>
          <w:rFonts w:cs="Calibri"/>
          <w:sz w:val="22"/>
          <w:szCs w:val="22"/>
        </w:rPr>
      </w:pPr>
      <w:r w:rsidRPr="009F38D8">
        <w:rPr>
          <w:rFonts w:cs="Calibri"/>
          <w:sz w:val="22"/>
          <w:szCs w:val="22"/>
        </w:rPr>
        <w:tab/>
      </w:r>
      <w:r w:rsidRPr="009F38D8">
        <w:rPr>
          <w:rFonts w:cs="Calibri"/>
          <w:sz w:val="22"/>
          <w:szCs w:val="22"/>
        </w:rPr>
        <w:tab/>
      </w:r>
      <w:r w:rsidRPr="009F38D8">
        <w:rPr>
          <w:rFonts w:cs="Calibri"/>
          <w:sz w:val="22"/>
          <w:szCs w:val="22"/>
        </w:rPr>
        <w:tab/>
      </w:r>
      <w:r w:rsidRPr="009F38D8">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r w:rsidRPr="005238F2">
        <w:rPr>
          <w:rFonts w:cs="Calibri"/>
          <w:sz w:val="22"/>
          <w:szCs w:val="22"/>
        </w:rPr>
        <w:tab/>
      </w:r>
    </w:p>
    <w:p w14:paraId="17F41E2F" w14:textId="77777777" w:rsidR="00C01757" w:rsidRPr="005238F2" w:rsidRDefault="00C01757" w:rsidP="00C01757">
      <w:pPr>
        <w:rPr>
          <w:rFonts w:cs="Calibri"/>
          <w:sz w:val="22"/>
          <w:szCs w:val="22"/>
        </w:rPr>
      </w:pPr>
    </w:p>
    <w:p w14:paraId="0B36A800" w14:textId="77777777" w:rsidR="00C01757" w:rsidRPr="005238F2" w:rsidRDefault="00C01757" w:rsidP="00C01757">
      <w:pPr>
        <w:rPr>
          <w:rFonts w:cs="Calibri"/>
          <w:sz w:val="22"/>
          <w:szCs w:val="22"/>
        </w:rPr>
      </w:pPr>
      <w:r w:rsidRPr="005238F2">
        <w:rPr>
          <w:rFonts w:cs="Calibri"/>
          <w:sz w:val="22"/>
          <w:szCs w:val="22"/>
        </w:rPr>
        <w:t xml:space="preserve">Příloha 1 - Cenová kalkulace </w:t>
      </w:r>
    </w:p>
    <w:p w14:paraId="4AD7C0F2" w14:textId="77777777" w:rsidR="00C01757" w:rsidRPr="005238F2" w:rsidRDefault="00C01757" w:rsidP="00C01757">
      <w:pPr>
        <w:rPr>
          <w:rFonts w:cs="Calibri"/>
          <w:sz w:val="22"/>
          <w:szCs w:val="22"/>
        </w:rPr>
      </w:pPr>
    </w:p>
    <w:tbl>
      <w:tblPr>
        <w:tblW w:w="9406" w:type="dxa"/>
        <w:tblCellMar>
          <w:left w:w="70" w:type="dxa"/>
          <w:right w:w="70" w:type="dxa"/>
        </w:tblCellMar>
        <w:tblLook w:val="04A0" w:firstRow="1" w:lastRow="0" w:firstColumn="1" w:lastColumn="0" w:noHBand="0" w:noVBand="1"/>
      </w:tblPr>
      <w:tblGrid>
        <w:gridCol w:w="2866"/>
        <w:gridCol w:w="146"/>
        <w:gridCol w:w="955"/>
        <w:gridCol w:w="955"/>
        <w:gridCol w:w="955"/>
        <w:gridCol w:w="1214"/>
        <w:gridCol w:w="1210"/>
        <w:gridCol w:w="1194"/>
      </w:tblGrid>
      <w:tr w:rsidR="00531957" w:rsidRPr="00531957" w14:paraId="0A5EB264" w14:textId="77777777" w:rsidTr="00531957">
        <w:trPr>
          <w:trHeight w:val="288"/>
        </w:trPr>
        <w:tc>
          <w:tcPr>
            <w:tcW w:w="2923" w:type="dxa"/>
            <w:gridSpan w:val="2"/>
            <w:tcBorders>
              <w:top w:val="nil"/>
              <w:left w:val="nil"/>
              <w:bottom w:val="nil"/>
              <w:right w:val="nil"/>
            </w:tcBorders>
            <w:noWrap/>
            <w:vAlign w:val="bottom"/>
            <w:hideMark/>
          </w:tcPr>
          <w:p w14:paraId="2970625F" w14:textId="77777777" w:rsidR="00531957" w:rsidRPr="00531957" w:rsidRDefault="00531957" w:rsidP="00531957">
            <w:pPr>
              <w:rPr>
                <w:rFonts w:eastAsia="Times New Roman" w:cs="Calibri"/>
                <w:color w:val="000000"/>
                <w:sz w:val="20"/>
                <w:szCs w:val="20"/>
                <w:lang w:eastAsia="cs-CZ"/>
              </w:rPr>
            </w:pPr>
            <w:r w:rsidRPr="00531957">
              <w:rPr>
                <w:rFonts w:eastAsia="Times New Roman" w:cs="Calibri"/>
                <w:color w:val="000000"/>
                <w:sz w:val="20"/>
                <w:szCs w:val="20"/>
                <w:lang w:eastAsia="cs-CZ"/>
              </w:rPr>
              <w:lastRenderedPageBreak/>
              <w:t>Příloha 1 - cenová kalkulace</w:t>
            </w:r>
          </w:p>
        </w:tc>
        <w:tc>
          <w:tcPr>
            <w:tcW w:w="955" w:type="dxa"/>
            <w:tcBorders>
              <w:top w:val="nil"/>
              <w:left w:val="nil"/>
              <w:bottom w:val="nil"/>
              <w:right w:val="nil"/>
            </w:tcBorders>
            <w:noWrap/>
            <w:vAlign w:val="bottom"/>
            <w:hideMark/>
          </w:tcPr>
          <w:p w14:paraId="577A99B9" w14:textId="77777777" w:rsidR="00531957" w:rsidRPr="00531957" w:rsidRDefault="00531957" w:rsidP="00531957">
            <w:pPr>
              <w:rPr>
                <w:rFonts w:eastAsia="Times New Roman" w:cs="Calibri"/>
                <w:color w:val="000000"/>
                <w:sz w:val="20"/>
                <w:szCs w:val="20"/>
                <w:lang w:eastAsia="cs-CZ"/>
              </w:rPr>
            </w:pPr>
          </w:p>
        </w:tc>
        <w:tc>
          <w:tcPr>
            <w:tcW w:w="955" w:type="dxa"/>
            <w:tcBorders>
              <w:top w:val="nil"/>
              <w:left w:val="nil"/>
              <w:bottom w:val="nil"/>
              <w:right w:val="nil"/>
            </w:tcBorders>
            <w:noWrap/>
            <w:vAlign w:val="bottom"/>
            <w:hideMark/>
          </w:tcPr>
          <w:p w14:paraId="1568256D" w14:textId="77777777" w:rsidR="00531957" w:rsidRPr="00531957" w:rsidRDefault="00531957" w:rsidP="00531957">
            <w:pPr>
              <w:rPr>
                <w:rFonts w:ascii="Times New Roman" w:eastAsia="Times New Roman" w:hAnsi="Times New Roman"/>
                <w:sz w:val="20"/>
                <w:szCs w:val="20"/>
                <w:lang w:eastAsia="cs-CZ"/>
              </w:rPr>
            </w:pPr>
          </w:p>
        </w:tc>
        <w:tc>
          <w:tcPr>
            <w:tcW w:w="955" w:type="dxa"/>
            <w:tcBorders>
              <w:top w:val="nil"/>
              <w:left w:val="nil"/>
              <w:bottom w:val="nil"/>
              <w:right w:val="nil"/>
            </w:tcBorders>
            <w:noWrap/>
            <w:vAlign w:val="bottom"/>
            <w:hideMark/>
          </w:tcPr>
          <w:p w14:paraId="57708A8E" w14:textId="77777777" w:rsidR="00531957" w:rsidRPr="00531957" w:rsidRDefault="00531957" w:rsidP="00531957">
            <w:pPr>
              <w:rPr>
                <w:rFonts w:ascii="Times New Roman" w:eastAsia="Times New Roman" w:hAnsi="Times New Roman"/>
                <w:sz w:val="20"/>
                <w:szCs w:val="20"/>
                <w:lang w:eastAsia="cs-CZ"/>
              </w:rPr>
            </w:pPr>
          </w:p>
        </w:tc>
        <w:tc>
          <w:tcPr>
            <w:tcW w:w="1214" w:type="dxa"/>
            <w:tcBorders>
              <w:top w:val="nil"/>
              <w:left w:val="nil"/>
              <w:bottom w:val="nil"/>
              <w:right w:val="nil"/>
            </w:tcBorders>
            <w:noWrap/>
            <w:vAlign w:val="bottom"/>
            <w:hideMark/>
          </w:tcPr>
          <w:p w14:paraId="13806020" w14:textId="77777777" w:rsidR="00531957" w:rsidRPr="00531957" w:rsidRDefault="00531957" w:rsidP="00531957">
            <w:pPr>
              <w:rPr>
                <w:rFonts w:ascii="Times New Roman" w:eastAsia="Times New Roman" w:hAnsi="Times New Roman"/>
                <w:sz w:val="20"/>
                <w:szCs w:val="20"/>
                <w:lang w:eastAsia="cs-CZ"/>
              </w:rPr>
            </w:pPr>
          </w:p>
        </w:tc>
        <w:tc>
          <w:tcPr>
            <w:tcW w:w="1210" w:type="dxa"/>
            <w:tcBorders>
              <w:top w:val="nil"/>
              <w:left w:val="nil"/>
              <w:bottom w:val="nil"/>
              <w:right w:val="nil"/>
            </w:tcBorders>
            <w:noWrap/>
            <w:vAlign w:val="bottom"/>
            <w:hideMark/>
          </w:tcPr>
          <w:p w14:paraId="3EF46CBD" w14:textId="77777777" w:rsidR="00531957" w:rsidRPr="00531957" w:rsidRDefault="00531957" w:rsidP="00531957">
            <w:pPr>
              <w:rPr>
                <w:rFonts w:ascii="Times New Roman" w:eastAsia="Times New Roman" w:hAnsi="Times New Roman"/>
                <w:sz w:val="20"/>
                <w:szCs w:val="20"/>
                <w:lang w:eastAsia="cs-CZ"/>
              </w:rPr>
            </w:pPr>
          </w:p>
        </w:tc>
        <w:tc>
          <w:tcPr>
            <w:tcW w:w="1194" w:type="dxa"/>
            <w:tcBorders>
              <w:top w:val="nil"/>
              <w:left w:val="nil"/>
              <w:bottom w:val="nil"/>
              <w:right w:val="nil"/>
            </w:tcBorders>
            <w:noWrap/>
            <w:vAlign w:val="bottom"/>
            <w:hideMark/>
          </w:tcPr>
          <w:p w14:paraId="41FC6294" w14:textId="77777777" w:rsidR="00531957" w:rsidRPr="00531957" w:rsidRDefault="00531957" w:rsidP="00531957">
            <w:pPr>
              <w:rPr>
                <w:rFonts w:ascii="Times New Roman" w:eastAsia="Times New Roman" w:hAnsi="Times New Roman"/>
                <w:sz w:val="20"/>
                <w:szCs w:val="20"/>
                <w:lang w:eastAsia="cs-CZ"/>
              </w:rPr>
            </w:pPr>
          </w:p>
        </w:tc>
      </w:tr>
      <w:tr w:rsidR="00531957" w:rsidRPr="00531957" w14:paraId="5E1407CF" w14:textId="77777777" w:rsidTr="00531957">
        <w:trPr>
          <w:trHeight w:val="300"/>
        </w:trPr>
        <w:tc>
          <w:tcPr>
            <w:tcW w:w="2866" w:type="dxa"/>
            <w:tcBorders>
              <w:top w:val="nil"/>
              <w:left w:val="nil"/>
              <w:bottom w:val="nil"/>
              <w:right w:val="nil"/>
            </w:tcBorders>
            <w:noWrap/>
            <w:vAlign w:val="bottom"/>
            <w:hideMark/>
          </w:tcPr>
          <w:p w14:paraId="6DEE6C02" w14:textId="77777777" w:rsidR="00531957" w:rsidRPr="00531957" w:rsidRDefault="00531957" w:rsidP="00531957">
            <w:pPr>
              <w:rPr>
                <w:rFonts w:ascii="Times New Roman" w:eastAsia="Times New Roman" w:hAnsi="Times New Roman"/>
                <w:sz w:val="20"/>
                <w:szCs w:val="20"/>
                <w:lang w:eastAsia="cs-CZ"/>
              </w:rPr>
            </w:pPr>
          </w:p>
        </w:tc>
        <w:tc>
          <w:tcPr>
            <w:tcW w:w="57" w:type="dxa"/>
            <w:tcBorders>
              <w:top w:val="nil"/>
              <w:left w:val="nil"/>
              <w:bottom w:val="nil"/>
              <w:right w:val="nil"/>
            </w:tcBorders>
            <w:noWrap/>
            <w:vAlign w:val="bottom"/>
            <w:hideMark/>
          </w:tcPr>
          <w:p w14:paraId="6EB28614" w14:textId="77777777" w:rsidR="00531957" w:rsidRPr="00531957" w:rsidRDefault="00531957" w:rsidP="00531957">
            <w:pPr>
              <w:rPr>
                <w:rFonts w:ascii="Times New Roman" w:eastAsia="Times New Roman" w:hAnsi="Times New Roman"/>
                <w:sz w:val="20"/>
                <w:szCs w:val="20"/>
                <w:lang w:eastAsia="cs-CZ"/>
              </w:rPr>
            </w:pPr>
          </w:p>
        </w:tc>
        <w:tc>
          <w:tcPr>
            <w:tcW w:w="955" w:type="dxa"/>
            <w:tcBorders>
              <w:top w:val="nil"/>
              <w:left w:val="nil"/>
              <w:bottom w:val="nil"/>
              <w:right w:val="nil"/>
            </w:tcBorders>
            <w:noWrap/>
            <w:vAlign w:val="bottom"/>
            <w:hideMark/>
          </w:tcPr>
          <w:p w14:paraId="51CEA91F" w14:textId="77777777" w:rsidR="00531957" w:rsidRPr="00531957" w:rsidRDefault="00531957" w:rsidP="00531957">
            <w:pPr>
              <w:rPr>
                <w:rFonts w:ascii="Times New Roman" w:eastAsia="Times New Roman" w:hAnsi="Times New Roman"/>
                <w:sz w:val="20"/>
                <w:szCs w:val="20"/>
                <w:lang w:eastAsia="cs-CZ"/>
              </w:rPr>
            </w:pPr>
          </w:p>
        </w:tc>
        <w:tc>
          <w:tcPr>
            <w:tcW w:w="955" w:type="dxa"/>
            <w:tcBorders>
              <w:top w:val="nil"/>
              <w:left w:val="nil"/>
              <w:bottom w:val="nil"/>
              <w:right w:val="nil"/>
            </w:tcBorders>
            <w:noWrap/>
            <w:vAlign w:val="bottom"/>
            <w:hideMark/>
          </w:tcPr>
          <w:p w14:paraId="003AEDD8" w14:textId="77777777" w:rsidR="00531957" w:rsidRPr="00531957" w:rsidRDefault="00531957" w:rsidP="00531957">
            <w:pPr>
              <w:rPr>
                <w:rFonts w:ascii="Times New Roman" w:eastAsia="Times New Roman" w:hAnsi="Times New Roman"/>
                <w:sz w:val="20"/>
                <w:szCs w:val="20"/>
                <w:lang w:eastAsia="cs-CZ"/>
              </w:rPr>
            </w:pPr>
          </w:p>
        </w:tc>
        <w:tc>
          <w:tcPr>
            <w:tcW w:w="955" w:type="dxa"/>
            <w:tcBorders>
              <w:top w:val="nil"/>
              <w:left w:val="nil"/>
              <w:bottom w:val="nil"/>
              <w:right w:val="nil"/>
            </w:tcBorders>
            <w:noWrap/>
            <w:vAlign w:val="bottom"/>
            <w:hideMark/>
          </w:tcPr>
          <w:p w14:paraId="6FC33A4D" w14:textId="77777777" w:rsidR="00531957" w:rsidRPr="00531957" w:rsidRDefault="00531957" w:rsidP="00531957">
            <w:pPr>
              <w:rPr>
                <w:rFonts w:ascii="Times New Roman" w:eastAsia="Times New Roman" w:hAnsi="Times New Roman"/>
                <w:sz w:val="20"/>
                <w:szCs w:val="20"/>
                <w:lang w:eastAsia="cs-CZ"/>
              </w:rPr>
            </w:pPr>
          </w:p>
        </w:tc>
        <w:tc>
          <w:tcPr>
            <w:tcW w:w="1214" w:type="dxa"/>
            <w:tcBorders>
              <w:top w:val="nil"/>
              <w:left w:val="nil"/>
              <w:bottom w:val="nil"/>
              <w:right w:val="nil"/>
            </w:tcBorders>
            <w:noWrap/>
            <w:vAlign w:val="bottom"/>
            <w:hideMark/>
          </w:tcPr>
          <w:p w14:paraId="2FA09D14" w14:textId="77777777" w:rsidR="00531957" w:rsidRPr="00531957" w:rsidRDefault="00531957" w:rsidP="00531957">
            <w:pPr>
              <w:rPr>
                <w:rFonts w:ascii="Times New Roman" w:eastAsia="Times New Roman" w:hAnsi="Times New Roman"/>
                <w:sz w:val="20"/>
                <w:szCs w:val="20"/>
                <w:lang w:eastAsia="cs-CZ"/>
              </w:rPr>
            </w:pPr>
          </w:p>
        </w:tc>
        <w:tc>
          <w:tcPr>
            <w:tcW w:w="1210" w:type="dxa"/>
            <w:tcBorders>
              <w:top w:val="nil"/>
              <w:left w:val="nil"/>
              <w:bottom w:val="nil"/>
              <w:right w:val="nil"/>
            </w:tcBorders>
            <w:noWrap/>
            <w:vAlign w:val="bottom"/>
            <w:hideMark/>
          </w:tcPr>
          <w:p w14:paraId="3FB6C8EE" w14:textId="77777777" w:rsidR="00531957" w:rsidRPr="00531957" w:rsidRDefault="00531957" w:rsidP="00531957">
            <w:pPr>
              <w:rPr>
                <w:rFonts w:ascii="Times New Roman" w:eastAsia="Times New Roman" w:hAnsi="Times New Roman"/>
                <w:sz w:val="20"/>
                <w:szCs w:val="20"/>
                <w:lang w:eastAsia="cs-CZ"/>
              </w:rPr>
            </w:pPr>
          </w:p>
        </w:tc>
        <w:tc>
          <w:tcPr>
            <w:tcW w:w="1194" w:type="dxa"/>
            <w:tcBorders>
              <w:top w:val="nil"/>
              <w:left w:val="nil"/>
              <w:bottom w:val="nil"/>
              <w:right w:val="nil"/>
            </w:tcBorders>
            <w:noWrap/>
            <w:vAlign w:val="bottom"/>
            <w:hideMark/>
          </w:tcPr>
          <w:p w14:paraId="624722EF" w14:textId="77777777" w:rsidR="00531957" w:rsidRPr="00531957" w:rsidRDefault="00531957" w:rsidP="00531957">
            <w:pPr>
              <w:rPr>
                <w:rFonts w:ascii="Times New Roman" w:eastAsia="Times New Roman" w:hAnsi="Times New Roman"/>
                <w:sz w:val="20"/>
                <w:szCs w:val="20"/>
                <w:lang w:eastAsia="cs-CZ"/>
              </w:rPr>
            </w:pPr>
          </w:p>
        </w:tc>
      </w:tr>
      <w:tr w:rsidR="00531957" w:rsidRPr="00531957" w14:paraId="5FA41875" w14:textId="77777777" w:rsidTr="00531957">
        <w:trPr>
          <w:trHeight w:val="300"/>
        </w:trPr>
        <w:tc>
          <w:tcPr>
            <w:tcW w:w="5788" w:type="dxa"/>
            <w:gridSpan w:val="5"/>
            <w:tcBorders>
              <w:top w:val="single" w:sz="8" w:space="0" w:color="auto"/>
              <w:left w:val="single" w:sz="8" w:space="0" w:color="auto"/>
              <w:bottom w:val="single" w:sz="8" w:space="0" w:color="auto"/>
              <w:right w:val="single" w:sz="8" w:space="0" w:color="000000"/>
            </w:tcBorders>
            <w:noWrap/>
            <w:vAlign w:val="center"/>
            <w:hideMark/>
          </w:tcPr>
          <w:p w14:paraId="417C7A00" w14:textId="77777777" w:rsidR="00531957" w:rsidRPr="00531957" w:rsidRDefault="00531957" w:rsidP="00531957">
            <w:pPr>
              <w:rPr>
                <w:rFonts w:eastAsia="Times New Roman" w:cs="Calibri"/>
                <w:b/>
                <w:bCs/>
                <w:sz w:val="20"/>
                <w:szCs w:val="20"/>
                <w:lang w:eastAsia="cs-CZ"/>
              </w:rPr>
            </w:pPr>
            <w:r w:rsidRPr="00531957">
              <w:rPr>
                <w:rFonts w:eastAsia="Times New Roman" w:cs="Calibri"/>
                <w:b/>
                <w:bCs/>
                <w:sz w:val="20"/>
                <w:szCs w:val="20"/>
                <w:lang w:eastAsia="cs-CZ"/>
              </w:rPr>
              <w:t>Vyúčtování hodin</w:t>
            </w:r>
          </w:p>
        </w:tc>
        <w:tc>
          <w:tcPr>
            <w:tcW w:w="1214" w:type="dxa"/>
            <w:tcBorders>
              <w:top w:val="single" w:sz="8" w:space="0" w:color="auto"/>
              <w:left w:val="nil"/>
              <w:bottom w:val="single" w:sz="8" w:space="0" w:color="auto"/>
              <w:right w:val="single" w:sz="4" w:space="0" w:color="auto"/>
            </w:tcBorders>
            <w:noWrap/>
            <w:vAlign w:val="center"/>
            <w:hideMark/>
          </w:tcPr>
          <w:p w14:paraId="5F6117C2" w14:textId="77777777" w:rsidR="00531957" w:rsidRPr="00531957" w:rsidRDefault="00531957" w:rsidP="00531957">
            <w:pPr>
              <w:jc w:val="center"/>
              <w:rPr>
                <w:rFonts w:eastAsia="Times New Roman" w:cs="Calibri"/>
                <w:color w:val="000000"/>
                <w:sz w:val="20"/>
                <w:szCs w:val="20"/>
                <w:lang w:eastAsia="cs-CZ"/>
              </w:rPr>
            </w:pPr>
            <w:r w:rsidRPr="00531957">
              <w:rPr>
                <w:rFonts w:eastAsia="Times New Roman" w:cs="Calibri"/>
                <w:color w:val="000000"/>
                <w:sz w:val="20"/>
                <w:szCs w:val="20"/>
                <w:lang w:eastAsia="cs-CZ"/>
              </w:rPr>
              <w:t xml:space="preserve">počet hodin </w:t>
            </w:r>
          </w:p>
        </w:tc>
        <w:tc>
          <w:tcPr>
            <w:tcW w:w="1210" w:type="dxa"/>
            <w:tcBorders>
              <w:top w:val="single" w:sz="8" w:space="0" w:color="auto"/>
              <w:left w:val="nil"/>
              <w:bottom w:val="single" w:sz="8" w:space="0" w:color="auto"/>
              <w:right w:val="nil"/>
            </w:tcBorders>
            <w:noWrap/>
            <w:vAlign w:val="center"/>
            <w:hideMark/>
          </w:tcPr>
          <w:p w14:paraId="2AD94B70" w14:textId="77777777" w:rsidR="00531957" w:rsidRPr="00531957" w:rsidRDefault="00531957" w:rsidP="00531957">
            <w:pPr>
              <w:jc w:val="center"/>
              <w:rPr>
                <w:rFonts w:eastAsia="Times New Roman" w:cs="Calibri"/>
                <w:color w:val="000000"/>
                <w:sz w:val="20"/>
                <w:szCs w:val="20"/>
                <w:lang w:eastAsia="cs-CZ"/>
              </w:rPr>
            </w:pPr>
            <w:r w:rsidRPr="00531957">
              <w:rPr>
                <w:rFonts w:eastAsia="Times New Roman" w:cs="Calibri"/>
                <w:color w:val="000000"/>
                <w:sz w:val="20"/>
                <w:szCs w:val="20"/>
                <w:lang w:eastAsia="cs-CZ"/>
              </w:rPr>
              <w:t>Kč/hod</w:t>
            </w:r>
          </w:p>
        </w:tc>
        <w:tc>
          <w:tcPr>
            <w:tcW w:w="1194" w:type="dxa"/>
            <w:tcBorders>
              <w:top w:val="single" w:sz="8" w:space="0" w:color="auto"/>
              <w:left w:val="single" w:sz="4" w:space="0" w:color="auto"/>
              <w:bottom w:val="single" w:sz="8" w:space="0" w:color="auto"/>
              <w:right w:val="single" w:sz="8" w:space="0" w:color="auto"/>
            </w:tcBorders>
            <w:noWrap/>
            <w:vAlign w:val="center"/>
            <w:hideMark/>
          </w:tcPr>
          <w:p w14:paraId="6D2FD8FB" w14:textId="77777777" w:rsidR="00531957" w:rsidRPr="00531957" w:rsidRDefault="00531957" w:rsidP="00531957">
            <w:pPr>
              <w:jc w:val="center"/>
              <w:rPr>
                <w:rFonts w:eastAsia="Times New Roman" w:cs="Calibri"/>
                <w:color w:val="000000"/>
                <w:sz w:val="20"/>
                <w:szCs w:val="20"/>
                <w:lang w:eastAsia="cs-CZ"/>
              </w:rPr>
            </w:pPr>
            <w:r w:rsidRPr="00531957">
              <w:rPr>
                <w:rFonts w:eastAsia="Times New Roman" w:cs="Calibri"/>
                <w:color w:val="000000"/>
                <w:sz w:val="20"/>
                <w:szCs w:val="20"/>
                <w:lang w:eastAsia="cs-CZ"/>
              </w:rPr>
              <w:t>celkem</w:t>
            </w:r>
          </w:p>
        </w:tc>
      </w:tr>
      <w:tr w:rsidR="00531957" w:rsidRPr="00531957" w14:paraId="2CA32CD3" w14:textId="77777777" w:rsidTr="00531957">
        <w:trPr>
          <w:trHeight w:val="288"/>
        </w:trPr>
        <w:tc>
          <w:tcPr>
            <w:tcW w:w="5788" w:type="dxa"/>
            <w:gridSpan w:val="5"/>
            <w:tcBorders>
              <w:top w:val="nil"/>
              <w:left w:val="single" w:sz="8" w:space="0" w:color="auto"/>
              <w:bottom w:val="single" w:sz="4" w:space="0" w:color="auto"/>
              <w:right w:val="single" w:sz="8" w:space="0" w:color="000000"/>
            </w:tcBorders>
            <w:noWrap/>
            <w:vAlign w:val="center"/>
            <w:hideMark/>
          </w:tcPr>
          <w:p w14:paraId="354B2356" w14:textId="77777777" w:rsidR="00531957" w:rsidRPr="00531957" w:rsidRDefault="00531957" w:rsidP="00531957">
            <w:pPr>
              <w:rPr>
                <w:rFonts w:eastAsia="Times New Roman" w:cs="Calibri"/>
                <w:sz w:val="20"/>
                <w:szCs w:val="20"/>
                <w:lang w:eastAsia="cs-CZ"/>
              </w:rPr>
            </w:pPr>
            <w:r w:rsidRPr="00531957">
              <w:rPr>
                <w:rFonts w:eastAsia="Times New Roman" w:cs="Calibri"/>
                <w:sz w:val="20"/>
                <w:szCs w:val="20"/>
                <w:lang w:eastAsia="cs-CZ"/>
              </w:rPr>
              <w:t>První hodina pronájmu 16:00-17:00</w:t>
            </w:r>
          </w:p>
        </w:tc>
        <w:tc>
          <w:tcPr>
            <w:tcW w:w="1214" w:type="dxa"/>
            <w:tcBorders>
              <w:top w:val="nil"/>
              <w:left w:val="nil"/>
              <w:bottom w:val="single" w:sz="4" w:space="0" w:color="auto"/>
              <w:right w:val="single" w:sz="4" w:space="0" w:color="auto"/>
            </w:tcBorders>
            <w:noWrap/>
            <w:vAlign w:val="bottom"/>
            <w:hideMark/>
          </w:tcPr>
          <w:p w14:paraId="1E976420" w14:textId="77777777" w:rsidR="00531957" w:rsidRPr="00531957" w:rsidRDefault="00531957" w:rsidP="00531957">
            <w:pPr>
              <w:jc w:val="center"/>
              <w:rPr>
                <w:rFonts w:eastAsia="Times New Roman" w:cs="Calibri"/>
                <w:color w:val="000000"/>
                <w:sz w:val="20"/>
                <w:szCs w:val="20"/>
                <w:lang w:eastAsia="cs-CZ"/>
              </w:rPr>
            </w:pPr>
            <w:r w:rsidRPr="00531957">
              <w:rPr>
                <w:rFonts w:eastAsia="Times New Roman" w:cs="Calibri"/>
                <w:color w:val="000000"/>
                <w:sz w:val="20"/>
                <w:szCs w:val="20"/>
                <w:lang w:eastAsia="cs-CZ"/>
              </w:rPr>
              <w:t>1</w:t>
            </w:r>
          </w:p>
        </w:tc>
        <w:tc>
          <w:tcPr>
            <w:tcW w:w="1210" w:type="dxa"/>
            <w:tcBorders>
              <w:top w:val="nil"/>
              <w:left w:val="nil"/>
              <w:bottom w:val="single" w:sz="4" w:space="0" w:color="auto"/>
              <w:right w:val="single" w:sz="8" w:space="0" w:color="auto"/>
            </w:tcBorders>
            <w:noWrap/>
            <w:vAlign w:val="bottom"/>
            <w:hideMark/>
          </w:tcPr>
          <w:p w14:paraId="30E8D6D9" w14:textId="77777777" w:rsidR="00531957" w:rsidRPr="00531957" w:rsidRDefault="00531957" w:rsidP="00531957">
            <w:pPr>
              <w:jc w:val="right"/>
              <w:rPr>
                <w:rFonts w:eastAsia="Times New Roman" w:cs="Calibri"/>
                <w:color w:val="000000"/>
                <w:sz w:val="20"/>
                <w:szCs w:val="20"/>
                <w:lang w:eastAsia="cs-CZ"/>
              </w:rPr>
            </w:pPr>
            <w:r w:rsidRPr="00531957">
              <w:rPr>
                <w:rFonts w:eastAsia="Times New Roman" w:cs="Calibri"/>
                <w:color w:val="000000"/>
                <w:sz w:val="20"/>
                <w:szCs w:val="20"/>
                <w:lang w:eastAsia="cs-CZ"/>
              </w:rPr>
              <w:t>14 900,00</w:t>
            </w:r>
          </w:p>
        </w:tc>
        <w:tc>
          <w:tcPr>
            <w:tcW w:w="1194" w:type="dxa"/>
            <w:tcBorders>
              <w:top w:val="nil"/>
              <w:left w:val="single" w:sz="4" w:space="0" w:color="auto"/>
              <w:bottom w:val="single" w:sz="4" w:space="0" w:color="auto"/>
              <w:right w:val="single" w:sz="8" w:space="0" w:color="auto"/>
            </w:tcBorders>
            <w:noWrap/>
            <w:vAlign w:val="bottom"/>
            <w:hideMark/>
          </w:tcPr>
          <w:p w14:paraId="6F8717A6" w14:textId="77777777" w:rsidR="00531957" w:rsidRPr="00531957" w:rsidRDefault="00531957" w:rsidP="00531957">
            <w:pPr>
              <w:jc w:val="right"/>
              <w:rPr>
                <w:rFonts w:eastAsia="Times New Roman" w:cs="Calibri"/>
                <w:color w:val="000000"/>
                <w:sz w:val="20"/>
                <w:szCs w:val="20"/>
                <w:lang w:eastAsia="cs-CZ"/>
              </w:rPr>
            </w:pPr>
            <w:r w:rsidRPr="00531957">
              <w:rPr>
                <w:rFonts w:eastAsia="Times New Roman" w:cs="Calibri"/>
                <w:color w:val="000000"/>
                <w:sz w:val="20"/>
                <w:szCs w:val="20"/>
                <w:lang w:eastAsia="cs-CZ"/>
              </w:rPr>
              <w:t>14 900,00</w:t>
            </w:r>
          </w:p>
        </w:tc>
      </w:tr>
      <w:tr w:rsidR="00531957" w:rsidRPr="00531957" w14:paraId="1CDF2211" w14:textId="77777777" w:rsidTr="00531957">
        <w:trPr>
          <w:trHeight w:val="288"/>
        </w:trPr>
        <w:tc>
          <w:tcPr>
            <w:tcW w:w="5788" w:type="dxa"/>
            <w:gridSpan w:val="5"/>
            <w:tcBorders>
              <w:top w:val="nil"/>
              <w:left w:val="single" w:sz="8" w:space="0" w:color="auto"/>
              <w:bottom w:val="single" w:sz="4" w:space="0" w:color="auto"/>
              <w:right w:val="single" w:sz="8" w:space="0" w:color="000000"/>
            </w:tcBorders>
            <w:noWrap/>
            <w:vAlign w:val="center"/>
            <w:hideMark/>
          </w:tcPr>
          <w:p w14:paraId="0AFB5553" w14:textId="77777777" w:rsidR="00531957" w:rsidRPr="00531957" w:rsidRDefault="00531957" w:rsidP="00531957">
            <w:pPr>
              <w:rPr>
                <w:rFonts w:eastAsia="Times New Roman" w:cs="Calibri"/>
                <w:sz w:val="20"/>
                <w:szCs w:val="20"/>
                <w:lang w:eastAsia="cs-CZ"/>
              </w:rPr>
            </w:pPr>
            <w:r w:rsidRPr="00531957">
              <w:rPr>
                <w:rFonts w:eastAsia="Times New Roman" w:cs="Calibri"/>
                <w:sz w:val="20"/>
                <w:szCs w:val="20"/>
                <w:lang w:eastAsia="cs-CZ"/>
              </w:rPr>
              <w:t>Další započatá hodina 17:00-00:30</w:t>
            </w:r>
          </w:p>
        </w:tc>
        <w:tc>
          <w:tcPr>
            <w:tcW w:w="1214" w:type="dxa"/>
            <w:tcBorders>
              <w:top w:val="nil"/>
              <w:left w:val="nil"/>
              <w:bottom w:val="single" w:sz="4" w:space="0" w:color="auto"/>
              <w:right w:val="single" w:sz="4" w:space="0" w:color="auto"/>
            </w:tcBorders>
            <w:noWrap/>
            <w:vAlign w:val="bottom"/>
            <w:hideMark/>
          </w:tcPr>
          <w:p w14:paraId="67050D3E" w14:textId="77777777" w:rsidR="00531957" w:rsidRPr="00531957" w:rsidRDefault="00531957" w:rsidP="00531957">
            <w:pPr>
              <w:jc w:val="center"/>
              <w:rPr>
                <w:rFonts w:eastAsia="Times New Roman" w:cs="Calibri"/>
                <w:color w:val="000000"/>
                <w:sz w:val="20"/>
                <w:szCs w:val="20"/>
                <w:lang w:eastAsia="cs-CZ"/>
              </w:rPr>
            </w:pPr>
            <w:r w:rsidRPr="00531957">
              <w:rPr>
                <w:rFonts w:eastAsia="Times New Roman" w:cs="Calibri"/>
                <w:color w:val="000000"/>
                <w:sz w:val="20"/>
                <w:szCs w:val="20"/>
                <w:lang w:eastAsia="cs-CZ"/>
              </w:rPr>
              <w:t>7,5</w:t>
            </w:r>
          </w:p>
        </w:tc>
        <w:tc>
          <w:tcPr>
            <w:tcW w:w="1210" w:type="dxa"/>
            <w:tcBorders>
              <w:top w:val="nil"/>
              <w:left w:val="nil"/>
              <w:bottom w:val="single" w:sz="4" w:space="0" w:color="auto"/>
              <w:right w:val="single" w:sz="8" w:space="0" w:color="auto"/>
            </w:tcBorders>
            <w:noWrap/>
            <w:vAlign w:val="bottom"/>
            <w:hideMark/>
          </w:tcPr>
          <w:p w14:paraId="47D9F74A" w14:textId="77777777" w:rsidR="00531957" w:rsidRPr="00531957" w:rsidRDefault="00531957" w:rsidP="00531957">
            <w:pPr>
              <w:jc w:val="right"/>
              <w:rPr>
                <w:rFonts w:eastAsia="Times New Roman" w:cs="Calibri"/>
                <w:color w:val="000000"/>
                <w:sz w:val="20"/>
                <w:szCs w:val="20"/>
                <w:lang w:eastAsia="cs-CZ"/>
              </w:rPr>
            </w:pPr>
            <w:r w:rsidRPr="00531957">
              <w:rPr>
                <w:rFonts w:eastAsia="Times New Roman" w:cs="Calibri"/>
                <w:color w:val="000000"/>
                <w:sz w:val="20"/>
                <w:szCs w:val="20"/>
                <w:lang w:eastAsia="cs-CZ"/>
              </w:rPr>
              <w:t>4 570,00</w:t>
            </w:r>
          </w:p>
        </w:tc>
        <w:tc>
          <w:tcPr>
            <w:tcW w:w="1194" w:type="dxa"/>
            <w:tcBorders>
              <w:top w:val="nil"/>
              <w:left w:val="single" w:sz="4" w:space="0" w:color="auto"/>
              <w:bottom w:val="single" w:sz="4" w:space="0" w:color="auto"/>
              <w:right w:val="single" w:sz="8" w:space="0" w:color="auto"/>
            </w:tcBorders>
            <w:noWrap/>
            <w:vAlign w:val="bottom"/>
            <w:hideMark/>
          </w:tcPr>
          <w:p w14:paraId="0FF09DB7" w14:textId="77777777" w:rsidR="00531957" w:rsidRPr="00531957" w:rsidRDefault="00531957" w:rsidP="00531957">
            <w:pPr>
              <w:jc w:val="right"/>
              <w:rPr>
                <w:rFonts w:eastAsia="Times New Roman" w:cs="Calibri"/>
                <w:color w:val="000000"/>
                <w:sz w:val="20"/>
                <w:szCs w:val="20"/>
                <w:lang w:eastAsia="cs-CZ"/>
              </w:rPr>
            </w:pPr>
            <w:r w:rsidRPr="00531957">
              <w:rPr>
                <w:rFonts w:eastAsia="Times New Roman" w:cs="Calibri"/>
                <w:color w:val="000000"/>
                <w:sz w:val="20"/>
                <w:szCs w:val="20"/>
                <w:lang w:eastAsia="cs-CZ"/>
              </w:rPr>
              <w:t>34 275,00</w:t>
            </w:r>
          </w:p>
        </w:tc>
      </w:tr>
      <w:tr w:rsidR="00531957" w:rsidRPr="00531957" w14:paraId="00CEC06F" w14:textId="77777777" w:rsidTr="00531957">
        <w:trPr>
          <w:trHeight w:val="540"/>
        </w:trPr>
        <w:tc>
          <w:tcPr>
            <w:tcW w:w="5788" w:type="dxa"/>
            <w:gridSpan w:val="5"/>
            <w:tcBorders>
              <w:top w:val="single" w:sz="4" w:space="0" w:color="auto"/>
              <w:left w:val="single" w:sz="8" w:space="0" w:color="auto"/>
              <w:bottom w:val="single" w:sz="4" w:space="0" w:color="auto"/>
              <w:right w:val="single" w:sz="8" w:space="0" w:color="000000"/>
            </w:tcBorders>
            <w:vAlign w:val="center"/>
            <w:hideMark/>
          </w:tcPr>
          <w:p w14:paraId="372A9C93" w14:textId="77777777" w:rsidR="00531957" w:rsidRPr="00531957" w:rsidRDefault="00531957" w:rsidP="00531957">
            <w:pPr>
              <w:rPr>
                <w:rFonts w:eastAsia="Times New Roman" w:cs="Calibri"/>
                <w:sz w:val="20"/>
                <w:szCs w:val="20"/>
                <w:lang w:eastAsia="cs-CZ"/>
              </w:rPr>
            </w:pPr>
            <w:r w:rsidRPr="00531957">
              <w:rPr>
                <w:rFonts w:eastAsia="Times New Roman" w:cs="Calibri"/>
                <w:sz w:val="20"/>
                <w:szCs w:val="20"/>
                <w:lang w:eastAsia="cs-CZ"/>
              </w:rPr>
              <w:t>Každá započatá hodina přípravy či vyklízení bez světel a zvuku: čtvrtek 11.12. -  9:00-15:00, pátek 12.12.- 9:00-16:00,  00:30-01:30</w:t>
            </w:r>
          </w:p>
        </w:tc>
        <w:tc>
          <w:tcPr>
            <w:tcW w:w="1214" w:type="dxa"/>
            <w:tcBorders>
              <w:top w:val="nil"/>
              <w:left w:val="nil"/>
              <w:bottom w:val="single" w:sz="4" w:space="0" w:color="auto"/>
              <w:right w:val="single" w:sz="4" w:space="0" w:color="auto"/>
            </w:tcBorders>
            <w:noWrap/>
            <w:vAlign w:val="bottom"/>
            <w:hideMark/>
          </w:tcPr>
          <w:p w14:paraId="78C5884B" w14:textId="77777777" w:rsidR="00531957" w:rsidRPr="00531957" w:rsidRDefault="00531957" w:rsidP="00531957">
            <w:pPr>
              <w:jc w:val="center"/>
              <w:rPr>
                <w:rFonts w:eastAsia="Times New Roman" w:cs="Calibri"/>
                <w:color w:val="000000"/>
                <w:sz w:val="20"/>
                <w:szCs w:val="20"/>
                <w:lang w:eastAsia="cs-CZ"/>
              </w:rPr>
            </w:pPr>
            <w:r w:rsidRPr="00531957">
              <w:rPr>
                <w:rFonts w:eastAsia="Times New Roman" w:cs="Calibri"/>
                <w:color w:val="000000"/>
                <w:sz w:val="20"/>
                <w:szCs w:val="20"/>
                <w:lang w:eastAsia="cs-CZ"/>
              </w:rPr>
              <w:t>14</w:t>
            </w:r>
          </w:p>
        </w:tc>
        <w:tc>
          <w:tcPr>
            <w:tcW w:w="1210" w:type="dxa"/>
            <w:tcBorders>
              <w:top w:val="nil"/>
              <w:left w:val="nil"/>
              <w:bottom w:val="single" w:sz="4" w:space="0" w:color="auto"/>
              <w:right w:val="single" w:sz="8" w:space="0" w:color="auto"/>
            </w:tcBorders>
            <w:noWrap/>
            <w:vAlign w:val="bottom"/>
            <w:hideMark/>
          </w:tcPr>
          <w:p w14:paraId="4D0A9DBB" w14:textId="77777777" w:rsidR="00531957" w:rsidRPr="00531957" w:rsidRDefault="00531957" w:rsidP="00531957">
            <w:pPr>
              <w:jc w:val="right"/>
              <w:rPr>
                <w:rFonts w:eastAsia="Times New Roman" w:cs="Calibri"/>
                <w:color w:val="000000"/>
                <w:sz w:val="20"/>
                <w:szCs w:val="20"/>
                <w:lang w:eastAsia="cs-CZ"/>
              </w:rPr>
            </w:pPr>
            <w:r w:rsidRPr="00531957">
              <w:rPr>
                <w:rFonts w:eastAsia="Times New Roman" w:cs="Calibri"/>
                <w:color w:val="000000"/>
                <w:sz w:val="20"/>
                <w:szCs w:val="20"/>
                <w:lang w:eastAsia="cs-CZ"/>
              </w:rPr>
              <w:t>1 000,00</w:t>
            </w:r>
          </w:p>
        </w:tc>
        <w:tc>
          <w:tcPr>
            <w:tcW w:w="1194" w:type="dxa"/>
            <w:tcBorders>
              <w:top w:val="nil"/>
              <w:left w:val="single" w:sz="4" w:space="0" w:color="auto"/>
              <w:bottom w:val="single" w:sz="4" w:space="0" w:color="auto"/>
              <w:right w:val="single" w:sz="8" w:space="0" w:color="auto"/>
            </w:tcBorders>
            <w:noWrap/>
            <w:vAlign w:val="bottom"/>
            <w:hideMark/>
          </w:tcPr>
          <w:p w14:paraId="2B51EBC5" w14:textId="77777777" w:rsidR="00531957" w:rsidRPr="00531957" w:rsidRDefault="00531957" w:rsidP="00531957">
            <w:pPr>
              <w:jc w:val="right"/>
              <w:rPr>
                <w:rFonts w:eastAsia="Times New Roman" w:cs="Calibri"/>
                <w:color w:val="000000"/>
                <w:sz w:val="20"/>
                <w:szCs w:val="20"/>
                <w:lang w:eastAsia="cs-CZ"/>
              </w:rPr>
            </w:pPr>
            <w:r w:rsidRPr="00531957">
              <w:rPr>
                <w:rFonts w:eastAsia="Times New Roman" w:cs="Calibri"/>
                <w:color w:val="000000"/>
                <w:sz w:val="20"/>
                <w:szCs w:val="20"/>
                <w:lang w:eastAsia="cs-CZ"/>
              </w:rPr>
              <w:t>14 000,00</w:t>
            </w:r>
          </w:p>
        </w:tc>
      </w:tr>
      <w:tr w:rsidR="00531957" w:rsidRPr="00531957" w14:paraId="054997EA" w14:textId="77777777" w:rsidTr="00531957">
        <w:trPr>
          <w:trHeight w:val="300"/>
        </w:trPr>
        <w:tc>
          <w:tcPr>
            <w:tcW w:w="5788" w:type="dxa"/>
            <w:gridSpan w:val="5"/>
            <w:tcBorders>
              <w:top w:val="single" w:sz="4" w:space="0" w:color="auto"/>
              <w:left w:val="single" w:sz="8" w:space="0" w:color="auto"/>
              <w:bottom w:val="single" w:sz="4" w:space="0" w:color="auto"/>
              <w:right w:val="single" w:sz="8" w:space="0" w:color="000000"/>
            </w:tcBorders>
            <w:vAlign w:val="center"/>
            <w:hideMark/>
          </w:tcPr>
          <w:p w14:paraId="16B909F7" w14:textId="77777777" w:rsidR="00531957" w:rsidRPr="00531957" w:rsidRDefault="00531957" w:rsidP="00531957">
            <w:pPr>
              <w:rPr>
                <w:rFonts w:eastAsia="Times New Roman" w:cs="Calibri"/>
                <w:sz w:val="20"/>
                <w:szCs w:val="20"/>
                <w:lang w:eastAsia="cs-CZ"/>
              </w:rPr>
            </w:pPr>
            <w:r w:rsidRPr="00531957">
              <w:rPr>
                <w:rFonts w:eastAsia="Times New Roman" w:cs="Calibri"/>
                <w:sz w:val="20"/>
                <w:szCs w:val="20"/>
                <w:lang w:eastAsia="cs-CZ"/>
              </w:rPr>
              <w:t xml:space="preserve">Každá započatá hodina přípravy se světly, zvukem </w:t>
            </w:r>
          </w:p>
        </w:tc>
        <w:tc>
          <w:tcPr>
            <w:tcW w:w="1214" w:type="dxa"/>
            <w:tcBorders>
              <w:top w:val="nil"/>
              <w:left w:val="nil"/>
              <w:bottom w:val="single" w:sz="4" w:space="0" w:color="auto"/>
              <w:right w:val="single" w:sz="4" w:space="0" w:color="auto"/>
            </w:tcBorders>
            <w:noWrap/>
            <w:vAlign w:val="bottom"/>
            <w:hideMark/>
          </w:tcPr>
          <w:p w14:paraId="53BFFF94" w14:textId="77777777" w:rsidR="00531957" w:rsidRPr="00531957" w:rsidRDefault="00531957" w:rsidP="00531957">
            <w:pPr>
              <w:jc w:val="center"/>
              <w:rPr>
                <w:rFonts w:eastAsia="Times New Roman" w:cs="Calibri"/>
                <w:color w:val="000000"/>
                <w:sz w:val="20"/>
                <w:szCs w:val="20"/>
                <w:lang w:eastAsia="cs-CZ"/>
              </w:rPr>
            </w:pPr>
            <w:r w:rsidRPr="00531957">
              <w:rPr>
                <w:rFonts w:eastAsia="Times New Roman" w:cs="Calibri"/>
                <w:color w:val="000000"/>
                <w:sz w:val="20"/>
                <w:szCs w:val="20"/>
                <w:lang w:eastAsia="cs-CZ"/>
              </w:rPr>
              <w:t>0</w:t>
            </w:r>
          </w:p>
        </w:tc>
        <w:tc>
          <w:tcPr>
            <w:tcW w:w="1210" w:type="dxa"/>
            <w:tcBorders>
              <w:top w:val="nil"/>
              <w:left w:val="nil"/>
              <w:bottom w:val="single" w:sz="4" w:space="0" w:color="auto"/>
              <w:right w:val="single" w:sz="8" w:space="0" w:color="auto"/>
            </w:tcBorders>
            <w:noWrap/>
            <w:vAlign w:val="bottom"/>
            <w:hideMark/>
          </w:tcPr>
          <w:p w14:paraId="07BCB49D" w14:textId="77777777" w:rsidR="00531957" w:rsidRPr="00531957" w:rsidRDefault="00531957" w:rsidP="00531957">
            <w:pPr>
              <w:jc w:val="right"/>
              <w:rPr>
                <w:rFonts w:eastAsia="Times New Roman" w:cs="Calibri"/>
                <w:color w:val="000000"/>
                <w:sz w:val="20"/>
                <w:szCs w:val="20"/>
                <w:lang w:eastAsia="cs-CZ"/>
              </w:rPr>
            </w:pPr>
            <w:r w:rsidRPr="00531957">
              <w:rPr>
                <w:rFonts w:eastAsia="Times New Roman" w:cs="Calibri"/>
                <w:color w:val="000000"/>
                <w:sz w:val="20"/>
                <w:szCs w:val="20"/>
                <w:lang w:eastAsia="cs-CZ"/>
              </w:rPr>
              <w:t>1 900,00</w:t>
            </w:r>
          </w:p>
        </w:tc>
        <w:tc>
          <w:tcPr>
            <w:tcW w:w="1194" w:type="dxa"/>
            <w:tcBorders>
              <w:top w:val="nil"/>
              <w:left w:val="single" w:sz="4" w:space="0" w:color="auto"/>
              <w:bottom w:val="single" w:sz="4" w:space="0" w:color="auto"/>
              <w:right w:val="single" w:sz="8" w:space="0" w:color="auto"/>
            </w:tcBorders>
            <w:noWrap/>
            <w:vAlign w:val="bottom"/>
            <w:hideMark/>
          </w:tcPr>
          <w:p w14:paraId="6D698CC0" w14:textId="77777777" w:rsidR="00531957" w:rsidRPr="00531957" w:rsidRDefault="00531957" w:rsidP="00531957">
            <w:pPr>
              <w:jc w:val="right"/>
              <w:rPr>
                <w:rFonts w:eastAsia="Times New Roman" w:cs="Calibri"/>
                <w:color w:val="000000"/>
                <w:sz w:val="20"/>
                <w:szCs w:val="20"/>
                <w:lang w:eastAsia="cs-CZ"/>
              </w:rPr>
            </w:pPr>
            <w:r w:rsidRPr="00531957">
              <w:rPr>
                <w:rFonts w:eastAsia="Times New Roman" w:cs="Calibri"/>
                <w:color w:val="000000"/>
                <w:sz w:val="20"/>
                <w:szCs w:val="20"/>
                <w:lang w:eastAsia="cs-CZ"/>
              </w:rPr>
              <w:t>0,00</w:t>
            </w:r>
          </w:p>
        </w:tc>
      </w:tr>
      <w:tr w:rsidR="00531957" w:rsidRPr="00531957" w14:paraId="7E67E5CC" w14:textId="77777777" w:rsidTr="00531957">
        <w:trPr>
          <w:trHeight w:val="300"/>
        </w:trPr>
        <w:tc>
          <w:tcPr>
            <w:tcW w:w="5788" w:type="dxa"/>
            <w:gridSpan w:val="5"/>
            <w:tcBorders>
              <w:top w:val="single" w:sz="8" w:space="0" w:color="auto"/>
              <w:left w:val="single" w:sz="8" w:space="0" w:color="auto"/>
              <w:bottom w:val="single" w:sz="8" w:space="0" w:color="auto"/>
              <w:right w:val="single" w:sz="8" w:space="0" w:color="000000"/>
            </w:tcBorders>
            <w:noWrap/>
            <w:vAlign w:val="center"/>
            <w:hideMark/>
          </w:tcPr>
          <w:p w14:paraId="7355B0B7" w14:textId="77777777" w:rsidR="00531957" w:rsidRPr="00531957" w:rsidRDefault="00531957" w:rsidP="00531957">
            <w:pPr>
              <w:rPr>
                <w:rFonts w:eastAsia="Times New Roman" w:cs="Calibri"/>
                <w:sz w:val="20"/>
                <w:szCs w:val="20"/>
                <w:lang w:eastAsia="cs-CZ"/>
              </w:rPr>
            </w:pPr>
            <w:r w:rsidRPr="00531957">
              <w:rPr>
                <w:rFonts w:eastAsia="Times New Roman" w:cs="Calibri"/>
                <w:sz w:val="20"/>
                <w:szCs w:val="20"/>
                <w:lang w:eastAsia="cs-CZ"/>
              </w:rPr>
              <w:t> </w:t>
            </w:r>
          </w:p>
        </w:tc>
        <w:tc>
          <w:tcPr>
            <w:tcW w:w="1214" w:type="dxa"/>
            <w:tcBorders>
              <w:top w:val="single" w:sz="8" w:space="0" w:color="auto"/>
              <w:left w:val="nil"/>
              <w:bottom w:val="single" w:sz="8" w:space="0" w:color="auto"/>
              <w:right w:val="nil"/>
            </w:tcBorders>
            <w:noWrap/>
            <w:vAlign w:val="bottom"/>
            <w:hideMark/>
          </w:tcPr>
          <w:p w14:paraId="39694BF9" w14:textId="77777777" w:rsidR="00531957" w:rsidRPr="00531957" w:rsidRDefault="00531957" w:rsidP="00531957">
            <w:pPr>
              <w:rPr>
                <w:rFonts w:eastAsia="Times New Roman" w:cs="Calibri"/>
                <w:color w:val="000000"/>
                <w:sz w:val="20"/>
                <w:szCs w:val="20"/>
                <w:lang w:eastAsia="cs-CZ"/>
              </w:rPr>
            </w:pPr>
            <w:r w:rsidRPr="00531957">
              <w:rPr>
                <w:rFonts w:eastAsia="Times New Roman" w:cs="Calibri"/>
                <w:color w:val="000000"/>
                <w:sz w:val="20"/>
                <w:szCs w:val="20"/>
                <w:lang w:eastAsia="cs-CZ"/>
              </w:rPr>
              <w:t> </w:t>
            </w:r>
          </w:p>
        </w:tc>
        <w:tc>
          <w:tcPr>
            <w:tcW w:w="1210" w:type="dxa"/>
            <w:tcBorders>
              <w:top w:val="single" w:sz="8" w:space="0" w:color="auto"/>
              <w:left w:val="nil"/>
              <w:bottom w:val="single" w:sz="8" w:space="0" w:color="auto"/>
              <w:right w:val="nil"/>
            </w:tcBorders>
            <w:noWrap/>
            <w:vAlign w:val="bottom"/>
            <w:hideMark/>
          </w:tcPr>
          <w:p w14:paraId="17947417" w14:textId="77777777" w:rsidR="00531957" w:rsidRPr="00531957" w:rsidRDefault="00531957" w:rsidP="00531957">
            <w:pPr>
              <w:rPr>
                <w:rFonts w:eastAsia="Times New Roman" w:cs="Calibri"/>
                <w:color w:val="000000"/>
                <w:sz w:val="20"/>
                <w:szCs w:val="20"/>
                <w:lang w:eastAsia="cs-CZ"/>
              </w:rPr>
            </w:pPr>
            <w:r w:rsidRPr="00531957">
              <w:rPr>
                <w:rFonts w:eastAsia="Times New Roman" w:cs="Calibri"/>
                <w:color w:val="000000"/>
                <w:sz w:val="20"/>
                <w:szCs w:val="20"/>
                <w:lang w:eastAsia="cs-CZ"/>
              </w:rPr>
              <w:t> </w:t>
            </w:r>
          </w:p>
        </w:tc>
        <w:tc>
          <w:tcPr>
            <w:tcW w:w="1194" w:type="dxa"/>
            <w:tcBorders>
              <w:top w:val="single" w:sz="8" w:space="0" w:color="auto"/>
              <w:left w:val="nil"/>
              <w:bottom w:val="single" w:sz="8" w:space="0" w:color="auto"/>
              <w:right w:val="single" w:sz="8" w:space="0" w:color="auto"/>
            </w:tcBorders>
            <w:shd w:val="clear" w:color="000000" w:fill="C0C0C0"/>
            <w:noWrap/>
            <w:vAlign w:val="bottom"/>
            <w:hideMark/>
          </w:tcPr>
          <w:p w14:paraId="353647A9" w14:textId="77777777" w:rsidR="00531957" w:rsidRPr="00531957" w:rsidRDefault="00531957" w:rsidP="00531957">
            <w:pPr>
              <w:jc w:val="right"/>
              <w:rPr>
                <w:rFonts w:eastAsia="Times New Roman" w:cs="Calibri"/>
                <w:b/>
                <w:bCs/>
                <w:sz w:val="20"/>
                <w:szCs w:val="20"/>
                <w:lang w:eastAsia="cs-CZ"/>
              </w:rPr>
            </w:pPr>
            <w:r w:rsidRPr="00531957">
              <w:rPr>
                <w:rFonts w:eastAsia="Times New Roman" w:cs="Calibri"/>
                <w:b/>
                <w:bCs/>
                <w:sz w:val="20"/>
                <w:szCs w:val="20"/>
                <w:lang w:eastAsia="cs-CZ"/>
              </w:rPr>
              <w:t>63 175,00</w:t>
            </w:r>
          </w:p>
        </w:tc>
      </w:tr>
      <w:tr w:rsidR="00531957" w:rsidRPr="00531957" w14:paraId="40D4FEE1" w14:textId="77777777" w:rsidTr="00531957">
        <w:trPr>
          <w:trHeight w:val="288"/>
        </w:trPr>
        <w:tc>
          <w:tcPr>
            <w:tcW w:w="9406" w:type="dxa"/>
            <w:gridSpan w:val="8"/>
            <w:tcBorders>
              <w:top w:val="single" w:sz="8" w:space="0" w:color="auto"/>
              <w:left w:val="nil"/>
              <w:bottom w:val="nil"/>
              <w:right w:val="nil"/>
            </w:tcBorders>
            <w:noWrap/>
            <w:vAlign w:val="bottom"/>
            <w:hideMark/>
          </w:tcPr>
          <w:p w14:paraId="72E7C748" w14:textId="77777777" w:rsidR="00531957" w:rsidRPr="00531957" w:rsidRDefault="00531957" w:rsidP="00531957">
            <w:pPr>
              <w:rPr>
                <w:rFonts w:eastAsia="Times New Roman" w:cs="Calibri"/>
                <w:color w:val="000000"/>
                <w:sz w:val="20"/>
                <w:szCs w:val="20"/>
                <w:lang w:eastAsia="cs-CZ"/>
              </w:rPr>
            </w:pPr>
            <w:r w:rsidRPr="00531957">
              <w:rPr>
                <w:rFonts w:eastAsia="Times New Roman" w:cs="Calibri"/>
                <w:color w:val="000000"/>
                <w:sz w:val="20"/>
                <w:szCs w:val="20"/>
                <w:lang w:eastAsia="cs-CZ"/>
              </w:rPr>
              <w:t> </w:t>
            </w:r>
          </w:p>
        </w:tc>
      </w:tr>
      <w:tr w:rsidR="00531957" w:rsidRPr="00531957" w14:paraId="0F0A06C9" w14:textId="77777777" w:rsidTr="00531957">
        <w:trPr>
          <w:trHeight w:val="864"/>
        </w:trPr>
        <w:tc>
          <w:tcPr>
            <w:tcW w:w="9406" w:type="dxa"/>
            <w:gridSpan w:val="8"/>
            <w:tcBorders>
              <w:top w:val="nil"/>
              <w:left w:val="nil"/>
              <w:bottom w:val="nil"/>
              <w:right w:val="nil"/>
            </w:tcBorders>
            <w:hideMark/>
          </w:tcPr>
          <w:p w14:paraId="4642E2F7" w14:textId="77777777" w:rsidR="00531957" w:rsidRPr="00531957" w:rsidRDefault="00531957" w:rsidP="00531957">
            <w:pPr>
              <w:rPr>
                <w:rFonts w:eastAsia="Times New Roman" w:cs="Calibri"/>
                <w:sz w:val="20"/>
                <w:szCs w:val="20"/>
                <w:lang w:eastAsia="cs-CZ"/>
              </w:rPr>
            </w:pPr>
            <w:r w:rsidRPr="00531957">
              <w:rPr>
                <w:rFonts w:eastAsia="Times New Roman" w:cs="Calibri"/>
                <w:sz w:val="20"/>
                <w:szCs w:val="20"/>
                <w:lang w:eastAsia="cs-CZ"/>
              </w:rPr>
              <w:t xml:space="preserve">V ceně pronájmu je: sál, balkon, vstupní hala, horní vestibul, pořadatelké šatny, příprava prostor, základní statické nasvícení, energie. </w:t>
            </w:r>
            <w:r w:rsidRPr="00531957">
              <w:rPr>
                <w:rFonts w:eastAsia="Times New Roman" w:cs="Calibri"/>
                <w:b/>
                <w:bCs/>
                <w:sz w:val="20"/>
                <w:szCs w:val="20"/>
                <w:lang w:eastAsia="cs-CZ"/>
              </w:rPr>
              <w:t>V celé budově je zákaz kouření!</w:t>
            </w:r>
          </w:p>
        </w:tc>
      </w:tr>
      <w:tr w:rsidR="00531957" w:rsidRPr="00531957" w14:paraId="0232B051" w14:textId="77777777" w:rsidTr="00531957">
        <w:trPr>
          <w:trHeight w:val="528"/>
        </w:trPr>
        <w:tc>
          <w:tcPr>
            <w:tcW w:w="9406" w:type="dxa"/>
            <w:gridSpan w:val="8"/>
            <w:tcBorders>
              <w:top w:val="nil"/>
              <w:left w:val="nil"/>
              <w:bottom w:val="nil"/>
              <w:right w:val="nil"/>
            </w:tcBorders>
            <w:hideMark/>
          </w:tcPr>
          <w:p w14:paraId="0EB2F376" w14:textId="77777777" w:rsidR="00531957" w:rsidRPr="00531957" w:rsidRDefault="00531957" w:rsidP="00531957">
            <w:pPr>
              <w:rPr>
                <w:rFonts w:eastAsia="Times New Roman" w:cs="Calibri"/>
                <w:b/>
                <w:bCs/>
                <w:sz w:val="20"/>
                <w:szCs w:val="20"/>
                <w:lang w:eastAsia="cs-CZ"/>
              </w:rPr>
            </w:pPr>
            <w:r w:rsidRPr="00531957">
              <w:rPr>
                <w:rFonts w:eastAsia="Times New Roman" w:cs="Calibri"/>
                <w:b/>
                <w:bCs/>
                <w:sz w:val="20"/>
                <w:szCs w:val="20"/>
                <w:lang w:eastAsia="cs-CZ"/>
              </w:rPr>
              <w:t>Upozornění:</w:t>
            </w:r>
            <w:r w:rsidRPr="00531957">
              <w:rPr>
                <w:rFonts w:eastAsia="Times New Roman" w:cs="Calibri"/>
                <w:sz w:val="20"/>
                <w:szCs w:val="20"/>
                <w:lang w:eastAsia="cs-CZ"/>
              </w:rPr>
              <w:t xml:space="preserve"> občerstvení v DK zajišťuje kavárna Krystal. Pokud si podnájemce zajistí občerstvení u jiné firmy, zajistí tato firma i ubrusování.</w:t>
            </w:r>
          </w:p>
        </w:tc>
      </w:tr>
      <w:tr w:rsidR="00531957" w:rsidRPr="00531957" w14:paraId="16DDF2CE" w14:textId="77777777" w:rsidTr="00531957">
        <w:trPr>
          <w:trHeight w:val="300"/>
        </w:trPr>
        <w:tc>
          <w:tcPr>
            <w:tcW w:w="9406" w:type="dxa"/>
            <w:gridSpan w:val="8"/>
            <w:tcBorders>
              <w:top w:val="nil"/>
              <w:left w:val="nil"/>
              <w:bottom w:val="single" w:sz="8" w:space="0" w:color="auto"/>
              <w:right w:val="nil"/>
            </w:tcBorders>
            <w:noWrap/>
            <w:vAlign w:val="bottom"/>
            <w:hideMark/>
          </w:tcPr>
          <w:p w14:paraId="6DA2BA9C" w14:textId="77777777" w:rsidR="00531957" w:rsidRPr="00531957" w:rsidRDefault="00531957" w:rsidP="00531957">
            <w:pPr>
              <w:rPr>
                <w:rFonts w:eastAsia="Times New Roman" w:cs="Calibri"/>
                <w:color w:val="000000"/>
                <w:sz w:val="20"/>
                <w:szCs w:val="20"/>
                <w:lang w:eastAsia="cs-CZ"/>
              </w:rPr>
            </w:pPr>
            <w:r w:rsidRPr="00531957">
              <w:rPr>
                <w:rFonts w:eastAsia="Times New Roman" w:cs="Calibri"/>
                <w:color w:val="000000"/>
                <w:sz w:val="20"/>
                <w:szCs w:val="20"/>
                <w:lang w:eastAsia="cs-CZ"/>
              </w:rPr>
              <w:t> </w:t>
            </w:r>
          </w:p>
        </w:tc>
      </w:tr>
      <w:tr w:rsidR="00531957" w:rsidRPr="00531957" w14:paraId="0B297F27" w14:textId="77777777" w:rsidTr="00531957">
        <w:trPr>
          <w:trHeight w:val="300"/>
        </w:trPr>
        <w:tc>
          <w:tcPr>
            <w:tcW w:w="2866" w:type="dxa"/>
            <w:tcBorders>
              <w:top w:val="nil"/>
              <w:left w:val="single" w:sz="8" w:space="0" w:color="auto"/>
              <w:bottom w:val="single" w:sz="8" w:space="0" w:color="auto"/>
              <w:right w:val="nil"/>
            </w:tcBorders>
            <w:noWrap/>
            <w:vAlign w:val="center"/>
            <w:hideMark/>
          </w:tcPr>
          <w:p w14:paraId="5BB88441" w14:textId="77777777" w:rsidR="00531957" w:rsidRPr="00531957" w:rsidRDefault="00531957" w:rsidP="00531957">
            <w:pPr>
              <w:jc w:val="center"/>
              <w:rPr>
                <w:rFonts w:eastAsia="Times New Roman" w:cs="Calibri"/>
                <w:b/>
                <w:bCs/>
                <w:sz w:val="20"/>
                <w:szCs w:val="20"/>
                <w:lang w:eastAsia="cs-CZ"/>
              </w:rPr>
            </w:pPr>
            <w:r w:rsidRPr="00531957">
              <w:rPr>
                <w:rFonts w:eastAsia="Times New Roman" w:cs="Calibri"/>
                <w:b/>
                <w:bCs/>
                <w:sz w:val="20"/>
                <w:szCs w:val="20"/>
                <w:lang w:eastAsia="cs-CZ"/>
              </w:rPr>
              <w:t>ostatní</w:t>
            </w:r>
          </w:p>
        </w:tc>
        <w:tc>
          <w:tcPr>
            <w:tcW w:w="2922" w:type="dxa"/>
            <w:gridSpan w:val="4"/>
            <w:tcBorders>
              <w:top w:val="single" w:sz="8" w:space="0" w:color="auto"/>
              <w:left w:val="single" w:sz="8" w:space="0" w:color="auto"/>
              <w:bottom w:val="single" w:sz="8" w:space="0" w:color="auto"/>
              <w:right w:val="single" w:sz="8" w:space="0" w:color="000000"/>
            </w:tcBorders>
            <w:noWrap/>
            <w:vAlign w:val="bottom"/>
            <w:hideMark/>
          </w:tcPr>
          <w:p w14:paraId="50B68D06" w14:textId="77777777" w:rsidR="00531957" w:rsidRPr="00531957" w:rsidRDefault="00531957" w:rsidP="00531957">
            <w:pPr>
              <w:rPr>
                <w:rFonts w:eastAsia="Times New Roman" w:cs="Calibri"/>
                <w:color w:val="000000"/>
                <w:sz w:val="20"/>
                <w:szCs w:val="20"/>
                <w:lang w:eastAsia="cs-CZ"/>
              </w:rPr>
            </w:pPr>
            <w:r w:rsidRPr="00531957">
              <w:rPr>
                <w:rFonts w:eastAsia="Times New Roman" w:cs="Calibri"/>
                <w:color w:val="000000"/>
                <w:sz w:val="20"/>
                <w:szCs w:val="20"/>
                <w:lang w:eastAsia="cs-CZ"/>
              </w:rPr>
              <w:t> </w:t>
            </w:r>
          </w:p>
        </w:tc>
        <w:tc>
          <w:tcPr>
            <w:tcW w:w="1214" w:type="dxa"/>
            <w:tcBorders>
              <w:top w:val="nil"/>
              <w:left w:val="nil"/>
              <w:bottom w:val="single" w:sz="8" w:space="0" w:color="auto"/>
              <w:right w:val="single" w:sz="4" w:space="0" w:color="auto"/>
            </w:tcBorders>
            <w:noWrap/>
            <w:vAlign w:val="center"/>
            <w:hideMark/>
          </w:tcPr>
          <w:p w14:paraId="064D101A" w14:textId="77777777" w:rsidR="00531957" w:rsidRPr="00531957" w:rsidRDefault="00531957" w:rsidP="00531957">
            <w:pPr>
              <w:jc w:val="center"/>
              <w:rPr>
                <w:rFonts w:eastAsia="Times New Roman" w:cs="Calibri"/>
                <w:color w:val="000000"/>
                <w:sz w:val="20"/>
                <w:szCs w:val="20"/>
                <w:lang w:eastAsia="cs-CZ"/>
              </w:rPr>
            </w:pPr>
            <w:r w:rsidRPr="00531957">
              <w:rPr>
                <w:rFonts w:eastAsia="Times New Roman" w:cs="Calibri"/>
                <w:color w:val="000000"/>
                <w:sz w:val="20"/>
                <w:szCs w:val="20"/>
                <w:lang w:eastAsia="cs-CZ"/>
              </w:rPr>
              <w:t xml:space="preserve">počet hodin </w:t>
            </w:r>
          </w:p>
        </w:tc>
        <w:tc>
          <w:tcPr>
            <w:tcW w:w="1210" w:type="dxa"/>
            <w:tcBorders>
              <w:top w:val="nil"/>
              <w:left w:val="nil"/>
              <w:bottom w:val="single" w:sz="8" w:space="0" w:color="auto"/>
              <w:right w:val="nil"/>
            </w:tcBorders>
            <w:noWrap/>
            <w:vAlign w:val="center"/>
            <w:hideMark/>
          </w:tcPr>
          <w:p w14:paraId="556F5EA8" w14:textId="77777777" w:rsidR="00531957" w:rsidRPr="00531957" w:rsidRDefault="00531957" w:rsidP="00531957">
            <w:pPr>
              <w:jc w:val="center"/>
              <w:rPr>
                <w:rFonts w:eastAsia="Times New Roman" w:cs="Calibri"/>
                <w:color w:val="000000"/>
                <w:sz w:val="20"/>
                <w:szCs w:val="20"/>
                <w:lang w:eastAsia="cs-CZ"/>
              </w:rPr>
            </w:pPr>
            <w:r w:rsidRPr="00531957">
              <w:rPr>
                <w:rFonts w:eastAsia="Times New Roman" w:cs="Calibri"/>
                <w:color w:val="000000"/>
                <w:sz w:val="20"/>
                <w:szCs w:val="20"/>
                <w:lang w:eastAsia="cs-CZ"/>
              </w:rPr>
              <w:t>Kč/hod</w:t>
            </w:r>
          </w:p>
        </w:tc>
        <w:tc>
          <w:tcPr>
            <w:tcW w:w="1194" w:type="dxa"/>
            <w:tcBorders>
              <w:top w:val="nil"/>
              <w:left w:val="single" w:sz="4" w:space="0" w:color="auto"/>
              <w:bottom w:val="single" w:sz="8" w:space="0" w:color="auto"/>
              <w:right w:val="single" w:sz="8" w:space="0" w:color="auto"/>
            </w:tcBorders>
            <w:noWrap/>
            <w:vAlign w:val="center"/>
            <w:hideMark/>
          </w:tcPr>
          <w:p w14:paraId="2C8F2920" w14:textId="77777777" w:rsidR="00531957" w:rsidRPr="00531957" w:rsidRDefault="00531957" w:rsidP="00531957">
            <w:pPr>
              <w:jc w:val="center"/>
              <w:rPr>
                <w:rFonts w:eastAsia="Times New Roman" w:cs="Calibri"/>
                <w:color w:val="000000"/>
                <w:sz w:val="20"/>
                <w:szCs w:val="20"/>
                <w:lang w:eastAsia="cs-CZ"/>
              </w:rPr>
            </w:pPr>
            <w:r w:rsidRPr="00531957">
              <w:rPr>
                <w:rFonts w:eastAsia="Times New Roman" w:cs="Calibri"/>
                <w:color w:val="000000"/>
                <w:sz w:val="20"/>
                <w:szCs w:val="20"/>
                <w:lang w:eastAsia="cs-CZ"/>
              </w:rPr>
              <w:t>celkem</w:t>
            </w:r>
          </w:p>
        </w:tc>
      </w:tr>
      <w:tr w:rsidR="00531957" w:rsidRPr="00531957" w14:paraId="2DF7E68C" w14:textId="77777777" w:rsidTr="00531957">
        <w:trPr>
          <w:trHeight w:val="288"/>
        </w:trPr>
        <w:tc>
          <w:tcPr>
            <w:tcW w:w="2866" w:type="dxa"/>
            <w:tcBorders>
              <w:top w:val="nil"/>
              <w:left w:val="single" w:sz="8" w:space="0" w:color="auto"/>
              <w:bottom w:val="single" w:sz="4" w:space="0" w:color="auto"/>
              <w:right w:val="nil"/>
            </w:tcBorders>
            <w:noWrap/>
            <w:vAlign w:val="center"/>
            <w:hideMark/>
          </w:tcPr>
          <w:p w14:paraId="51FFBC6E" w14:textId="77777777" w:rsidR="00531957" w:rsidRPr="00531957" w:rsidRDefault="00531957" w:rsidP="00531957">
            <w:pPr>
              <w:rPr>
                <w:rFonts w:eastAsia="Times New Roman" w:cs="Calibri"/>
                <w:sz w:val="16"/>
                <w:szCs w:val="16"/>
                <w:lang w:eastAsia="cs-CZ"/>
              </w:rPr>
            </w:pPr>
            <w:r w:rsidRPr="00531957">
              <w:rPr>
                <w:rFonts w:eastAsia="Times New Roman" w:cs="Calibri"/>
                <w:sz w:val="16"/>
                <w:szCs w:val="16"/>
                <w:lang w:eastAsia="cs-CZ"/>
              </w:rPr>
              <w:t>úklid</w:t>
            </w:r>
          </w:p>
        </w:tc>
        <w:tc>
          <w:tcPr>
            <w:tcW w:w="2922" w:type="dxa"/>
            <w:gridSpan w:val="4"/>
            <w:tcBorders>
              <w:top w:val="single" w:sz="8" w:space="0" w:color="auto"/>
              <w:left w:val="single" w:sz="8" w:space="0" w:color="auto"/>
              <w:bottom w:val="single" w:sz="4" w:space="0" w:color="auto"/>
              <w:right w:val="single" w:sz="8" w:space="0" w:color="000000"/>
            </w:tcBorders>
            <w:noWrap/>
            <w:vAlign w:val="bottom"/>
            <w:hideMark/>
          </w:tcPr>
          <w:p w14:paraId="5AECA9D1" w14:textId="77777777" w:rsidR="00531957" w:rsidRPr="00531957" w:rsidRDefault="00531957" w:rsidP="00531957">
            <w:pPr>
              <w:rPr>
                <w:rFonts w:eastAsia="Times New Roman" w:cs="Calibri"/>
                <w:color w:val="000000"/>
                <w:sz w:val="20"/>
                <w:szCs w:val="20"/>
                <w:lang w:eastAsia="cs-CZ"/>
              </w:rPr>
            </w:pPr>
            <w:r w:rsidRPr="00531957">
              <w:rPr>
                <w:rFonts w:eastAsia="Times New Roman" w:cs="Calibri"/>
                <w:color w:val="000000"/>
                <w:sz w:val="20"/>
                <w:szCs w:val="20"/>
                <w:lang w:eastAsia="cs-CZ"/>
              </w:rPr>
              <w:t> </w:t>
            </w:r>
          </w:p>
        </w:tc>
        <w:tc>
          <w:tcPr>
            <w:tcW w:w="1214" w:type="dxa"/>
            <w:tcBorders>
              <w:top w:val="nil"/>
              <w:left w:val="nil"/>
              <w:bottom w:val="single" w:sz="4" w:space="0" w:color="auto"/>
              <w:right w:val="single" w:sz="4" w:space="0" w:color="auto"/>
            </w:tcBorders>
            <w:noWrap/>
            <w:vAlign w:val="bottom"/>
            <w:hideMark/>
          </w:tcPr>
          <w:p w14:paraId="443B994F" w14:textId="77777777" w:rsidR="00531957" w:rsidRPr="00531957" w:rsidRDefault="00531957" w:rsidP="00531957">
            <w:pPr>
              <w:jc w:val="center"/>
              <w:rPr>
                <w:rFonts w:eastAsia="Times New Roman" w:cs="Calibri"/>
                <w:color w:val="000000"/>
                <w:sz w:val="20"/>
                <w:szCs w:val="20"/>
                <w:lang w:eastAsia="cs-CZ"/>
              </w:rPr>
            </w:pPr>
            <w:r w:rsidRPr="00531957">
              <w:rPr>
                <w:rFonts w:eastAsia="Times New Roman" w:cs="Calibri"/>
                <w:color w:val="000000"/>
                <w:sz w:val="20"/>
                <w:szCs w:val="20"/>
                <w:lang w:eastAsia="cs-CZ"/>
              </w:rPr>
              <w:t>x</w:t>
            </w:r>
          </w:p>
        </w:tc>
        <w:tc>
          <w:tcPr>
            <w:tcW w:w="1210" w:type="dxa"/>
            <w:tcBorders>
              <w:top w:val="nil"/>
              <w:left w:val="nil"/>
              <w:bottom w:val="single" w:sz="4" w:space="0" w:color="auto"/>
              <w:right w:val="single" w:sz="4" w:space="0" w:color="auto"/>
            </w:tcBorders>
            <w:noWrap/>
            <w:vAlign w:val="bottom"/>
            <w:hideMark/>
          </w:tcPr>
          <w:p w14:paraId="3D753222" w14:textId="77777777" w:rsidR="00531957" w:rsidRPr="00531957" w:rsidRDefault="00531957" w:rsidP="00531957">
            <w:pPr>
              <w:jc w:val="center"/>
              <w:rPr>
                <w:rFonts w:eastAsia="Times New Roman" w:cs="Calibri"/>
                <w:color w:val="000000"/>
                <w:sz w:val="20"/>
                <w:szCs w:val="20"/>
                <w:lang w:eastAsia="cs-CZ"/>
              </w:rPr>
            </w:pPr>
            <w:r w:rsidRPr="00531957">
              <w:rPr>
                <w:rFonts w:eastAsia="Times New Roman" w:cs="Calibri"/>
                <w:color w:val="000000"/>
                <w:sz w:val="20"/>
                <w:szCs w:val="20"/>
                <w:lang w:eastAsia="cs-CZ"/>
              </w:rPr>
              <w:t>x</w:t>
            </w:r>
          </w:p>
        </w:tc>
        <w:tc>
          <w:tcPr>
            <w:tcW w:w="1194" w:type="dxa"/>
            <w:tcBorders>
              <w:top w:val="nil"/>
              <w:left w:val="nil"/>
              <w:bottom w:val="single" w:sz="4" w:space="0" w:color="auto"/>
              <w:right w:val="single" w:sz="8" w:space="0" w:color="auto"/>
            </w:tcBorders>
            <w:noWrap/>
            <w:vAlign w:val="bottom"/>
            <w:hideMark/>
          </w:tcPr>
          <w:p w14:paraId="5411124D" w14:textId="77777777" w:rsidR="00531957" w:rsidRPr="00531957" w:rsidRDefault="00531957" w:rsidP="00531957">
            <w:pPr>
              <w:jc w:val="right"/>
              <w:rPr>
                <w:rFonts w:eastAsia="Times New Roman" w:cs="Calibri"/>
                <w:color w:val="000000"/>
                <w:sz w:val="20"/>
                <w:szCs w:val="20"/>
                <w:lang w:eastAsia="cs-CZ"/>
              </w:rPr>
            </w:pPr>
            <w:r w:rsidRPr="00531957">
              <w:rPr>
                <w:rFonts w:eastAsia="Times New Roman" w:cs="Calibri"/>
                <w:color w:val="000000"/>
                <w:sz w:val="20"/>
                <w:szCs w:val="20"/>
                <w:lang w:eastAsia="cs-CZ"/>
              </w:rPr>
              <w:t>1 700,00</w:t>
            </w:r>
          </w:p>
        </w:tc>
      </w:tr>
      <w:tr w:rsidR="00531957" w:rsidRPr="00531957" w14:paraId="447B3251" w14:textId="77777777" w:rsidTr="00531957">
        <w:trPr>
          <w:trHeight w:val="288"/>
        </w:trPr>
        <w:tc>
          <w:tcPr>
            <w:tcW w:w="2866" w:type="dxa"/>
            <w:tcBorders>
              <w:top w:val="nil"/>
              <w:left w:val="single" w:sz="8" w:space="0" w:color="auto"/>
              <w:bottom w:val="single" w:sz="4" w:space="0" w:color="auto"/>
              <w:right w:val="nil"/>
            </w:tcBorders>
            <w:noWrap/>
            <w:vAlign w:val="center"/>
            <w:hideMark/>
          </w:tcPr>
          <w:p w14:paraId="1A5442C8" w14:textId="77777777" w:rsidR="00531957" w:rsidRPr="00531957" w:rsidRDefault="00531957" w:rsidP="00531957">
            <w:pPr>
              <w:rPr>
                <w:rFonts w:eastAsia="Times New Roman" w:cs="Calibri"/>
                <w:sz w:val="20"/>
                <w:szCs w:val="20"/>
                <w:lang w:eastAsia="cs-CZ"/>
              </w:rPr>
            </w:pPr>
            <w:r w:rsidRPr="00531957">
              <w:rPr>
                <w:rFonts w:eastAsia="Times New Roman" w:cs="Calibri"/>
                <w:sz w:val="20"/>
                <w:szCs w:val="20"/>
                <w:lang w:eastAsia="cs-CZ"/>
              </w:rPr>
              <w:t>technická podpora 2x</w:t>
            </w:r>
          </w:p>
        </w:tc>
        <w:tc>
          <w:tcPr>
            <w:tcW w:w="2922" w:type="dxa"/>
            <w:gridSpan w:val="4"/>
            <w:tcBorders>
              <w:top w:val="single" w:sz="4" w:space="0" w:color="auto"/>
              <w:left w:val="single" w:sz="8" w:space="0" w:color="auto"/>
              <w:bottom w:val="single" w:sz="4" w:space="0" w:color="auto"/>
              <w:right w:val="single" w:sz="8" w:space="0" w:color="000000"/>
            </w:tcBorders>
            <w:noWrap/>
            <w:vAlign w:val="bottom"/>
            <w:hideMark/>
          </w:tcPr>
          <w:p w14:paraId="2D92B5CB" w14:textId="77777777" w:rsidR="00531957" w:rsidRPr="00531957" w:rsidRDefault="00531957" w:rsidP="00531957">
            <w:pPr>
              <w:jc w:val="center"/>
              <w:rPr>
                <w:rFonts w:eastAsia="Times New Roman" w:cs="Calibri"/>
                <w:color w:val="000000"/>
                <w:sz w:val="18"/>
                <w:szCs w:val="18"/>
                <w:lang w:eastAsia="cs-CZ"/>
              </w:rPr>
            </w:pPr>
            <w:r w:rsidRPr="00531957">
              <w:rPr>
                <w:rFonts w:eastAsia="Times New Roman" w:cs="Calibri"/>
                <w:color w:val="000000"/>
                <w:sz w:val="18"/>
                <w:szCs w:val="18"/>
                <w:lang w:eastAsia="cs-CZ"/>
              </w:rPr>
              <w:t>15:00-01:30</w:t>
            </w:r>
          </w:p>
        </w:tc>
        <w:tc>
          <w:tcPr>
            <w:tcW w:w="1214" w:type="dxa"/>
            <w:tcBorders>
              <w:top w:val="nil"/>
              <w:left w:val="nil"/>
              <w:bottom w:val="single" w:sz="4" w:space="0" w:color="auto"/>
              <w:right w:val="single" w:sz="4" w:space="0" w:color="auto"/>
            </w:tcBorders>
            <w:noWrap/>
            <w:vAlign w:val="bottom"/>
            <w:hideMark/>
          </w:tcPr>
          <w:p w14:paraId="7054FCFE" w14:textId="77777777" w:rsidR="00531957" w:rsidRPr="00531957" w:rsidRDefault="00531957" w:rsidP="00531957">
            <w:pPr>
              <w:jc w:val="center"/>
              <w:rPr>
                <w:rFonts w:eastAsia="Times New Roman" w:cs="Calibri"/>
                <w:color w:val="000000"/>
                <w:sz w:val="20"/>
                <w:szCs w:val="20"/>
                <w:lang w:eastAsia="cs-CZ"/>
              </w:rPr>
            </w:pPr>
            <w:r w:rsidRPr="00531957">
              <w:rPr>
                <w:rFonts w:eastAsia="Times New Roman" w:cs="Calibri"/>
                <w:color w:val="000000"/>
                <w:sz w:val="20"/>
                <w:szCs w:val="20"/>
                <w:lang w:eastAsia="cs-CZ"/>
              </w:rPr>
              <w:t>26</w:t>
            </w:r>
          </w:p>
        </w:tc>
        <w:tc>
          <w:tcPr>
            <w:tcW w:w="1210" w:type="dxa"/>
            <w:tcBorders>
              <w:top w:val="nil"/>
              <w:left w:val="nil"/>
              <w:bottom w:val="single" w:sz="4" w:space="0" w:color="auto"/>
              <w:right w:val="single" w:sz="4" w:space="0" w:color="auto"/>
            </w:tcBorders>
            <w:noWrap/>
            <w:vAlign w:val="bottom"/>
            <w:hideMark/>
          </w:tcPr>
          <w:p w14:paraId="077A8AB9" w14:textId="77777777" w:rsidR="00531957" w:rsidRPr="00531957" w:rsidRDefault="00531957" w:rsidP="00531957">
            <w:pPr>
              <w:jc w:val="center"/>
              <w:rPr>
                <w:rFonts w:eastAsia="Times New Roman" w:cs="Calibri"/>
                <w:color w:val="000000"/>
                <w:sz w:val="20"/>
                <w:szCs w:val="20"/>
                <w:lang w:eastAsia="cs-CZ"/>
              </w:rPr>
            </w:pPr>
            <w:r w:rsidRPr="00531957">
              <w:rPr>
                <w:rFonts w:eastAsia="Times New Roman" w:cs="Calibri"/>
                <w:color w:val="000000"/>
                <w:sz w:val="20"/>
                <w:szCs w:val="20"/>
                <w:lang w:eastAsia="cs-CZ"/>
              </w:rPr>
              <w:t>170</w:t>
            </w:r>
          </w:p>
        </w:tc>
        <w:tc>
          <w:tcPr>
            <w:tcW w:w="1194" w:type="dxa"/>
            <w:tcBorders>
              <w:top w:val="nil"/>
              <w:left w:val="nil"/>
              <w:bottom w:val="single" w:sz="4" w:space="0" w:color="auto"/>
              <w:right w:val="single" w:sz="8" w:space="0" w:color="auto"/>
            </w:tcBorders>
            <w:noWrap/>
            <w:vAlign w:val="bottom"/>
            <w:hideMark/>
          </w:tcPr>
          <w:p w14:paraId="032884CC" w14:textId="77777777" w:rsidR="00531957" w:rsidRPr="00531957" w:rsidRDefault="00531957" w:rsidP="00531957">
            <w:pPr>
              <w:jc w:val="right"/>
              <w:rPr>
                <w:rFonts w:eastAsia="Times New Roman" w:cs="Calibri"/>
                <w:color w:val="000000"/>
                <w:sz w:val="20"/>
                <w:szCs w:val="20"/>
                <w:lang w:eastAsia="cs-CZ"/>
              </w:rPr>
            </w:pPr>
            <w:r w:rsidRPr="00531957">
              <w:rPr>
                <w:rFonts w:eastAsia="Times New Roman" w:cs="Calibri"/>
                <w:color w:val="000000"/>
                <w:sz w:val="20"/>
                <w:szCs w:val="20"/>
                <w:lang w:eastAsia="cs-CZ"/>
              </w:rPr>
              <w:t>4 420,00</w:t>
            </w:r>
          </w:p>
        </w:tc>
      </w:tr>
      <w:tr w:rsidR="00531957" w:rsidRPr="00531957" w14:paraId="3D98FF32" w14:textId="77777777" w:rsidTr="00531957">
        <w:trPr>
          <w:trHeight w:val="300"/>
        </w:trPr>
        <w:tc>
          <w:tcPr>
            <w:tcW w:w="2866" w:type="dxa"/>
            <w:tcBorders>
              <w:top w:val="nil"/>
              <w:left w:val="single" w:sz="8" w:space="0" w:color="auto"/>
              <w:bottom w:val="single" w:sz="4" w:space="0" w:color="auto"/>
              <w:right w:val="nil"/>
            </w:tcBorders>
            <w:noWrap/>
            <w:vAlign w:val="bottom"/>
            <w:hideMark/>
          </w:tcPr>
          <w:p w14:paraId="45462DB6" w14:textId="77777777" w:rsidR="00531957" w:rsidRPr="00531957" w:rsidRDefault="00531957" w:rsidP="00531957">
            <w:pPr>
              <w:rPr>
                <w:rFonts w:eastAsia="Times New Roman" w:cs="Calibri"/>
                <w:sz w:val="20"/>
                <w:szCs w:val="20"/>
                <w:lang w:eastAsia="cs-CZ"/>
              </w:rPr>
            </w:pPr>
            <w:r w:rsidRPr="00531957">
              <w:rPr>
                <w:rFonts w:eastAsia="Times New Roman" w:cs="Calibri"/>
                <w:sz w:val="20"/>
                <w:szCs w:val="20"/>
                <w:lang w:eastAsia="cs-CZ"/>
              </w:rPr>
              <w:t>požární dozor 2x</w:t>
            </w:r>
          </w:p>
        </w:tc>
        <w:tc>
          <w:tcPr>
            <w:tcW w:w="2922" w:type="dxa"/>
            <w:gridSpan w:val="4"/>
            <w:tcBorders>
              <w:top w:val="single" w:sz="4" w:space="0" w:color="auto"/>
              <w:left w:val="single" w:sz="8" w:space="0" w:color="auto"/>
              <w:bottom w:val="single" w:sz="4" w:space="0" w:color="auto"/>
              <w:right w:val="single" w:sz="8" w:space="0" w:color="000000"/>
            </w:tcBorders>
            <w:noWrap/>
            <w:vAlign w:val="bottom"/>
            <w:hideMark/>
          </w:tcPr>
          <w:p w14:paraId="30547942" w14:textId="77777777" w:rsidR="00531957" w:rsidRPr="00531957" w:rsidRDefault="00531957" w:rsidP="00531957">
            <w:pPr>
              <w:jc w:val="center"/>
              <w:rPr>
                <w:rFonts w:eastAsia="Times New Roman" w:cs="Calibri"/>
                <w:color w:val="000000"/>
                <w:sz w:val="18"/>
                <w:szCs w:val="18"/>
                <w:lang w:eastAsia="cs-CZ"/>
              </w:rPr>
            </w:pPr>
            <w:r w:rsidRPr="00531957">
              <w:rPr>
                <w:rFonts w:eastAsia="Times New Roman" w:cs="Calibri"/>
                <w:color w:val="000000"/>
                <w:sz w:val="18"/>
                <w:szCs w:val="18"/>
                <w:lang w:eastAsia="cs-CZ"/>
              </w:rPr>
              <w:t>15:00-01:30</w:t>
            </w:r>
          </w:p>
        </w:tc>
        <w:tc>
          <w:tcPr>
            <w:tcW w:w="1214" w:type="dxa"/>
            <w:tcBorders>
              <w:top w:val="nil"/>
              <w:left w:val="nil"/>
              <w:bottom w:val="single" w:sz="8" w:space="0" w:color="auto"/>
              <w:right w:val="single" w:sz="4" w:space="0" w:color="auto"/>
            </w:tcBorders>
            <w:noWrap/>
            <w:vAlign w:val="bottom"/>
            <w:hideMark/>
          </w:tcPr>
          <w:p w14:paraId="33BCA029" w14:textId="77777777" w:rsidR="00531957" w:rsidRPr="00531957" w:rsidRDefault="00531957" w:rsidP="00531957">
            <w:pPr>
              <w:jc w:val="center"/>
              <w:rPr>
                <w:rFonts w:eastAsia="Times New Roman" w:cs="Calibri"/>
                <w:color w:val="000000"/>
                <w:sz w:val="20"/>
                <w:szCs w:val="20"/>
                <w:lang w:eastAsia="cs-CZ"/>
              </w:rPr>
            </w:pPr>
            <w:r w:rsidRPr="00531957">
              <w:rPr>
                <w:rFonts w:eastAsia="Times New Roman" w:cs="Calibri"/>
                <w:color w:val="000000"/>
                <w:sz w:val="20"/>
                <w:szCs w:val="20"/>
                <w:lang w:eastAsia="cs-CZ"/>
              </w:rPr>
              <w:t>26</w:t>
            </w:r>
          </w:p>
        </w:tc>
        <w:tc>
          <w:tcPr>
            <w:tcW w:w="1210" w:type="dxa"/>
            <w:tcBorders>
              <w:top w:val="nil"/>
              <w:left w:val="nil"/>
              <w:bottom w:val="single" w:sz="8" w:space="0" w:color="auto"/>
              <w:right w:val="single" w:sz="4" w:space="0" w:color="auto"/>
            </w:tcBorders>
            <w:noWrap/>
            <w:vAlign w:val="bottom"/>
            <w:hideMark/>
          </w:tcPr>
          <w:p w14:paraId="66590DCC" w14:textId="77777777" w:rsidR="00531957" w:rsidRPr="00531957" w:rsidRDefault="00531957" w:rsidP="00531957">
            <w:pPr>
              <w:jc w:val="center"/>
              <w:rPr>
                <w:rFonts w:eastAsia="Times New Roman" w:cs="Calibri"/>
                <w:color w:val="000000"/>
                <w:sz w:val="20"/>
                <w:szCs w:val="20"/>
                <w:lang w:eastAsia="cs-CZ"/>
              </w:rPr>
            </w:pPr>
            <w:r w:rsidRPr="00531957">
              <w:rPr>
                <w:rFonts w:eastAsia="Times New Roman" w:cs="Calibri"/>
                <w:color w:val="000000"/>
                <w:sz w:val="20"/>
                <w:szCs w:val="20"/>
                <w:lang w:eastAsia="cs-CZ"/>
              </w:rPr>
              <w:t>220</w:t>
            </w:r>
          </w:p>
        </w:tc>
        <w:tc>
          <w:tcPr>
            <w:tcW w:w="1194" w:type="dxa"/>
            <w:tcBorders>
              <w:top w:val="nil"/>
              <w:left w:val="nil"/>
              <w:bottom w:val="single" w:sz="4" w:space="0" w:color="auto"/>
              <w:right w:val="single" w:sz="8" w:space="0" w:color="auto"/>
            </w:tcBorders>
            <w:noWrap/>
            <w:vAlign w:val="bottom"/>
            <w:hideMark/>
          </w:tcPr>
          <w:p w14:paraId="01734133" w14:textId="77777777" w:rsidR="00531957" w:rsidRPr="00531957" w:rsidRDefault="00531957" w:rsidP="00531957">
            <w:pPr>
              <w:jc w:val="right"/>
              <w:rPr>
                <w:rFonts w:eastAsia="Times New Roman" w:cs="Calibri"/>
                <w:color w:val="000000"/>
                <w:sz w:val="20"/>
                <w:szCs w:val="20"/>
                <w:lang w:eastAsia="cs-CZ"/>
              </w:rPr>
            </w:pPr>
            <w:r w:rsidRPr="00531957">
              <w:rPr>
                <w:rFonts w:eastAsia="Times New Roman" w:cs="Calibri"/>
                <w:color w:val="000000"/>
                <w:sz w:val="20"/>
                <w:szCs w:val="20"/>
                <w:lang w:eastAsia="cs-CZ"/>
              </w:rPr>
              <w:t>5 720,00</w:t>
            </w:r>
          </w:p>
        </w:tc>
      </w:tr>
      <w:tr w:rsidR="00531957" w:rsidRPr="00531957" w14:paraId="657F91CE" w14:textId="77777777" w:rsidTr="00531957">
        <w:trPr>
          <w:trHeight w:val="300"/>
        </w:trPr>
        <w:tc>
          <w:tcPr>
            <w:tcW w:w="2866" w:type="dxa"/>
            <w:tcBorders>
              <w:top w:val="single" w:sz="8" w:space="0" w:color="auto"/>
              <w:left w:val="single" w:sz="8" w:space="0" w:color="auto"/>
              <w:bottom w:val="single" w:sz="8" w:space="0" w:color="auto"/>
              <w:right w:val="single" w:sz="8" w:space="0" w:color="auto"/>
            </w:tcBorders>
            <w:noWrap/>
            <w:vAlign w:val="bottom"/>
            <w:hideMark/>
          </w:tcPr>
          <w:p w14:paraId="3182E773" w14:textId="77777777" w:rsidR="00531957" w:rsidRPr="00531957" w:rsidRDefault="00531957" w:rsidP="00531957">
            <w:pPr>
              <w:rPr>
                <w:rFonts w:eastAsia="Times New Roman" w:cs="Calibri"/>
                <w:color w:val="000000"/>
                <w:sz w:val="20"/>
                <w:szCs w:val="20"/>
                <w:lang w:eastAsia="cs-CZ"/>
              </w:rPr>
            </w:pPr>
            <w:r w:rsidRPr="00531957">
              <w:rPr>
                <w:rFonts w:eastAsia="Times New Roman" w:cs="Calibri"/>
                <w:color w:val="000000"/>
                <w:sz w:val="20"/>
                <w:szCs w:val="20"/>
                <w:lang w:eastAsia="cs-CZ"/>
              </w:rPr>
              <w:t>celkem Kč</w:t>
            </w:r>
          </w:p>
        </w:tc>
        <w:tc>
          <w:tcPr>
            <w:tcW w:w="2922" w:type="dxa"/>
            <w:gridSpan w:val="4"/>
            <w:tcBorders>
              <w:top w:val="single" w:sz="8" w:space="0" w:color="auto"/>
              <w:left w:val="nil"/>
              <w:bottom w:val="single" w:sz="8" w:space="0" w:color="auto"/>
              <w:right w:val="single" w:sz="8" w:space="0" w:color="000000"/>
            </w:tcBorders>
            <w:noWrap/>
            <w:vAlign w:val="bottom"/>
            <w:hideMark/>
          </w:tcPr>
          <w:p w14:paraId="05F5F442" w14:textId="77777777" w:rsidR="00531957" w:rsidRPr="00531957" w:rsidRDefault="00531957" w:rsidP="00531957">
            <w:pPr>
              <w:rPr>
                <w:rFonts w:eastAsia="Times New Roman" w:cs="Calibri"/>
                <w:color w:val="000000"/>
                <w:sz w:val="20"/>
                <w:szCs w:val="20"/>
                <w:lang w:eastAsia="cs-CZ"/>
              </w:rPr>
            </w:pPr>
            <w:r w:rsidRPr="00531957">
              <w:rPr>
                <w:rFonts w:eastAsia="Times New Roman" w:cs="Calibri"/>
                <w:color w:val="000000"/>
                <w:sz w:val="20"/>
                <w:szCs w:val="20"/>
                <w:lang w:eastAsia="cs-CZ"/>
              </w:rPr>
              <w:t> </w:t>
            </w:r>
          </w:p>
        </w:tc>
        <w:tc>
          <w:tcPr>
            <w:tcW w:w="1214" w:type="dxa"/>
            <w:tcBorders>
              <w:top w:val="nil"/>
              <w:left w:val="nil"/>
              <w:bottom w:val="single" w:sz="8" w:space="0" w:color="auto"/>
              <w:right w:val="nil"/>
            </w:tcBorders>
            <w:noWrap/>
            <w:vAlign w:val="bottom"/>
            <w:hideMark/>
          </w:tcPr>
          <w:p w14:paraId="47A83469" w14:textId="77777777" w:rsidR="00531957" w:rsidRPr="00531957" w:rsidRDefault="00531957" w:rsidP="00531957">
            <w:pPr>
              <w:rPr>
                <w:rFonts w:eastAsia="Times New Roman" w:cs="Calibri"/>
                <w:color w:val="000000"/>
                <w:sz w:val="20"/>
                <w:szCs w:val="20"/>
                <w:lang w:eastAsia="cs-CZ"/>
              </w:rPr>
            </w:pPr>
            <w:r w:rsidRPr="00531957">
              <w:rPr>
                <w:rFonts w:eastAsia="Times New Roman" w:cs="Calibri"/>
                <w:color w:val="000000"/>
                <w:sz w:val="20"/>
                <w:szCs w:val="20"/>
                <w:lang w:eastAsia="cs-CZ"/>
              </w:rPr>
              <w:t> </w:t>
            </w:r>
          </w:p>
        </w:tc>
        <w:tc>
          <w:tcPr>
            <w:tcW w:w="1210" w:type="dxa"/>
            <w:tcBorders>
              <w:top w:val="nil"/>
              <w:left w:val="nil"/>
              <w:bottom w:val="single" w:sz="8" w:space="0" w:color="auto"/>
              <w:right w:val="nil"/>
            </w:tcBorders>
            <w:noWrap/>
            <w:vAlign w:val="bottom"/>
            <w:hideMark/>
          </w:tcPr>
          <w:p w14:paraId="1AEF6EF9" w14:textId="77777777" w:rsidR="00531957" w:rsidRPr="00531957" w:rsidRDefault="00531957" w:rsidP="00531957">
            <w:pPr>
              <w:rPr>
                <w:rFonts w:eastAsia="Times New Roman" w:cs="Calibri"/>
                <w:color w:val="000000"/>
                <w:sz w:val="20"/>
                <w:szCs w:val="20"/>
                <w:lang w:eastAsia="cs-CZ"/>
              </w:rPr>
            </w:pPr>
            <w:r w:rsidRPr="00531957">
              <w:rPr>
                <w:rFonts w:eastAsia="Times New Roman" w:cs="Calibri"/>
                <w:color w:val="000000"/>
                <w:sz w:val="20"/>
                <w:szCs w:val="20"/>
                <w:lang w:eastAsia="cs-CZ"/>
              </w:rPr>
              <w:t> </w:t>
            </w:r>
          </w:p>
        </w:tc>
        <w:tc>
          <w:tcPr>
            <w:tcW w:w="1194" w:type="dxa"/>
            <w:tcBorders>
              <w:top w:val="single" w:sz="8" w:space="0" w:color="auto"/>
              <w:left w:val="nil"/>
              <w:bottom w:val="single" w:sz="8" w:space="0" w:color="auto"/>
              <w:right w:val="single" w:sz="8" w:space="0" w:color="auto"/>
            </w:tcBorders>
            <w:shd w:val="clear" w:color="000000" w:fill="C0C0C0"/>
            <w:noWrap/>
            <w:vAlign w:val="bottom"/>
            <w:hideMark/>
          </w:tcPr>
          <w:p w14:paraId="6E80FD3A" w14:textId="77777777" w:rsidR="00531957" w:rsidRPr="00531957" w:rsidRDefault="00531957" w:rsidP="00531957">
            <w:pPr>
              <w:jc w:val="right"/>
              <w:rPr>
                <w:rFonts w:eastAsia="Times New Roman" w:cs="Calibri"/>
                <w:b/>
                <w:bCs/>
                <w:sz w:val="20"/>
                <w:szCs w:val="20"/>
                <w:lang w:eastAsia="cs-CZ"/>
              </w:rPr>
            </w:pPr>
            <w:r w:rsidRPr="00531957">
              <w:rPr>
                <w:rFonts w:eastAsia="Times New Roman" w:cs="Calibri"/>
                <w:b/>
                <w:bCs/>
                <w:sz w:val="20"/>
                <w:szCs w:val="20"/>
                <w:lang w:eastAsia="cs-CZ"/>
              </w:rPr>
              <w:t>11 840,00</w:t>
            </w:r>
          </w:p>
        </w:tc>
      </w:tr>
      <w:tr w:rsidR="00531957" w:rsidRPr="00531957" w14:paraId="493FA29A" w14:textId="77777777" w:rsidTr="00531957">
        <w:trPr>
          <w:trHeight w:val="288"/>
        </w:trPr>
        <w:tc>
          <w:tcPr>
            <w:tcW w:w="2866" w:type="dxa"/>
            <w:tcBorders>
              <w:top w:val="nil"/>
              <w:left w:val="nil"/>
              <w:bottom w:val="nil"/>
              <w:right w:val="nil"/>
            </w:tcBorders>
            <w:noWrap/>
            <w:vAlign w:val="bottom"/>
            <w:hideMark/>
          </w:tcPr>
          <w:p w14:paraId="6A096FDD" w14:textId="77777777" w:rsidR="00531957" w:rsidRPr="00531957" w:rsidRDefault="00531957" w:rsidP="00531957">
            <w:pPr>
              <w:jc w:val="right"/>
              <w:rPr>
                <w:rFonts w:eastAsia="Times New Roman" w:cs="Calibri"/>
                <w:b/>
                <w:bCs/>
                <w:sz w:val="20"/>
                <w:szCs w:val="20"/>
                <w:lang w:eastAsia="cs-CZ"/>
              </w:rPr>
            </w:pPr>
          </w:p>
        </w:tc>
        <w:tc>
          <w:tcPr>
            <w:tcW w:w="57" w:type="dxa"/>
            <w:tcBorders>
              <w:top w:val="nil"/>
              <w:left w:val="nil"/>
              <w:bottom w:val="nil"/>
              <w:right w:val="nil"/>
            </w:tcBorders>
            <w:noWrap/>
            <w:vAlign w:val="bottom"/>
            <w:hideMark/>
          </w:tcPr>
          <w:p w14:paraId="07155DEF" w14:textId="77777777" w:rsidR="00531957" w:rsidRPr="00531957" w:rsidRDefault="00531957" w:rsidP="00531957">
            <w:pPr>
              <w:rPr>
                <w:rFonts w:ascii="Times New Roman" w:eastAsia="Times New Roman" w:hAnsi="Times New Roman"/>
                <w:sz w:val="20"/>
                <w:szCs w:val="20"/>
                <w:lang w:eastAsia="cs-CZ"/>
              </w:rPr>
            </w:pPr>
          </w:p>
        </w:tc>
        <w:tc>
          <w:tcPr>
            <w:tcW w:w="955" w:type="dxa"/>
            <w:tcBorders>
              <w:top w:val="nil"/>
              <w:left w:val="nil"/>
              <w:bottom w:val="nil"/>
              <w:right w:val="nil"/>
            </w:tcBorders>
            <w:noWrap/>
            <w:vAlign w:val="bottom"/>
            <w:hideMark/>
          </w:tcPr>
          <w:p w14:paraId="59C15BD6" w14:textId="77777777" w:rsidR="00531957" w:rsidRPr="00531957" w:rsidRDefault="00531957" w:rsidP="00531957">
            <w:pPr>
              <w:rPr>
                <w:rFonts w:ascii="Times New Roman" w:eastAsia="Times New Roman" w:hAnsi="Times New Roman"/>
                <w:sz w:val="20"/>
                <w:szCs w:val="20"/>
                <w:lang w:eastAsia="cs-CZ"/>
              </w:rPr>
            </w:pPr>
          </w:p>
        </w:tc>
        <w:tc>
          <w:tcPr>
            <w:tcW w:w="955" w:type="dxa"/>
            <w:tcBorders>
              <w:top w:val="nil"/>
              <w:left w:val="nil"/>
              <w:bottom w:val="nil"/>
              <w:right w:val="nil"/>
            </w:tcBorders>
            <w:noWrap/>
            <w:vAlign w:val="bottom"/>
            <w:hideMark/>
          </w:tcPr>
          <w:p w14:paraId="69ECFB8E" w14:textId="77777777" w:rsidR="00531957" w:rsidRPr="00531957" w:rsidRDefault="00531957" w:rsidP="00531957">
            <w:pPr>
              <w:rPr>
                <w:rFonts w:ascii="Times New Roman" w:eastAsia="Times New Roman" w:hAnsi="Times New Roman"/>
                <w:sz w:val="20"/>
                <w:szCs w:val="20"/>
                <w:lang w:eastAsia="cs-CZ"/>
              </w:rPr>
            </w:pPr>
          </w:p>
        </w:tc>
        <w:tc>
          <w:tcPr>
            <w:tcW w:w="955" w:type="dxa"/>
            <w:tcBorders>
              <w:top w:val="nil"/>
              <w:left w:val="nil"/>
              <w:bottom w:val="nil"/>
              <w:right w:val="nil"/>
            </w:tcBorders>
            <w:noWrap/>
            <w:vAlign w:val="bottom"/>
            <w:hideMark/>
          </w:tcPr>
          <w:p w14:paraId="437B561F" w14:textId="77777777" w:rsidR="00531957" w:rsidRPr="00531957" w:rsidRDefault="00531957" w:rsidP="00531957">
            <w:pPr>
              <w:rPr>
                <w:rFonts w:ascii="Times New Roman" w:eastAsia="Times New Roman" w:hAnsi="Times New Roman"/>
                <w:sz w:val="20"/>
                <w:szCs w:val="20"/>
                <w:lang w:eastAsia="cs-CZ"/>
              </w:rPr>
            </w:pPr>
          </w:p>
        </w:tc>
        <w:tc>
          <w:tcPr>
            <w:tcW w:w="1214" w:type="dxa"/>
            <w:tcBorders>
              <w:top w:val="nil"/>
              <w:left w:val="nil"/>
              <w:bottom w:val="nil"/>
              <w:right w:val="nil"/>
            </w:tcBorders>
            <w:noWrap/>
            <w:vAlign w:val="bottom"/>
            <w:hideMark/>
          </w:tcPr>
          <w:p w14:paraId="6DA3AD70" w14:textId="77777777" w:rsidR="00531957" w:rsidRPr="00531957" w:rsidRDefault="00531957" w:rsidP="00531957">
            <w:pPr>
              <w:rPr>
                <w:rFonts w:ascii="Times New Roman" w:eastAsia="Times New Roman" w:hAnsi="Times New Roman"/>
                <w:sz w:val="20"/>
                <w:szCs w:val="20"/>
                <w:lang w:eastAsia="cs-CZ"/>
              </w:rPr>
            </w:pPr>
          </w:p>
        </w:tc>
        <w:tc>
          <w:tcPr>
            <w:tcW w:w="1210" w:type="dxa"/>
            <w:tcBorders>
              <w:top w:val="nil"/>
              <w:left w:val="nil"/>
              <w:bottom w:val="nil"/>
              <w:right w:val="nil"/>
            </w:tcBorders>
            <w:noWrap/>
            <w:vAlign w:val="bottom"/>
            <w:hideMark/>
          </w:tcPr>
          <w:p w14:paraId="3B419B26" w14:textId="77777777" w:rsidR="00531957" w:rsidRPr="00531957" w:rsidRDefault="00531957" w:rsidP="00531957">
            <w:pPr>
              <w:rPr>
                <w:rFonts w:ascii="Times New Roman" w:eastAsia="Times New Roman" w:hAnsi="Times New Roman"/>
                <w:sz w:val="20"/>
                <w:szCs w:val="20"/>
                <w:lang w:eastAsia="cs-CZ"/>
              </w:rPr>
            </w:pPr>
          </w:p>
        </w:tc>
        <w:tc>
          <w:tcPr>
            <w:tcW w:w="1194" w:type="dxa"/>
            <w:tcBorders>
              <w:top w:val="nil"/>
              <w:left w:val="nil"/>
              <w:bottom w:val="nil"/>
              <w:right w:val="nil"/>
            </w:tcBorders>
            <w:noWrap/>
            <w:vAlign w:val="bottom"/>
            <w:hideMark/>
          </w:tcPr>
          <w:p w14:paraId="5EE9C536" w14:textId="77777777" w:rsidR="00531957" w:rsidRPr="00531957" w:rsidRDefault="00531957" w:rsidP="00531957">
            <w:pPr>
              <w:rPr>
                <w:rFonts w:ascii="Times New Roman" w:eastAsia="Times New Roman" w:hAnsi="Times New Roman"/>
                <w:sz w:val="20"/>
                <w:szCs w:val="20"/>
                <w:lang w:eastAsia="cs-CZ"/>
              </w:rPr>
            </w:pPr>
          </w:p>
        </w:tc>
      </w:tr>
      <w:tr w:rsidR="00531957" w:rsidRPr="00531957" w14:paraId="6BA796DF" w14:textId="77777777" w:rsidTr="00531957">
        <w:trPr>
          <w:trHeight w:val="288"/>
        </w:trPr>
        <w:tc>
          <w:tcPr>
            <w:tcW w:w="2866" w:type="dxa"/>
            <w:tcBorders>
              <w:top w:val="nil"/>
              <w:left w:val="nil"/>
              <w:bottom w:val="nil"/>
              <w:right w:val="nil"/>
            </w:tcBorders>
            <w:noWrap/>
            <w:vAlign w:val="bottom"/>
            <w:hideMark/>
          </w:tcPr>
          <w:p w14:paraId="294DBCB2" w14:textId="77777777" w:rsidR="00531957" w:rsidRPr="00531957" w:rsidRDefault="00531957" w:rsidP="00531957">
            <w:pPr>
              <w:jc w:val="right"/>
              <w:rPr>
                <w:rFonts w:eastAsia="Times New Roman" w:cs="Calibri"/>
                <w:sz w:val="20"/>
                <w:szCs w:val="20"/>
                <w:lang w:eastAsia="cs-CZ"/>
              </w:rPr>
            </w:pPr>
            <w:r w:rsidRPr="00531957">
              <w:rPr>
                <w:rFonts w:eastAsia="Times New Roman" w:cs="Calibri"/>
                <w:sz w:val="20"/>
                <w:szCs w:val="20"/>
                <w:lang w:eastAsia="cs-CZ"/>
              </w:rPr>
              <w:t>Poznámka:</w:t>
            </w:r>
          </w:p>
        </w:tc>
        <w:tc>
          <w:tcPr>
            <w:tcW w:w="6540" w:type="dxa"/>
            <w:gridSpan w:val="7"/>
            <w:tcBorders>
              <w:top w:val="nil"/>
              <w:left w:val="nil"/>
              <w:bottom w:val="nil"/>
              <w:right w:val="nil"/>
            </w:tcBorders>
            <w:noWrap/>
            <w:vAlign w:val="bottom"/>
            <w:hideMark/>
          </w:tcPr>
          <w:p w14:paraId="264CCED5" w14:textId="77777777" w:rsidR="00531957" w:rsidRPr="00531957" w:rsidRDefault="00531957" w:rsidP="00531957">
            <w:pPr>
              <w:jc w:val="right"/>
              <w:rPr>
                <w:rFonts w:eastAsia="Times New Roman" w:cs="Calibri"/>
                <w:sz w:val="20"/>
                <w:szCs w:val="20"/>
                <w:lang w:eastAsia="cs-CZ"/>
              </w:rPr>
            </w:pPr>
          </w:p>
        </w:tc>
      </w:tr>
      <w:tr w:rsidR="00531957" w:rsidRPr="00531957" w14:paraId="3194D7EF" w14:textId="77777777" w:rsidTr="00531957">
        <w:trPr>
          <w:trHeight w:val="288"/>
        </w:trPr>
        <w:tc>
          <w:tcPr>
            <w:tcW w:w="2866" w:type="dxa"/>
            <w:tcBorders>
              <w:top w:val="nil"/>
              <w:left w:val="nil"/>
              <w:bottom w:val="nil"/>
              <w:right w:val="nil"/>
            </w:tcBorders>
            <w:noWrap/>
            <w:vAlign w:val="bottom"/>
            <w:hideMark/>
          </w:tcPr>
          <w:p w14:paraId="1753CC85" w14:textId="77777777" w:rsidR="00531957" w:rsidRPr="00531957" w:rsidRDefault="00531957" w:rsidP="00531957">
            <w:pPr>
              <w:rPr>
                <w:rFonts w:ascii="Times New Roman" w:eastAsia="Times New Roman" w:hAnsi="Times New Roman"/>
                <w:sz w:val="20"/>
                <w:szCs w:val="20"/>
                <w:lang w:eastAsia="cs-CZ"/>
              </w:rPr>
            </w:pPr>
          </w:p>
        </w:tc>
        <w:tc>
          <w:tcPr>
            <w:tcW w:w="6540" w:type="dxa"/>
            <w:gridSpan w:val="7"/>
            <w:tcBorders>
              <w:top w:val="nil"/>
              <w:left w:val="nil"/>
              <w:bottom w:val="nil"/>
              <w:right w:val="nil"/>
            </w:tcBorders>
            <w:noWrap/>
            <w:vAlign w:val="bottom"/>
            <w:hideMark/>
          </w:tcPr>
          <w:p w14:paraId="04D9C630" w14:textId="77777777" w:rsidR="00531957" w:rsidRPr="00531957" w:rsidRDefault="00531957" w:rsidP="00531957">
            <w:pPr>
              <w:jc w:val="right"/>
              <w:rPr>
                <w:rFonts w:ascii="Times New Roman" w:eastAsia="Times New Roman" w:hAnsi="Times New Roman"/>
                <w:sz w:val="20"/>
                <w:szCs w:val="20"/>
                <w:lang w:eastAsia="cs-CZ"/>
              </w:rPr>
            </w:pPr>
          </w:p>
        </w:tc>
      </w:tr>
      <w:tr w:rsidR="00531957" w:rsidRPr="00531957" w14:paraId="3EB327C2" w14:textId="77777777" w:rsidTr="00531957">
        <w:trPr>
          <w:trHeight w:val="288"/>
        </w:trPr>
        <w:tc>
          <w:tcPr>
            <w:tcW w:w="2866" w:type="dxa"/>
            <w:tcBorders>
              <w:top w:val="nil"/>
              <w:left w:val="nil"/>
              <w:bottom w:val="nil"/>
              <w:right w:val="nil"/>
            </w:tcBorders>
            <w:noWrap/>
            <w:vAlign w:val="bottom"/>
            <w:hideMark/>
          </w:tcPr>
          <w:p w14:paraId="362CC404" w14:textId="77777777" w:rsidR="00531957" w:rsidRPr="00531957" w:rsidRDefault="00531957" w:rsidP="00531957">
            <w:pPr>
              <w:rPr>
                <w:rFonts w:ascii="Times New Roman" w:eastAsia="Times New Roman" w:hAnsi="Times New Roman"/>
                <w:sz w:val="20"/>
                <w:szCs w:val="20"/>
                <w:lang w:eastAsia="cs-CZ"/>
              </w:rPr>
            </w:pPr>
          </w:p>
        </w:tc>
        <w:tc>
          <w:tcPr>
            <w:tcW w:w="6540" w:type="dxa"/>
            <w:gridSpan w:val="7"/>
            <w:tcBorders>
              <w:top w:val="nil"/>
              <w:left w:val="nil"/>
              <w:bottom w:val="nil"/>
              <w:right w:val="nil"/>
            </w:tcBorders>
            <w:noWrap/>
            <w:vAlign w:val="bottom"/>
            <w:hideMark/>
          </w:tcPr>
          <w:p w14:paraId="6E689F46" w14:textId="77777777" w:rsidR="00531957" w:rsidRPr="00531957" w:rsidRDefault="00531957" w:rsidP="00531957">
            <w:pPr>
              <w:jc w:val="right"/>
              <w:rPr>
                <w:rFonts w:ascii="Times New Roman" w:eastAsia="Times New Roman" w:hAnsi="Times New Roman"/>
                <w:sz w:val="20"/>
                <w:szCs w:val="20"/>
                <w:lang w:eastAsia="cs-CZ"/>
              </w:rPr>
            </w:pPr>
          </w:p>
        </w:tc>
      </w:tr>
      <w:tr w:rsidR="00531957" w:rsidRPr="00531957" w14:paraId="6349B20E" w14:textId="77777777" w:rsidTr="00531957">
        <w:trPr>
          <w:trHeight w:val="288"/>
        </w:trPr>
        <w:tc>
          <w:tcPr>
            <w:tcW w:w="2923" w:type="dxa"/>
            <w:gridSpan w:val="2"/>
            <w:tcBorders>
              <w:top w:val="nil"/>
              <w:left w:val="nil"/>
              <w:bottom w:val="nil"/>
              <w:right w:val="nil"/>
            </w:tcBorders>
            <w:noWrap/>
            <w:vAlign w:val="bottom"/>
            <w:hideMark/>
          </w:tcPr>
          <w:p w14:paraId="7A090388" w14:textId="77777777" w:rsidR="00531957" w:rsidRPr="00531957" w:rsidRDefault="00531957" w:rsidP="00531957">
            <w:pPr>
              <w:rPr>
                <w:rFonts w:eastAsia="Times New Roman" w:cs="Calibri"/>
                <w:b/>
                <w:bCs/>
                <w:sz w:val="20"/>
                <w:szCs w:val="20"/>
                <w:lang w:eastAsia="cs-CZ"/>
              </w:rPr>
            </w:pPr>
            <w:r w:rsidRPr="00531957">
              <w:rPr>
                <w:rFonts w:eastAsia="Times New Roman" w:cs="Calibri"/>
                <w:b/>
                <w:bCs/>
                <w:sz w:val="20"/>
                <w:szCs w:val="20"/>
                <w:lang w:eastAsia="cs-CZ"/>
              </w:rPr>
              <w:t>Celková cena pronájmu:</w:t>
            </w:r>
          </w:p>
        </w:tc>
        <w:tc>
          <w:tcPr>
            <w:tcW w:w="955" w:type="dxa"/>
            <w:tcBorders>
              <w:top w:val="nil"/>
              <w:left w:val="nil"/>
              <w:bottom w:val="nil"/>
              <w:right w:val="nil"/>
            </w:tcBorders>
            <w:noWrap/>
            <w:vAlign w:val="bottom"/>
            <w:hideMark/>
          </w:tcPr>
          <w:p w14:paraId="46D9723D" w14:textId="77777777" w:rsidR="00531957" w:rsidRPr="00531957" w:rsidRDefault="00531957" w:rsidP="00531957">
            <w:pPr>
              <w:rPr>
                <w:rFonts w:eastAsia="Times New Roman" w:cs="Calibri"/>
                <w:b/>
                <w:bCs/>
                <w:sz w:val="20"/>
                <w:szCs w:val="20"/>
                <w:lang w:eastAsia="cs-CZ"/>
              </w:rPr>
            </w:pPr>
          </w:p>
        </w:tc>
        <w:tc>
          <w:tcPr>
            <w:tcW w:w="955" w:type="dxa"/>
            <w:tcBorders>
              <w:top w:val="nil"/>
              <w:left w:val="nil"/>
              <w:bottom w:val="nil"/>
              <w:right w:val="nil"/>
            </w:tcBorders>
            <w:noWrap/>
            <w:vAlign w:val="bottom"/>
            <w:hideMark/>
          </w:tcPr>
          <w:p w14:paraId="1F00757D" w14:textId="77777777" w:rsidR="00531957" w:rsidRPr="00531957" w:rsidRDefault="00531957" w:rsidP="00531957">
            <w:pPr>
              <w:rPr>
                <w:rFonts w:ascii="Times New Roman" w:eastAsia="Times New Roman" w:hAnsi="Times New Roman"/>
                <w:sz w:val="20"/>
                <w:szCs w:val="20"/>
                <w:lang w:eastAsia="cs-CZ"/>
              </w:rPr>
            </w:pPr>
          </w:p>
        </w:tc>
        <w:tc>
          <w:tcPr>
            <w:tcW w:w="955" w:type="dxa"/>
            <w:tcBorders>
              <w:top w:val="nil"/>
              <w:left w:val="nil"/>
              <w:bottom w:val="nil"/>
              <w:right w:val="nil"/>
            </w:tcBorders>
            <w:noWrap/>
            <w:vAlign w:val="bottom"/>
            <w:hideMark/>
          </w:tcPr>
          <w:p w14:paraId="6FA80264" w14:textId="77777777" w:rsidR="00531957" w:rsidRPr="00531957" w:rsidRDefault="00531957" w:rsidP="00531957">
            <w:pPr>
              <w:rPr>
                <w:rFonts w:ascii="Times New Roman" w:eastAsia="Times New Roman" w:hAnsi="Times New Roman"/>
                <w:sz w:val="20"/>
                <w:szCs w:val="20"/>
                <w:lang w:eastAsia="cs-CZ"/>
              </w:rPr>
            </w:pPr>
          </w:p>
        </w:tc>
        <w:tc>
          <w:tcPr>
            <w:tcW w:w="1214" w:type="dxa"/>
            <w:tcBorders>
              <w:top w:val="nil"/>
              <w:left w:val="nil"/>
              <w:bottom w:val="nil"/>
              <w:right w:val="nil"/>
            </w:tcBorders>
            <w:noWrap/>
            <w:vAlign w:val="bottom"/>
            <w:hideMark/>
          </w:tcPr>
          <w:p w14:paraId="1B70A932" w14:textId="77777777" w:rsidR="00531957" w:rsidRPr="00531957" w:rsidRDefault="00531957" w:rsidP="00531957">
            <w:pPr>
              <w:rPr>
                <w:rFonts w:ascii="Times New Roman" w:eastAsia="Times New Roman" w:hAnsi="Times New Roman"/>
                <w:sz w:val="20"/>
                <w:szCs w:val="20"/>
                <w:lang w:eastAsia="cs-CZ"/>
              </w:rPr>
            </w:pPr>
          </w:p>
        </w:tc>
        <w:tc>
          <w:tcPr>
            <w:tcW w:w="1210" w:type="dxa"/>
            <w:tcBorders>
              <w:top w:val="nil"/>
              <w:left w:val="nil"/>
              <w:bottom w:val="nil"/>
              <w:right w:val="nil"/>
            </w:tcBorders>
            <w:noWrap/>
            <w:vAlign w:val="bottom"/>
            <w:hideMark/>
          </w:tcPr>
          <w:p w14:paraId="4C17A82C" w14:textId="77777777" w:rsidR="00531957" w:rsidRPr="00531957" w:rsidRDefault="00531957" w:rsidP="00531957">
            <w:pPr>
              <w:rPr>
                <w:rFonts w:ascii="Times New Roman" w:eastAsia="Times New Roman" w:hAnsi="Times New Roman"/>
                <w:sz w:val="20"/>
                <w:szCs w:val="20"/>
                <w:lang w:eastAsia="cs-CZ"/>
              </w:rPr>
            </w:pPr>
          </w:p>
        </w:tc>
        <w:tc>
          <w:tcPr>
            <w:tcW w:w="1194" w:type="dxa"/>
            <w:tcBorders>
              <w:top w:val="nil"/>
              <w:left w:val="nil"/>
              <w:bottom w:val="nil"/>
              <w:right w:val="nil"/>
            </w:tcBorders>
            <w:noWrap/>
            <w:vAlign w:val="bottom"/>
            <w:hideMark/>
          </w:tcPr>
          <w:p w14:paraId="429B84FD" w14:textId="77777777" w:rsidR="00531957" w:rsidRPr="00531957" w:rsidRDefault="00531957" w:rsidP="00531957">
            <w:pPr>
              <w:rPr>
                <w:rFonts w:ascii="Times New Roman" w:eastAsia="Times New Roman" w:hAnsi="Times New Roman"/>
                <w:sz w:val="20"/>
                <w:szCs w:val="20"/>
                <w:lang w:eastAsia="cs-CZ"/>
              </w:rPr>
            </w:pPr>
          </w:p>
        </w:tc>
      </w:tr>
      <w:tr w:rsidR="00531957" w:rsidRPr="00531957" w14:paraId="3E36594C" w14:textId="77777777" w:rsidTr="00531957">
        <w:trPr>
          <w:trHeight w:val="288"/>
        </w:trPr>
        <w:tc>
          <w:tcPr>
            <w:tcW w:w="2866" w:type="dxa"/>
            <w:tcBorders>
              <w:top w:val="nil"/>
              <w:left w:val="nil"/>
              <w:bottom w:val="nil"/>
              <w:right w:val="nil"/>
            </w:tcBorders>
            <w:noWrap/>
            <w:vAlign w:val="bottom"/>
            <w:hideMark/>
          </w:tcPr>
          <w:p w14:paraId="1D409C41" w14:textId="77777777" w:rsidR="00531957" w:rsidRPr="00531957" w:rsidRDefault="00531957" w:rsidP="00531957">
            <w:pPr>
              <w:rPr>
                <w:rFonts w:ascii="Times New Roman" w:eastAsia="Times New Roman" w:hAnsi="Times New Roman"/>
                <w:sz w:val="20"/>
                <w:szCs w:val="20"/>
                <w:lang w:eastAsia="cs-CZ"/>
              </w:rPr>
            </w:pPr>
          </w:p>
        </w:tc>
        <w:tc>
          <w:tcPr>
            <w:tcW w:w="57" w:type="dxa"/>
            <w:tcBorders>
              <w:top w:val="nil"/>
              <w:left w:val="nil"/>
              <w:bottom w:val="nil"/>
              <w:right w:val="nil"/>
            </w:tcBorders>
            <w:noWrap/>
            <w:vAlign w:val="bottom"/>
            <w:hideMark/>
          </w:tcPr>
          <w:p w14:paraId="52B722EF" w14:textId="77777777" w:rsidR="00531957" w:rsidRPr="00531957" w:rsidRDefault="00531957" w:rsidP="00531957">
            <w:pPr>
              <w:rPr>
                <w:rFonts w:ascii="Times New Roman" w:eastAsia="Times New Roman" w:hAnsi="Times New Roman"/>
                <w:sz w:val="20"/>
                <w:szCs w:val="20"/>
                <w:lang w:eastAsia="cs-CZ"/>
              </w:rPr>
            </w:pPr>
          </w:p>
        </w:tc>
        <w:tc>
          <w:tcPr>
            <w:tcW w:w="955" w:type="dxa"/>
            <w:tcBorders>
              <w:top w:val="nil"/>
              <w:left w:val="nil"/>
              <w:bottom w:val="nil"/>
              <w:right w:val="nil"/>
            </w:tcBorders>
            <w:noWrap/>
            <w:vAlign w:val="bottom"/>
            <w:hideMark/>
          </w:tcPr>
          <w:p w14:paraId="56C402F0" w14:textId="77777777" w:rsidR="00531957" w:rsidRPr="00531957" w:rsidRDefault="00531957" w:rsidP="00531957">
            <w:pPr>
              <w:rPr>
                <w:rFonts w:ascii="Times New Roman" w:eastAsia="Times New Roman" w:hAnsi="Times New Roman"/>
                <w:sz w:val="20"/>
                <w:szCs w:val="20"/>
                <w:lang w:eastAsia="cs-CZ"/>
              </w:rPr>
            </w:pPr>
          </w:p>
        </w:tc>
        <w:tc>
          <w:tcPr>
            <w:tcW w:w="955" w:type="dxa"/>
            <w:tcBorders>
              <w:top w:val="nil"/>
              <w:left w:val="nil"/>
              <w:bottom w:val="nil"/>
              <w:right w:val="nil"/>
            </w:tcBorders>
            <w:noWrap/>
            <w:vAlign w:val="bottom"/>
            <w:hideMark/>
          </w:tcPr>
          <w:p w14:paraId="38B1A268" w14:textId="77777777" w:rsidR="00531957" w:rsidRPr="00531957" w:rsidRDefault="00531957" w:rsidP="00531957">
            <w:pPr>
              <w:rPr>
                <w:rFonts w:ascii="Times New Roman" w:eastAsia="Times New Roman" w:hAnsi="Times New Roman"/>
                <w:sz w:val="20"/>
                <w:szCs w:val="20"/>
                <w:lang w:eastAsia="cs-CZ"/>
              </w:rPr>
            </w:pPr>
          </w:p>
        </w:tc>
        <w:tc>
          <w:tcPr>
            <w:tcW w:w="955" w:type="dxa"/>
            <w:tcBorders>
              <w:top w:val="nil"/>
              <w:left w:val="nil"/>
              <w:bottom w:val="nil"/>
              <w:right w:val="nil"/>
            </w:tcBorders>
            <w:noWrap/>
            <w:vAlign w:val="bottom"/>
            <w:hideMark/>
          </w:tcPr>
          <w:p w14:paraId="11B034DE" w14:textId="77777777" w:rsidR="00531957" w:rsidRPr="00531957" w:rsidRDefault="00531957" w:rsidP="00531957">
            <w:pPr>
              <w:rPr>
                <w:rFonts w:ascii="Times New Roman" w:eastAsia="Times New Roman" w:hAnsi="Times New Roman"/>
                <w:sz w:val="20"/>
                <w:szCs w:val="20"/>
                <w:lang w:eastAsia="cs-CZ"/>
              </w:rPr>
            </w:pPr>
          </w:p>
        </w:tc>
        <w:tc>
          <w:tcPr>
            <w:tcW w:w="1214" w:type="dxa"/>
            <w:tcBorders>
              <w:top w:val="nil"/>
              <w:left w:val="nil"/>
              <w:bottom w:val="nil"/>
              <w:right w:val="nil"/>
            </w:tcBorders>
            <w:noWrap/>
            <w:vAlign w:val="bottom"/>
            <w:hideMark/>
          </w:tcPr>
          <w:p w14:paraId="2FE8EE42" w14:textId="77777777" w:rsidR="00531957" w:rsidRPr="00531957" w:rsidRDefault="00531957" w:rsidP="00531957">
            <w:pPr>
              <w:rPr>
                <w:rFonts w:ascii="Times New Roman" w:eastAsia="Times New Roman" w:hAnsi="Times New Roman"/>
                <w:sz w:val="20"/>
                <w:szCs w:val="20"/>
                <w:lang w:eastAsia="cs-CZ"/>
              </w:rPr>
            </w:pPr>
          </w:p>
        </w:tc>
        <w:tc>
          <w:tcPr>
            <w:tcW w:w="1210" w:type="dxa"/>
            <w:tcBorders>
              <w:top w:val="nil"/>
              <w:left w:val="nil"/>
              <w:bottom w:val="nil"/>
              <w:right w:val="nil"/>
            </w:tcBorders>
            <w:noWrap/>
            <w:vAlign w:val="bottom"/>
            <w:hideMark/>
          </w:tcPr>
          <w:p w14:paraId="16092A01" w14:textId="77777777" w:rsidR="00531957" w:rsidRPr="00531957" w:rsidRDefault="00531957" w:rsidP="00531957">
            <w:pPr>
              <w:rPr>
                <w:rFonts w:eastAsia="Times New Roman" w:cs="Calibri"/>
                <w:sz w:val="20"/>
                <w:szCs w:val="20"/>
                <w:lang w:eastAsia="cs-CZ"/>
              </w:rPr>
            </w:pPr>
            <w:r w:rsidRPr="00531957">
              <w:rPr>
                <w:rFonts w:eastAsia="Times New Roman" w:cs="Calibri"/>
                <w:sz w:val="20"/>
                <w:szCs w:val="20"/>
                <w:lang w:eastAsia="cs-CZ"/>
              </w:rPr>
              <w:t>Cena bez DPH:</w:t>
            </w:r>
          </w:p>
        </w:tc>
        <w:tc>
          <w:tcPr>
            <w:tcW w:w="1194" w:type="dxa"/>
            <w:tcBorders>
              <w:top w:val="nil"/>
              <w:left w:val="nil"/>
              <w:bottom w:val="nil"/>
              <w:right w:val="nil"/>
            </w:tcBorders>
            <w:noWrap/>
            <w:vAlign w:val="bottom"/>
            <w:hideMark/>
          </w:tcPr>
          <w:p w14:paraId="789D1B89" w14:textId="77777777" w:rsidR="00531957" w:rsidRPr="00531957" w:rsidRDefault="00531957" w:rsidP="00531957">
            <w:pPr>
              <w:jc w:val="center"/>
              <w:rPr>
                <w:rFonts w:eastAsia="Times New Roman" w:cs="Calibri"/>
                <w:sz w:val="20"/>
                <w:szCs w:val="20"/>
                <w:lang w:eastAsia="cs-CZ"/>
              </w:rPr>
            </w:pPr>
            <w:r w:rsidRPr="00531957">
              <w:rPr>
                <w:rFonts w:eastAsia="Times New Roman" w:cs="Calibri"/>
                <w:sz w:val="20"/>
                <w:szCs w:val="20"/>
                <w:lang w:eastAsia="cs-CZ"/>
              </w:rPr>
              <w:t>75 015,00 Kč</w:t>
            </w:r>
          </w:p>
        </w:tc>
      </w:tr>
      <w:tr w:rsidR="00531957" w:rsidRPr="00531957" w14:paraId="43181276" w14:textId="77777777" w:rsidTr="00531957">
        <w:trPr>
          <w:trHeight w:val="288"/>
        </w:trPr>
        <w:tc>
          <w:tcPr>
            <w:tcW w:w="2866" w:type="dxa"/>
            <w:tcBorders>
              <w:top w:val="nil"/>
              <w:left w:val="nil"/>
              <w:bottom w:val="nil"/>
              <w:right w:val="nil"/>
            </w:tcBorders>
            <w:noWrap/>
            <w:vAlign w:val="bottom"/>
            <w:hideMark/>
          </w:tcPr>
          <w:p w14:paraId="460C7C45" w14:textId="77777777" w:rsidR="00531957" w:rsidRPr="00531957" w:rsidRDefault="00531957" w:rsidP="00531957">
            <w:pPr>
              <w:jc w:val="center"/>
              <w:rPr>
                <w:rFonts w:eastAsia="Times New Roman" w:cs="Calibri"/>
                <w:sz w:val="20"/>
                <w:szCs w:val="20"/>
                <w:lang w:eastAsia="cs-CZ"/>
              </w:rPr>
            </w:pPr>
          </w:p>
        </w:tc>
        <w:tc>
          <w:tcPr>
            <w:tcW w:w="57" w:type="dxa"/>
            <w:tcBorders>
              <w:top w:val="nil"/>
              <w:left w:val="nil"/>
              <w:bottom w:val="nil"/>
              <w:right w:val="nil"/>
            </w:tcBorders>
            <w:noWrap/>
            <w:vAlign w:val="bottom"/>
            <w:hideMark/>
          </w:tcPr>
          <w:p w14:paraId="68083DBA" w14:textId="77777777" w:rsidR="00531957" w:rsidRPr="00531957" w:rsidRDefault="00531957" w:rsidP="00531957">
            <w:pPr>
              <w:rPr>
                <w:rFonts w:ascii="Times New Roman" w:eastAsia="Times New Roman" w:hAnsi="Times New Roman"/>
                <w:sz w:val="20"/>
                <w:szCs w:val="20"/>
                <w:lang w:eastAsia="cs-CZ"/>
              </w:rPr>
            </w:pPr>
          </w:p>
        </w:tc>
        <w:tc>
          <w:tcPr>
            <w:tcW w:w="955" w:type="dxa"/>
            <w:tcBorders>
              <w:top w:val="nil"/>
              <w:left w:val="nil"/>
              <w:bottom w:val="nil"/>
              <w:right w:val="nil"/>
            </w:tcBorders>
            <w:noWrap/>
            <w:vAlign w:val="bottom"/>
            <w:hideMark/>
          </w:tcPr>
          <w:p w14:paraId="1F350088" w14:textId="77777777" w:rsidR="00531957" w:rsidRPr="00531957" w:rsidRDefault="00531957" w:rsidP="00531957">
            <w:pPr>
              <w:rPr>
                <w:rFonts w:ascii="Times New Roman" w:eastAsia="Times New Roman" w:hAnsi="Times New Roman"/>
                <w:sz w:val="20"/>
                <w:szCs w:val="20"/>
                <w:lang w:eastAsia="cs-CZ"/>
              </w:rPr>
            </w:pPr>
          </w:p>
        </w:tc>
        <w:tc>
          <w:tcPr>
            <w:tcW w:w="955" w:type="dxa"/>
            <w:tcBorders>
              <w:top w:val="nil"/>
              <w:left w:val="nil"/>
              <w:bottom w:val="nil"/>
              <w:right w:val="nil"/>
            </w:tcBorders>
            <w:noWrap/>
            <w:vAlign w:val="bottom"/>
            <w:hideMark/>
          </w:tcPr>
          <w:p w14:paraId="4F6233D4" w14:textId="77777777" w:rsidR="00531957" w:rsidRPr="00531957" w:rsidRDefault="00531957" w:rsidP="00531957">
            <w:pPr>
              <w:jc w:val="center"/>
              <w:rPr>
                <w:rFonts w:ascii="Times New Roman" w:eastAsia="Times New Roman" w:hAnsi="Times New Roman"/>
                <w:sz w:val="20"/>
                <w:szCs w:val="20"/>
                <w:lang w:eastAsia="cs-CZ"/>
              </w:rPr>
            </w:pPr>
          </w:p>
        </w:tc>
        <w:tc>
          <w:tcPr>
            <w:tcW w:w="955" w:type="dxa"/>
            <w:tcBorders>
              <w:top w:val="nil"/>
              <w:left w:val="nil"/>
              <w:bottom w:val="nil"/>
              <w:right w:val="nil"/>
            </w:tcBorders>
            <w:noWrap/>
            <w:vAlign w:val="bottom"/>
            <w:hideMark/>
          </w:tcPr>
          <w:p w14:paraId="056B1E5E" w14:textId="77777777" w:rsidR="00531957" w:rsidRPr="00531957" w:rsidRDefault="00531957" w:rsidP="00531957">
            <w:pPr>
              <w:jc w:val="center"/>
              <w:rPr>
                <w:rFonts w:ascii="Times New Roman" w:eastAsia="Times New Roman" w:hAnsi="Times New Roman"/>
                <w:sz w:val="20"/>
                <w:szCs w:val="20"/>
                <w:lang w:eastAsia="cs-CZ"/>
              </w:rPr>
            </w:pPr>
          </w:p>
        </w:tc>
        <w:tc>
          <w:tcPr>
            <w:tcW w:w="1214" w:type="dxa"/>
            <w:tcBorders>
              <w:top w:val="nil"/>
              <w:left w:val="nil"/>
              <w:bottom w:val="nil"/>
              <w:right w:val="nil"/>
            </w:tcBorders>
            <w:noWrap/>
            <w:vAlign w:val="bottom"/>
            <w:hideMark/>
          </w:tcPr>
          <w:p w14:paraId="7978A129" w14:textId="77777777" w:rsidR="00531957" w:rsidRPr="00531957" w:rsidRDefault="00531957" w:rsidP="00531957">
            <w:pPr>
              <w:rPr>
                <w:rFonts w:ascii="Times New Roman" w:eastAsia="Times New Roman" w:hAnsi="Times New Roman"/>
                <w:sz w:val="20"/>
                <w:szCs w:val="20"/>
                <w:lang w:eastAsia="cs-CZ"/>
              </w:rPr>
            </w:pPr>
          </w:p>
        </w:tc>
        <w:tc>
          <w:tcPr>
            <w:tcW w:w="1210" w:type="dxa"/>
            <w:tcBorders>
              <w:top w:val="nil"/>
              <w:left w:val="nil"/>
              <w:bottom w:val="nil"/>
              <w:right w:val="nil"/>
            </w:tcBorders>
            <w:noWrap/>
            <w:vAlign w:val="bottom"/>
            <w:hideMark/>
          </w:tcPr>
          <w:p w14:paraId="23CB97C2" w14:textId="77777777" w:rsidR="00531957" w:rsidRPr="00531957" w:rsidRDefault="00531957" w:rsidP="00531957">
            <w:pPr>
              <w:rPr>
                <w:rFonts w:eastAsia="Times New Roman" w:cs="Calibri"/>
                <w:sz w:val="20"/>
                <w:szCs w:val="20"/>
                <w:lang w:eastAsia="cs-CZ"/>
              </w:rPr>
            </w:pPr>
            <w:r w:rsidRPr="00531957">
              <w:rPr>
                <w:rFonts w:eastAsia="Times New Roman" w:cs="Calibri"/>
                <w:sz w:val="20"/>
                <w:szCs w:val="20"/>
                <w:lang w:eastAsia="cs-CZ"/>
              </w:rPr>
              <w:t>DPH 21%:</w:t>
            </w:r>
          </w:p>
        </w:tc>
        <w:tc>
          <w:tcPr>
            <w:tcW w:w="1194" w:type="dxa"/>
            <w:tcBorders>
              <w:top w:val="nil"/>
              <w:left w:val="nil"/>
              <w:bottom w:val="nil"/>
              <w:right w:val="nil"/>
            </w:tcBorders>
            <w:noWrap/>
            <w:vAlign w:val="bottom"/>
            <w:hideMark/>
          </w:tcPr>
          <w:p w14:paraId="5489BCAD" w14:textId="77777777" w:rsidR="00531957" w:rsidRPr="00531957" w:rsidRDefault="00531957" w:rsidP="00531957">
            <w:pPr>
              <w:jc w:val="center"/>
              <w:rPr>
                <w:rFonts w:eastAsia="Times New Roman" w:cs="Calibri"/>
                <w:sz w:val="20"/>
                <w:szCs w:val="20"/>
                <w:lang w:eastAsia="cs-CZ"/>
              </w:rPr>
            </w:pPr>
            <w:r w:rsidRPr="00531957">
              <w:rPr>
                <w:rFonts w:eastAsia="Times New Roman" w:cs="Calibri"/>
                <w:sz w:val="20"/>
                <w:szCs w:val="20"/>
                <w:lang w:eastAsia="cs-CZ"/>
              </w:rPr>
              <w:t>15 753,15 Kč</w:t>
            </w:r>
          </w:p>
        </w:tc>
      </w:tr>
      <w:tr w:rsidR="00531957" w:rsidRPr="00531957" w14:paraId="51F48F30" w14:textId="77777777" w:rsidTr="00531957">
        <w:trPr>
          <w:trHeight w:val="288"/>
        </w:trPr>
        <w:tc>
          <w:tcPr>
            <w:tcW w:w="2866" w:type="dxa"/>
            <w:tcBorders>
              <w:top w:val="nil"/>
              <w:left w:val="nil"/>
              <w:bottom w:val="nil"/>
              <w:right w:val="nil"/>
            </w:tcBorders>
            <w:noWrap/>
            <w:vAlign w:val="bottom"/>
            <w:hideMark/>
          </w:tcPr>
          <w:p w14:paraId="0D891C00" w14:textId="77777777" w:rsidR="00531957" w:rsidRPr="00531957" w:rsidRDefault="00531957" w:rsidP="00531957">
            <w:pPr>
              <w:jc w:val="center"/>
              <w:rPr>
                <w:rFonts w:eastAsia="Times New Roman" w:cs="Calibri"/>
                <w:sz w:val="20"/>
                <w:szCs w:val="20"/>
                <w:lang w:eastAsia="cs-CZ"/>
              </w:rPr>
            </w:pPr>
          </w:p>
        </w:tc>
        <w:tc>
          <w:tcPr>
            <w:tcW w:w="57" w:type="dxa"/>
            <w:tcBorders>
              <w:top w:val="nil"/>
              <w:left w:val="nil"/>
              <w:bottom w:val="nil"/>
              <w:right w:val="nil"/>
            </w:tcBorders>
            <w:noWrap/>
            <w:vAlign w:val="bottom"/>
            <w:hideMark/>
          </w:tcPr>
          <w:p w14:paraId="6003EB63" w14:textId="77777777" w:rsidR="00531957" w:rsidRPr="00531957" w:rsidRDefault="00531957" w:rsidP="00531957">
            <w:pPr>
              <w:rPr>
                <w:rFonts w:ascii="Times New Roman" w:eastAsia="Times New Roman" w:hAnsi="Times New Roman"/>
                <w:sz w:val="20"/>
                <w:szCs w:val="20"/>
                <w:lang w:eastAsia="cs-CZ"/>
              </w:rPr>
            </w:pPr>
          </w:p>
        </w:tc>
        <w:tc>
          <w:tcPr>
            <w:tcW w:w="955" w:type="dxa"/>
            <w:tcBorders>
              <w:top w:val="nil"/>
              <w:left w:val="nil"/>
              <w:bottom w:val="nil"/>
              <w:right w:val="nil"/>
            </w:tcBorders>
            <w:noWrap/>
            <w:vAlign w:val="bottom"/>
            <w:hideMark/>
          </w:tcPr>
          <w:p w14:paraId="116A286F" w14:textId="77777777" w:rsidR="00531957" w:rsidRPr="00531957" w:rsidRDefault="00531957" w:rsidP="00531957">
            <w:pPr>
              <w:rPr>
                <w:rFonts w:ascii="Times New Roman" w:eastAsia="Times New Roman" w:hAnsi="Times New Roman"/>
                <w:sz w:val="20"/>
                <w:szCs w:val="20"/>
                <w:lang w:eastAsia="cs-CZ"/>
              </w:rPr>
            </w:pPr>
          </w:p>
        </w:tc>
        <w:tc>
          <w:tcPr>
            <w:tcW w:w="955" w:type="dxa"/>
            <w:tcBorders>
              <w:top w:val="nil"/>
              <w:left w:val="nil"/>
              <w:bottom w:val="nil"/>
              <w:right w:val="nil"/>
            </w:tcBorders>
            <w:noWrap/>
            <w:vAlign w:val="bottom"/>
            <w:hideMark/>
          </w:tcPr>
          <w:p w14:paraId="309DDA48" w14:textId="77777777" w:rsidR="00531957" w:rsidRPr="00531957" w:rsidRDefault="00531957" w:rsidP="00531957">
            <w:pPr>
              <w:rPr>
                <w:rFonts w:ascii="Times New Roman" w:eastAsia="Times New Roman" w:hAnsi="Times New Roman"/>
                <w:sz w:val="20"/>
                <w:szCs w:val="20"/>
                <w:lang w:eastAsia="cs-CZ"/>
              </w:rPr>
            </w:pPr>
          </w:p>
        </w:tc>
        <w:tc>
          <w:tcPr>
            <w:tcW w:w="955" w:type="dxa"/>
            <w:tcBorders>
              <w:top w:val="nil"/>
              <w:left w:val="nil"/>
              <w:bottom w:val="nil"/>
              <w:right w:val="nil"/>
            </w:tcBorders>
            <w:noWrap/>
            <w:vAlign w:val="bottom"/>
            <w:hideMark/>
          </w:tcPr>
          <w:p w14:paraId="32CBB939" w14:textId="77777777" w:rsidR="00531957" w:rsidRPr="00531957" w:rsidRDefault="00531957" w:rsidP="00531957">
            <w:pPr>
              <w:rPr>
                <w:rFonts w:ascii="Times New Roman" w:eastAsia="Times New Roman" w:hAnsi="Times New Roman"/>
                <w:sz w:val="20"/>
                <w:szCs w:val="20"/>
                <w:lang w:eastAsia="cs-CZ"/>
              </w:rPr>
            </w:pPr>
          </w:p>
        </w:tc>
        <w:tc>
          <w:tcPr>
            <w:tcW w:w="1214" w:type="dxa"/>
            <w:tcBorders>
              <w:top w:val="nil"/>
              <w:left w:val="nil"/>
              <w:bottom w:val="nil"/>
              <w:right w:val="nil"/>
            </w:tcBorders>
            <w:noWrap/>
            <w:vAlign w:val="bottom"/>
            <w:hideMark/>
          </w:tcPr>
          <w:p w14:paraId="4C8D9AF8" w14:textId="77777777" w:rsidR="00531957" w:rsidRPr="00531957" w:rsidRDefault="00531957" w:rsidP="00531957">
            <w:pPr>
              <w:rPr>
                <w:rFonts w:ascii="Times New Roman" w:eastAsia="Times New Roman" w:hAnsi="Times New Roman"/>
                <w:sz w:val="20"/>
                <w:szCs w:val="20"/>
                <w:lang w:eastAsia="cs-CZ"/>
              </w:rPr>
            </w:pPr>
          </w:p>
        </w:tc>
        <w:tc>
          <w:tcPr>
            <w:tcW w:w="1210" w:type="dxa"/>
            <w:tcBorders>
              <w:top w:val="nil"/>
              <w:left w:val="nil"/>
              <w:bottom w:val="nil"/>
              <w:right w:val="nil"/>
            </w:tcBorders>
            <w:noWrap/>
            <w:vAlign w:val="bottom"/>
            <w:hideMark/>
          </w:tcPr>
          <w:p w14:paraId="6F7EFF12" w14:textId="77777777" w:rsidR="00531957" w:rsidRPr="00531957" w:rsidRDefault="00531957" w:rsidP="00531957">
            <w:pPr>
              <w:rPr>
                <w:rFonts w:eastAsia="Times New Roman" w:cs="Calibri"/>
                <w:b/>
                <w:bCs/>
                <w:sz w:val="20"/>
                <w:szCs w:val="20"/>
                <w:lang w:eastAsia="cs-CZ"/>
              </w:rPr>
            </w:pPr>
            <w:r w:rsidRPr="00531957">
              <w:rPr>
                <w:rFonts w:eastAsia="Times New Roman" w:cs="Calibri"/>
                <w:b/>
                <w:bCs/>
                <w:sz w:val="20"/>
                <w:szCs w:val="20"/>
                <w:lang w:eastAsia="cs-CZ"/>
              </w:rPr>
              <w:t>Cena celkem:</w:t>
            </w:r>
          </w:p>
        </w:tc>
        <w:tc>
          <w:tcPr>
            <w:tcW w:w="1194" w:type="dxa"/>
            <w:tcBorders>
              <w:top w:val="nil"/>
              <w:left w:val="nil"/>
              <w:bottom w:val="nil"/>
              <w:right w:val="nil"/>
            </w:tcBorders>
            <w:shd w:val="clear" w:color="000000" w:fill="C0C0C0"/>
            <w:noWrap/>
            <w:vAlign w:val="bottom"/>
            <w:hideMark/>
          </w:tcPr>
          <w:p w14:paraId="760C53B7" w14:textId="77777777" w:rsidR="00531957" w:rsidRPr="00531957" w:rsidRDefault="00531957" w:rsidP="00531957">
            <w:pPr>
              <w:jc w:val="center"/>
              <w:rPr>
                <w:rFonts w:eastAsia="Times New Roman" w:cs="Calibri"/>
                <w:b/>
                <w:bCs/>
                <w:sz w:val="20"/>
                <w:szCs w:val="20"/>
                <w:lang w:eastAsia="cs-CZ"/>
              </w:rPr>
            </w:pPr>
            <w:r w:rsidRPr="00531957">
              <w:rPr>
                <w:rFonts w:eastAsia="Times New Roman" w:cs="Calibri"/>
                <w:b/>
                <w:bCs/>
                <w:sz w:val="20"/>
                <w:szCs w:val="20"/>
                <w:lang w:eastAsia="cs-CZ"/>
              </w:rPr>
              <w:t>90 768 Kč</w:t>
            </w:r>
          </w:p>
        </w:tc>
      </w:tr>
    </w:tbl>
    <w:p w14:paraId="433E2EEC" w14:textId="77777777" w:rsidR="00D17C7D" w:rsidRDefault="00D17C7D"/>
    <w:sectPr w:rsidR="00D17C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2983"/>
    <w:multiLevelType w:val="hybridMultilevel"/>
    <w:tmpl w:val="87949962"/>
    <w:lvl w:ilvl="0" w:tplc="91DADADA">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 w15:restartNumberingAfterBreak="0">
    <w:nsid w:val="100712A5"/>
    <w:multiLevelType w:val="hybridMultilevel"/>
    <w:tmpl w:val="ED0C9AEC"/>
    <w:lvl w:ilvl="0" w:tplc="91DADADA">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2" w15:restartNumberingAfterBreak="0">
    <w:nsid w:val="127417C4"/>
    <w:multiLevelType w:val="multilevel"/>
    <w:tmpl w:val="CE3C762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25B575C"/>
    <w:multiLevelType w:val="hybridMultilevel"/>
    <w:tmpl w:val="57EEDD42"/>
    <w:lvl w:ilvl="0" w:tplc="91DADADA">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16cid:durableId="1723366941">
    <w:abstractNumId w:val="1"/>
  </w:num>
  <w:num w:numId="2" w16cid:durableId="1888297535">
    <w:abstractNumId w:val="3"/>
  </w:num>
  <w:num w:numId="3" w16cid:durableId="338043488">
    <w:abstractNumId w:val="0"/>
  </w:num>
  <w:num w:numId="4" w16cid:durableId="1989937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757"/>
    <w:rsid w:val="00037273"/>
    <w:rsid w:val="000A0692"/>
    <w:rsid w:val="0026230A"/>
    <w:rsid w:val="003F3366"/>
    <w:rsid w:val="00531957"/>
    <w:rsid w:val="006E7D74"/>
    <w:rsid w:val="008E2261"/>
    <w:rsid w:val="009C7223"/>
    <w:rsid w:val="00A82235"/>
    <w:rsid w:val="00A937D9"/>
    <w:rsid w:val="00C01757"/>
    <w:rsid w:val="00D17C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446A"/>
  <w15:chartTrackingRefBased/>
  <w15:docId w15:val="{1D46400F-3629-4F7F-8703-E2897C66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1757"/>
    <w:pPr>
      <w:spacing w:after="0" w:line="240" w:lineRule="auto"/>
    </w:pPr>
    <w:rPr>
      <w:rFonts w:ascii="Calibri" w:eastAsia="Calibri" w:hAnsi="Calibri" w:cs="Times New Roman"/>
      <w:kern w:val="0"/>
      <w:sz w:val="24"/>
      <w:szCs w:val="24"/>
      <w14:ligatures w14:val="none"/>
    </w:rPr>
  </w:style>
  <w:style w:type="paragraph" w:styleId="Nadpis1">
    <w:name w:val="heading 1"/>
    <w:basedOn w:val="Normln"/>
    <w:next w:val="Normln"/>
    <w:link w:val="Nadpis1Char"/>
    <w:uiPriority w:val="9"/>
    <w:qFormat/>
    <w:rsid w:val="00C017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C017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C0175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C0175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C01757"/>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C0175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0175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0175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0175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0175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C0175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C01757"/>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C01757"/>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C01757"/>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C0175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0175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0175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01757"/>
    <w:rPr>
      <w:rFonts w:eastAsiaTheme="majorEastAsia" w:cstheme="majorBidi"/>
      <w:color w:val="272727" w:themeColor="text1" w:themeTint="D8"/>
    </w:rPr>
  </w:style>
  <w:style w:type="paragraph" w:styleId="Nzev">
    <w:name w:val="Title"/>
    <w:basedOn w:val="Normln"/>
    <w:next w:val="Normln"/>
    <w:link w:val="NzevChar"/>
    <w:uiPriority w:val="10"/>
    <w:qFormat/>
    <w:rsid w:val="00C0175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0175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0175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0175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01757"/>
    <w:pPr>
      <w:spacing w:before="160"/>
      <w:jc w:val="center"/>
    </w:pPr>
    <w:rPr>
      <w:i/>
      <w:iCs/>
      <w:color w:val="404040" w:themeColor="text1" w:themeTint="BF"/>
    </w:rPr>
  </w:style>
  <w:style w:type="character" w:customStyle="1" w:styleId="CittChar">
    <w:name w:val="Citát Char"/>
    <w:basedOn w:val="Standardnpsmoodstavce"/>
    <w:link w:val="Citt"/>
    <w:uiPriority w:val="29"/>
    <w:rsid w:val="00C01757"/>
    <w:rPr>
      <w:i/>
      <w:iCs/>
      <w:color w:val="404040" w:themeColor="text1" w:themeTint="BF"/>
    </w:rPr>
  </w:style>
  <w:style w:type="paragraph" w:styleId="Odstavecseseznamem">
    <w:name w:val="List Paragraph"/>
    <w:basedOn w:val="Normln"/>
    <w:uiPriority w:val="34"/>
    <w:qFormat/>
    <w:rsid w:val="00C01757"/>
    <w:pPr>
      <w:ind w:left="720"/>
      <w:contextualSpacing/>
    </w:pPr>
  </w:style>
  <w:style w:type="character" w:styleId="Zdraznnintenzivn">
    <w:name w:val="Intense Emphasis"/>
    <w:basedOn w:val="Standardnpsmoodstavce"/>
    <w:uiPriority w:val="21"/>
    <w:qFormat/>
    <w:rsid w:val="00C01757"/>
    <w:rPr>
      <w:i/>
      <w:iCs/>
      <w:color w:val="2F5496" w:themeColor="accent1" w:themeShade="BF"/>
    </w:rPr>
  </w:style>
  <w:style w:type="paragraph" w:styleId="Vrazncitt">
    <w:name w:val="Intense Quote"/>
    <w:basedOn w:val="Normln"/>
    <w:next w:val="Normln"/>
    <w:link w:val="VrazncittChar"/>
    <w:uiPriority w:val="30"/>
    <w:qFormat/>
    <w:rsid w:val="00C017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C01757"/>
    <w:rPr>
      <w:i/>
      <w:iCs/>
      <w:color w:val="2F5496" w:themeColor="accent1" w:themeShade="BF"/>
    </w:rPr>
  </w:style>
  <w:style w:type="character" w:styleId="Odkazintenzivn">
    <w:name w:val="Intense Reference"/>
    <w:basedOn w:val="Standardnpsmoodstavce"/>
    <w:uiPriority w:val="32"/>
    <w:qFormat/>
    <w:rsid w:val="00C01757"/>
    <w:rPr>
      <w:b/>
      <w:bCs/>
      <w:smallCaps/>
      <w:color w:val="2F5496" w:themeColor="accent1" w:themeShade="BF"/>
      <w:spacing w:val="5"/>
    </w:rPr>
  </w:style>
  <w:style w:type="paragraph" w:styleId="Normlnweb">
    <w:name w:val="Normal (Web)"/>
    <w:basedOn w:val="Normln"/>
    <w:uiPriority w:val="99"/>
    <w:unhideWhenUsed/>
    <w:rsid w:val="00C01757"/>
    <w:pPr>
      <w:spacing w:before="100" w:beforeAutospacing="1" w:after="100" w:afterAutospacing="1"/>
    </w:pPr>
    <w:rPr>
      <w:rFonts w:ascii="Times New Roman" w:eastAsia="Times New Roman" w:hAnsi="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1url.cz/XJXbP"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2101</Words>
  <Characters>12396</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Pecková Kultura Žďár</dc:creator>
  <cp:keywords/>
  <dc:description/>
  <cp:lastModifiedBy>Hana Klementová</cp:lastModifiedBy>
  <cp:revision>5</cp:revision>
  <dcterms:created xsi:type="dcterms:W3CDTF">2026-01-07T14:54:00Z</dcterms:created>
  <dcterms:modified xsi:type="dcterms:W3CDTF">2026-01-07T15:08:00Z</dcterms:modified>
</cp:coreProperties>
</file>