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Dodatek č. 1 ke</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SMLOUVĚ O DÍLO</w:t>
      </w:r>
    </w:p>
    <w:p>
      <w:pPr>
        <w:pStyle w:val="Style8"/>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799/2024</w:t>
      </w:r>
      <w:bookmarkEnd w:id="3"/>
      <w:bookmarkEnd w:id="4"/>
      <w:bookmarkEnd w:id="5"/>
    </w:p>
    <w:p>
      <w:pPr>
        <w:pStyle w:val="Style8"/>
        <w:keepNext/>
        <w:keepLines/>
        <w:widowControl w:val="0"/>
        <w:shd w:val="clear" w:color="auto" w:fill="auto"/>
        <w:bidi w:val="0"/>
        <w:spacing w:before="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 2424690029</w:t>
      </w:r>
      <w:bookmarkEnd w:id="6"/>
      <w:bookmarkEnd w:id="7"/>
      <w:bookmarkEnd w:id="8"/>
    </w:p>
    <w:p>
      <w:pPr>
        <w:pStyle w:val="Style1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“ČS Stranná - rozvodna 110 kV, transformátory T 101 a T 102”</w:t>
      </w:r>
    </w:p>
    <w:p>
      <w:pPr>
        <w:pStyle w:val="Style8"/>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tbl>
      <w:tblPr>
        <w:tblOverlap w:val="never"/>
        <w:jc w:val="left"/>
        <w:tblLayout w:type="fixed"/>
      </w:tblPr>
      <w:tblGrid>
        <w:gridCol w:w="2837"/>
        <w:gridCol w:w="3509"/>
      </w:tblGrid>
      <w:tr>
        <w:trPr>
          <w:trHeight w:val="869"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c>
      </w:tr>
    </w:tbl>
    <w:p>
      <w:pPr>
        <w:pStyle w:val="Style14"/>
        <w:keepNext w:val="0"/>
        <w:keepLines w:val="0"/>
        <w:widowControl w:val="0"/>
        <w:shd w:val="clear" w:color="auto" w:fill="auto"/>
        <w:bidi w:val="0"/>
        <w:spacing w:before="0" w:after="0" w:line="240" w:lineRule="auto"/>
        <w:ind w:left="0" w:right="0" w:firstLine="0"/>
        <w:jc w:val="left"/>
      </w:pPr>
      <w:bookmarkStart w:id="12" w:name="bookmark12"/>
      <w:r>
        <w:rPr>
          <w:color w:val="000000"/>
          <w:spacing w:val="0"/>
          <w:w w:val="100"/>
          <w:position w:val="0"/>
          <w:shd w:val="clear" w:color="auto" w:fill="auto"/>
          <w:lang w:val="cs-CZ" w:eastAsia="cs-CZ" w:bidi="cs-CZ"/>
        </w:rPr>
        <w:t>oprávněn k podpisu smlouvy a k jednání o věcech smluvních: oprávněn jednat o věcech technických:</w:t>
      </w:r>
      <w:bookmarkEnd w:id="12"/>
    </w:p>
    <w:p>
      <w:pPr>
        <w:widowControl w:val="0"/>
        <w:spacing w:after="179" w:line="1" w:lineRule="exact"/>
      </w:pPr>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tabs>
          <w:tab w:pos="2811" w:val="left"/>
        </w:tabs>
        <w:bidi w:val="0"/>
        <w:spacing w:before="0" w:after="0" w:line="254" w:lineRule="auto"/>
        <w:ind w:left="0" w:right="0" w:firstLine="0"/>
        <w:jc w:val="left"/>
      </w:pPr>
      <w:r>
        <w:rPr>
          <w:color w:val="000000"/>
          <w:spacing w:val="0"/>
          <w:w w:val="100"/>
          <w:position w:val="0"/>
          <w:shd w:val="clear" w:color="auto" w:fill="auto"/>
          <w:lang w:val="cs-CZ" w:eastAsia="cs-CZ" w:bidi="cs-CZ"/>
        </w:rPr>
        <w:t>IČO:</w:t>
        <w:tab/>
        <w:t>70889988</w:t>
      </w:r>
    </w:p>
    <w:p>
      <w:pPr>
        <w:pStyle w:val="Style10"/>
        <w:keepNext w:val="0"/>
        <w:keepLines w:val="0"/>
        <w:widowControl w:val="0"/>
        <w:shd w:val="clear" w:color="auto" w:fill="auto"/>
        <w:tabs>
          <w:tab w:pos="2811" w:val="left"/>
        </w:tabs>
        <w:bidi w:val="0"/>
        <w:spacing w:before="0" w:after="0" w:line="254" w:lineRule="auto"/>
        <w:ind w:left="0" w:right="0" w:firstLine="0"/>
        <w:jc w:val="left"/>
      </w:pPr>
      <w:r>
        <w:rPr>
          <w:color w:val="000000"/>
          <w:spacing w:val="0"/>
          <w:w w:val="100"/>
          <w:position w:val="0"/>
          <w:shd w:val="clear" w:color="auto" w:fill="auto"/>
          <w:lang w:val="cs-CZ" w:eastAsia="cs-CZ" w:bidi="cs-CZ"/>
        </w:rPr>
        <w:t>DIČ:</w:t>
        <w:tab/>
        <w:t>CZ70889988</w:t>
      </w:r>
    </w:p>
    <w:p>
      <w:pPr>
        <w:pStyle w:val="Style10"/>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180" w:line="254"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keepLines/>
        <w:widowControl w:val="0"/>
        <w:shd w:val="clear" w:color="auto" w:fill="auto"/>
        <w:bidi w:val="0"/>
        <w:spacing w:before="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(dále jen „objednatel“)</w:t>
      </w:r>
      <w:bookmarkEnd w:id="13"/>
      <w:bookmarkEnd w:id="14"/>
      <w:bookmarkEnd w:id="15"/>
    </w:p>
    <w:p>
      <w:pPr>
        <w:pStyle w:val="Style8"/>
        <w:keepNext/>
        <w:keepLines/>
        <w:widowControl w:val="0"/>
        <w:shd w:val="clear" w:color="auto" w:fill="auto"/>
        <w:bidi w:val="0"/>
        <w:spacing w:before="0" w:line="240" w:lineRule="auto"/>
        <w:ind w:left="0" w:right="0" w:firstLine="0"/>
        <w:jc w:val="left"/>
      </w:pPr>
      <w:bookmarkStart w:id="16" w:name="bookmark16"/>
      <w:bookmarkStart w:id="17" w:name="bookmark17"/>
      <w:bookmarkStart w:id="18" w:name="bookmark18"/>
      <w:r>
        <w:rPr>
          <w:b/>
          <w:bCs/>
          <w:color w:val="000000"/>
          <w:spacing w:val="0"/>
          <w:w w:val="100"/>
          <w:position w:val="0"/>
          <w:shd w:val="clear" w:color="auto" w:fill="auto"/>
          <w:lang w:val="cs-CZ" w:eastAsia="cs-CZ" w:bidi="cs-CZ"/>
        </w:rPr>
        <w:t>a</w:t>
      </w:r>
      <w:bookmarkEnd w:id="16"/>
      <w:bookmarkEnd w:id="17"/>
      <w:bookmarkEnd w:id="18"/>
    </w:p>
    <w:p>
      <w:pPr>
        <w:pStyle w:val="Style10"/>
        <w:keepNext w:val="0"/>
        <w:keepLines w:val="0"/>
        <w:widowControl w:val="0"/>
        <w:shd w:val="clear" w:color="auto" w:fill="auto"/>
        <w:tabs>
          <w:tab w:pos="2811" w:val="left"/>
        </w:tabs>
        <w:bidi w:val="0"/>
        <w:spacing w:before="0" w:after="0" w:line="240" w:lineRule="auto"/>
        <w:ind w:left="0" w:right="0" w:firstLine="0"/>
        <w:jc w:val="left"/>
        <w:rPr>
          <w:sz w:val="24"/>
          <w:szCs w:val="24"/>
        </w:rPr>
      </w:pPr>
      <w:r>
        <w:rPr>
          <w:b/>
          <w:bCs/>
          <w:color w:val="000000"/>
          <w:spacing w:val="0"/>
          <w:w w:val="100"/>
          <w:position w:val="0"/>
          <w:sz w:val="22"/>
          <w:szCs w:val="22"/>
          <w:shd w:val="clear" w:color="auto" w:fill="auto"/>
          <w:lang w:val="cs-CZ" w:eastAsia="cs-CZ" w:bidi="cs-CZ"/>
        </w:rPr>
        <w:t>zhotovitel:</w:t>
        <w:tab/>
      </w:r>
      <w:r>
        <w:rPr>
          <w:b/>
          <w:bCs/>
          <w:color w:val="000000"/>
          <w:spacing w:val="0"/>
          <w:w w:val="100"/>
          <w:position w:val="0"/>
          <w:sz w:val="24"/>
          <w:szCs w:val="24"/>
          <w:shd w:val="clear" w:color="auto" w:fill="auto"/>
          <w:lang w:val="cs-CZ" w:eastAsia="cs-CZ" w:bidi="cs-CZ"/>
        </w:rPr>
        <w:t>Energovod CZ, a.s.</w:t>
      </w:r>
    </w:p>
    <w:p>
      <w:pPr>
        <w:pStyle w:val="Style10"/>
        <w:keepNext w:val="0"/>
        <w:keepLines w:val="0"/>
        <w:widowControl w:val="0"/>
        <w:shd w:val="clear" w:color="auto" w:fill="auto"/>
        <w:tabs>
          <w:tab w:pos="2811"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Novodvorská 1010/14, Lhotka, 142 00 Praha 4</w:t>
      </w:r>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stavbyvedoucí: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stavby:</w:t>
      </w:r>
    </w:p>
    <w:p>
      <w:pPr>
        <w:pStyle w:val="Style10"/>
        <w:keepNext w:val="0"/>
        <w:keepLines w:val="0"/>
        <w:widowControl w:val="0"/>
        <w:shd w:val="clear" w:color="auto" w:fill="auto"/>
        <w:tabs>
          <w:tab w:pos="2811"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04155637</w:t>
      </w:r>
    </w:p>
    <w:p>
      <w:pPr>
        <w:pStyle w:val="Style10"/>
        <w:keepNext w:val="0"/>
        <w:keepLines w:val="0"/>
        <w:widowControl w:val="0"/>
        <w:shd w:val="clear" w:color="auto" w:fill="auto"/>
        <w:tabs>
          <w:tab w:pos="2811"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CZ04155637</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vedeném Krajským soudem v (Městským soudem v Praze), oddíl B, vložka 20697</w:t>
      </w:r>
    </w:p>
    <w:p>
      <w:pPr>
        <w:pStyle w:val="Style8"/>
        <w:keepNext/>
        <w:keepLines/>
        <w:widowControl w:val="0"/>
        <w:shd w:val="clear" w:color="auto" w:fill="auto"/>
        <w:tabs>
          <w:tab w:pos="2811" w:val="left"/>
        </w:tabs>
        <w:bidi w:val="0"/>
        <w:spacing w:before="0" w:line="24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tel.:</w:t>
        <w:tab/>
        <w:t>e-mail:</w:t>
      </w:r>
      <w:bookmarkEnd w:id="19"/>
      <w:bookmarkEnd w:id="20"/>
      <w:bookmarkEnd w:id="21"/>
    </w:p>
    <w:p>
      <w:pPr>
        <w:pStyle w:val="Style8"/>
        <w:keepNext/>
        <w:keepLines/>
        <w:widowControl w:val="0"/>
        <w:shd w:val="clear" w:color="auto" w:fill="auto"/>
        <w:bidi w:val="0"/>
        <w:spacing w:before="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(dále jen „zhotovitel“)</w:t>
      </w:r>
      <w:bookmarkEnd w:id="22"/>
      <w:bookmarkEnd w:id="23"/>
      <w:bookmarkEnd w:id="24"/>
    </w:p>
    <w:p>
      <w:pPr>
        <w:pStyle w:val="Style10"/>
        <w:keepNext w:val="0"/>
        <w:keepLines w:val="0"/>
        <w:widowControl w:val="0"/>
        <w:shd w:val="clear" w:color="auto" w:fill="auto"/>
        <w:bidi w:val="0"/>
        <w:spacing w:before="0" w:after="560" w:line="259"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díla, přičemž jejich zajištění je podmínkou pro řádné dokončení díla, se smluvní strany dohodly ve smyslu příslušných smluvních ustanovení na uzavření tohoto dodatku.</w:t>
      </w:r>
    </w:p>
    <w:p>
      <w:pPr>
        <w:pStyle w:val="Style10"/>
        <w:keepNext w:val="0"/>
        <w:keepLines w:val="0"/>
        <w:widowControl w:val="0"/>
        <w:shd w:val="clear" w:color="auto" w:fill="auto"/>
        <w:bidi w:val="0"/>
        <w:spacing w:before="0" w:after="0" w:line="425" w:lineRule="auto"/>
        <w:ind w:left="0" w:right="0" w:firstLine="0"/>
        <w:jc w:val="both"/>
      </w:pPr>
      <w:r>
        <w:rPr>
          <w:b/>
          <w:bCs/>
          <w:color w:val="000000"/>
          <w:spacing w:val="0"/>
          <w:w w:val="100"/>
          <w:position w:val="0"/>
          <w:shd w:val="clear" w:color="auto" w:fill="auto"/>
          <w:lang w:val="cs-CZ" w:eastAsia="cs-CZ" w:bidi="cs-CZ"/>
        </w:rPr>
        <w:t>Jedná se o</w:t>
      </w:r>
    </w:p>
    <w:p>
      <w:pPr>
        <w:pStyle w:val="Style10"/>
        <w:keepNext w:val="0"/>
        <w:keepLines w:val="0"/>
        <w:widowControl w:val="0"/>
        <w:numPr>
          <w:ilvl w:val="0"/>
          <w:numId w:val="1"/>
        </w:numPr>
        <w:shd w:val="clear" w:color="auto" w:fill="auto"/>
        <w:tabs>
          <w:tab w:pos="397" w:val="left"/>
        </w:tabs>
        <w:bidi w:val="0"/>
        <w:spacing w:before="0" w:after="0" w:line="425" w:lineRule="auto"/>
        <w:ind w:left="0" w:right="0" w:firstLine="0"/>
        <w:jc w:val="both"/>
      </w:pPr>
      <w:bookmarkStart w:id="25" w:name="bookmark25"/>
      <w:bookmarkEnd w:id="25"/>
      <w:r>
        <w:rPr>
          <w:b/>
          <w:bCs/>
          <w:color w:val="000000"/>
          <w:spacing w:val="0"/>
          <w:w w:val="100"/>
          <w:position w:val="0"/>
          <w:shd w:val="clear" w:color="auto" w:fill="auto"/>
          <w:lang w:val="cs-CZ" w:eastAsia="cs-CZ" w:bidi="cs-CZ"/>
        </w:rPr>
        <w:t>změnu oprávněných zástupců objednatele</w:t>
      </w:r>
    </w:p>
    <w:p>
      <w:pPr>
        <w:pStyle w:val="Style10"/>
        <w:keepNext w:val="0"/>
        <w:keepLines w:val="0"/>
        <w:widowControl w:val="0"/>
        <w:numPr>
          <w:ilvl w:val="0"/>
          <w:numId w:val="1"/>
        </w:numPr>
        <w:shd w:val="clear" w:color="auto" w:fill="auto"/>
        <w:tabs>
          <w:tab w:pos="406" w:val="left"/>
        </w:tabs>
        <w:bidi w:val="0"/>
        <w:spacing w:before="0" w:after="380" w:line="425" w:lineRule="auto"/>
        <w:ind w:left="0" w:right="0" w:firstLine="0"/>
        <w:jc w:val="both"/>
      </w:pPr>
      <w:bookmarkStart w:id="26" w:name="bookmark26"/>
      <w:bookmarkEnd w:id="26"/>
      <w:r>
        <w:rPr>
          <w:b/>
          <w:bCs/>
          <w:color w:val="000000"/>
          <w:spacing w:val="0"/>
          <w:w w:val="100"/>
          <w:position w:val="0"/>
          <w:shd w:val="clear" w:color="auto" w:fill="auto"/>
          <w:lang w:val="cs-CZ" w:eastAsia="cs-CZ" w:bidi="cs-CZ"/>
        </w:rPr>
        <w:t xml:space="preserve">změnu dílčího termínu </w:t>
      </w:r>
      <w:r>
        <w:rPr>
          <w:color w:val="000000"/>
          <w:spacing w:val="0"/>
          <w:w w:val="100"/>
          <w:position w:val="0"/>
          <w:shd w:val="clear" w:color="auto" w:fill="auto"/>
          <w:lang w:val="cs-CZ" w:eastAsia="cs-CZ" w:bidi="cs-CZ"/>
        </w:rPr>
        <w:t>z důvodu projednávání a realizace změn předmětu plnění díla. Změny byly řádně projednány a odsouhlaseny oprávněnými zástupci smluvních stran.</w:t>
      </w:r>
    </w:p>
    <w:p>
      <w:pPr>
        <w:pStyle w:val="Style10"/>
        <w:keepNext w:val="0"/>
        <w:keepLines w:val="0"/>
        <w:widowControl w:val="0"/>
        <w:shd w:val="clear" w:color="auto" w:fill="auto"/>
        <w:bidi w:val="0"/>
        <w:spacing w:before="0" w:after="0" w:line="410" w:lineRule="auto"/>
        <w:ind w:left="0" w:right="0" w:firstLine="0"/>
        <w:jc w:val="both"/>
      </w:pPr>
      <w:r>
        <w:rPr>
          <w:b/>
          <w:bCs/>
          <w:color w:val="000000"/>
          <w:spacing w:val="0"/>
          <w:w w:val="100"/>
          <w:position w:val="0"/>
          <w:shd w:val="clear" w:color="auto" w:fill="auto"/>
          <w:lang w:val="cs-CZ" w:eastAsia="cs-CZ" w:bidi="cs-CZ"/>
        </w:rPr>
        <w:t>Mění se:</w:t>
      </w:r>
    </w:p>
    <w:p>
      <w:pPr>
        <w:pStyle w:val="Style10"/>
        <w:keepNext w:val="0"/>
        <w:keepLines w:val="0"/>
        <w:widowControl w:val="0"/>
        <w:shd w:val="clear" w:color="auto" w:fill="auto"/>
        <w:bidi w:val="0"/>
        <w:spacing w:before="0" w:after="0" w:line="410" w:lineRule="auto"/>
        <w:ind w:left="0" w:right="0" w:firstLine="0"/>
        <w:jc w:val="both"/>
      </w:pPr>
      <w:r>
        <w:rPr>
          <w:b/>
          <w:bCs/>
          <w:color w:val="000000"/>
          <w:spacing w:val="0"/>
          <w:w w:val="100"/>
          <w:position w:val="0"/>
          <w:shd w:val="clear" w:color="auto" w:fill="auto"/>
          <w:lang w:val="cs-CZ" w:eastAsia="cs-CZ" w:bidi="cs-CZ"/>
        </w:rPr>
        <w:t xml:space="preserve">a) oprávnění zástupci objednatele </w:t>
      </w:r>
      <w:r>
        <w:rPr>
          <w:color w:val="000000"/>
          <w:spacing w:val="0"/>
          <w:w w:val="100"/>
          <w:position w:val="0"/>
          <w:shd w:val="clear" w:color="auto" w:fill="auto"/>
          <w:lang w:val="cs-CZ" w:eastAsia="cs-CZ" w:bidi="cs-CZ"/>
        </w:rPr>
        <w:t>původní znění:</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oprávněn k podpisu smlouvy a k jednání o věcech smluvních: oprávněn jednat o věcech technických:</w:t>
      </w:r>
    </w:p>
    <w:p>
      <w:pPr>
        <w:pStyle w:val="Style10"/>
        <w:keepNext w:val="0"/>
        <w:keepLines w:val="0"/>
        <w:widowControl w:val="0"/>
        <w:shd w:val="clear" w:color="auto" w:fill="auto"/>
        <w:bidi w:val="0"/>
        <w:spacing w:before="0" w:after="0" w:line="324" w:lineRule="auto"/>
        <w:ind w:left="0" w:right="0" w:firstLine="0"/>
        <w:jc w:val="both"/>
      </w:pPr>
      <w:r>
        <w:rPr>
          <w:color w:val="000000"/>
          <w:spacing w:val="0"/>
          <w:w w:val="100"/>
          <w:position w:val="0"/>
          <w:shd w:val="clear" w:color="auto" w:fill="auto"/>
          <w:lang w:val="cs-CZ" w:eastAsia="cs-CZ" w:bidi="cs-CZ"/>
        </w:rPr>
        <w:t xml:space="preserve">technický dozor objednatele: </w:t>
      </w:r>
      <w:r>
        <w:rPr>
          <w:b/>
          <w:bCs/>
          <w:color w:val="000000"/>
          <w:spacing w:val="0"/>
          <w:w w:val="100"/>
          <w:position w:val="0"/>
          <w:shd w:val="clear" w:color="auto" w:fill="auto"/>
          <w:lang w:val="cs-CZ" w:eastAsia="cs-CZ" w:bidi="cs-CZ"/>
        </w:rPr>
        <w:t>nové znění:</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oprávněn k podpisu smlouvy a k jednání o věcech smluvních: oprávněn jednat o věcech technických:</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technický dozor objednatele: </w:t>
      </w:r>
      <w:r>
        <w:rPr>
          <w:b/>
          <w:bCs/>
          <w:color w:val="000000"/>
          <w:spacing w:val="0"/>
          <w:w w:val="100"/>
          <w:position w:val="0"/>
          <w:shd w:val="clear" w:color="auto" w:fill="auto"/>
          <w:lang w:val="cs-CZ" w:eastAsia="cs-CZ" w:bidi="cs-CZ"/>
        </w:rPr>
        <w:t>b) čl. II. Lhůty a podmínky realizace díla, bod 1. písmeno d)</w:t>
      </w:r>
    </w:p>
    <w:p>
      <w:pPr>
        <w:pStyle w:val="Style10"/>
        <w:keepNext w:val="0"/>
        <w:keepLines w:val="0"/>
        <w:widowControl w:val="0"/>
        <w:shd w:val="clear" w:color="auto" w:fill="auto"/>
        <w:bidi w:val="0"/>
        <w:spacing w:before="0" w:line="259" w:lineRule="auto"/>
        <w:ind w:left="0" w:right="0" w:firstLine="0"/>
        <w:jc w:val="both"/>
      </w:pPr>
      <w:r>
        <w:rPr>
          <w:b/>
          <w:bCs/>
          <w:color w:val="000000"/>
          <w:spacing w:val="0"/>
          <w:w w:val="100"/>
          <w:position w:val="0"/>
          <w:shd w:val="clear" w:color="auto" w:fill="auto"/>
          <w:lang w:val="cs-CZ" w:eastAsia="cs-CZ" w:bidi="cs-CZ"/>
        </w:rPr>
        <w:t>původní znění:</w:t>
      </w:r>
    </w:p>
    <w:p>
      <w:pPr>
        <w:pStyle w:val="Style10"/>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cs-CZ" w:eastAsia="cs-CZ" w:bidi="cs-CZ"/>
        </w:rPr>
        <w:t xml:space="preserve">dokončení prací na transformátoru T101 a uvedení transformátoru T 101 do trvalého provozu, po předchozím kladně vyhodnoceném 14-ti denním zkušebním provozu: </w:t>
      </w:r>
      <w:r>
        <w:rPr>
          <w:b/>
          <w:bCs/>
          <w:color w:val="000000"/>
          <w:spacing w:val="0"/>
          <w:w w:val="100"/>
          <w:position w:val="0"/>
          <w:shd w:val="clear" w:color="auto" w:fill="auto"/>
          <w:lang w:val="cs-CZ" w:eastAsia="cs-CZ" w:bidi="cs-CZ"/>
        </w:rPr>
        <w:t xml:space="preserve">Nejpozději do 3 měsíců </w:t>
      </w:r>
      <w:r>
        <w:rPr>
          <w:color w:val="000000"/>
          <w:spacing w:val="0"/>
          <w:w w:val="100"/>
          <w:position w:val="0"/>
          <w:shd w:val="clear" w:color="auto" w:fill="auto"/>
          <w:lang w:val="cs-CZ" w:eastAsia="cs-CZ" w:bidi="cs-CZ"/>
        </w:rPr>
        <w:t>od potvrzeného dodání prvního transformátoru T 101.</w:t>
      </w:r>
    </w:p>
    <w:p>
      <w:pPr>
        <w:pStyle w:val="Style10"/>
        <w:keepNext w:val="0"/>
        <w:keepLines w:val="0"/>
        <w:widowControl w:val="0"/>
        <w:shd w:val="clear" w:color="auto" w:fill="auto"/>
        <w:bidi w:val="0"/>
        <w:spacing w:before="0" w:after="300" w:line="259" w:lineRule="auto"/>
        <w:ind w:left="0" w:right="0" w:firstLine="0"/>
        <w:jc w:val="both"/>
      </w:pPr>
      <w:r>
        <w:rPr>
          <w:color w:val="000000"/>
          <w:spacing w:val="0"/>
          <w:w w:val="100"/>
          <w:position w:val="0"/>
          <w:shd w:val="clear" w:color="auto" w:fill="auto"/>
          <w:lang w:val="cs-CZ" w:eastAsia="cs-CZ" w:bidi="cs-CZ"/>
        </w:rPr>
        <w:t>Po dokončení realizace výměny transformátoru T 101 bude pro prokázání provozní způsobilosti nově osazeného transformátoru T 101 zajištěn min. 14-ti denní zkušební provoz, který bude následně vyhodnocen. Po vyhodnocení úspěšného zkušebního provozu transformátoru T 101 a potvrzeném garantovaném dodání druhého transformátoru T 102 na staveniště ČS Stranná, budou následně zahájeny práce na výměně druhého transformátoru T 102.</w:t>
      </w:r>
      <w:r>
        <w:br w:type="page"/>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10"/>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cs-CZ" w:eastAsia="cs-CZ" w:bidi="cs-CZ"/>
        </w:rPr>
        <w:t xml:space="preserve">dokončení prací na transformátoru T101 a uvedení transformátoru T 101 do trvalého provozu, po předchozím kladně vyhodnoceném 14-ti denním zkušebním provozu: </w:t>
      </w:r>
      <w:r>
        <w:rPr>
          <w:b/>
          <w:bCs/>
          <w:color w:val="000000"/>
          <w:spacing w:val="0"/>
          <w:w w:val="100"/>
          <w:position w:val="0"/>
          <w:shd w:val="clear" w:color="auto" w:fill="auto"/>
          <w:lang w:val="cs-CZ" w:eastAsia="cs-CZ" w:bidi="cs-CZ"/>
        </w:rPr>
        <w:t xml:space="preserve">Nejpozději do 5 měsíců </w:t>
      </w:r>
      <w:r>
        <w:rPr>
          <w:color w:val="000000"/>
          <w:spacing w:val="0"/>
          <w:w w:val="100"/>
          <w:position w:val="0"/>
          <w:shd w:val="clear" w:color="auto" w:fill="auto"/>
          <w:lang w:val="cs-CZ" w:eastAsia="cs-CZ" w:bidi="cs-CZ"/>
        </w:rPr>
        <w:t>od potvrzeného dodání prvního transformátoru T 101.</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Po dokončení realizace výměny transformátoru T 101 bude pro prokázání provozní způsobilosti nově osazeného transformátoru T 101 zajištěn min. 14-ti denní zkušební provoz, který bude následně vyhodnocen. Po vyhodnocení úspěšného zkušebního provozu transformátoru T 101 a potvrzeném garantovaném dodání druhého transformátoru T 102 na staveniště ČS Stranná, budou následně zahájeny práce na výměně druhého transformátoru T 102.</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10"/>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1031" w:left="1396" w:right="1382" w:bottom="2326" w:header="603" w:footer="3" w:gutter="0"/>
          <w:pgNumType w:start="1"/>
          <w:cols w:space="720"/>
          <w:noEndnote/>
          <w:rtlGutter w:val="0"/>
          <w:docGrid w:linePitch="360"/>
        </w:sectPr>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widowControl w:val="0"/>
        <w:spacing w:line="177" w:lineRule="exact"/>
        <w:rPr>
          <w:sz w:val="14"/>
          <w:szCs w:val="14"/>
        </w:rPr>
      </w:pPr>
    </w:p>
    <w:p>
      <w:pPr>
        <w:widowControl w:val="0"/>
        <w:spacing w:line="1" w:lineRule="exact"/>
        <w:sectPr>
          <w:footnotePr>
            <w:pos w:val="pageBottom"/>
            <w:numFmt w:val="decimal"/>
            <w:numRestart w:val="continuous"/>
          </w:footnotePr>
          <w:type w:val="continuous"/>
          <w:pgSz w:w="11909" w:h="16838"/>
          <w:pgMar w:top="653" w:left="0" w:right="0" w:bottom="5032" w:header="0" w:footer="3" w:gutter="0"/>
          <w:cols w:space="720"/>
          <w:noEndnote/>
          <w:rtlGutter w:val="0"/>
          <w:docGrid w:linePitch="360"/>
        </w:sectPr>
      </w:pPr>
    </w:p>
    <w:p>
      <w:pPr>
        <w:pStyle w:val="Style10"/>
        <w:keepNext w:val="0"/>
        <w:keepLines w:val="0"/>
        <w:widowControl w:val="0"/>
        <w:shd w:val="clear" w:color="auto" w:fill="auto"/>
        <w:bidi w:val="0"/>
        <w:spacing w:before="0" w:after="0" w:line="415"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Praze</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653" w:left="1396" w:right="2418" w:bottom="5032" w:header="0" w:footer="3" w:gutter="0"/>
          <w:cols w:num="2" w:space="1715"/>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3" w:left="0" w:right="0" w:bottom="5032"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předseda představenstva</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653" w:left="1396" w:right="3028" w:bottom="5032" w:header="0" w:footer="3" w:gutter="0"/>
          <w:cols w:num="2" w:space="2255"/>
          <w:noEndnote/>
          <w:rtlGutter w:val="0"/>
          <w:docGrid w:linePitch="360"/>
        </w:sectPr>
      </w:pPr>
      <w:r>
        <w:rPr>
          <w:color w:val="000000"/>
          <w:spacing w:val="0"/>
          <w:w w:val="100"/>
          <w:position w:val="0"/>
          <w:shd w:val="clear" w:color="auto" w:fill="auto"/>
          <w:lang w:val="cs-CZ" w:eastAsia="cs-CZ" w:bidi="cs-CZ"/>
        </w:rPr>
        <w:t>Energovod CZ, a.s.</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3" w:left="0" w:right="0" w:bottom="99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886460</wp:posOffset>
                </wp:positionH>
                <wp:positionV relativeFrom="paragraph">
                  <wp:posOffset>12700</wp:posOffset>
                </wp:positionV>
                <wp:extent cx="1207135" cy="228600"/>
                <wp:wrapSquare wrapText="bothSides"/>
                <wp:docPr id="3" name="Shape 3"/>
                <a:graphic xmlns:a="http://schemas.openxmlformats.org/drawingml/2006/main">
                  <a:graphicData uri="http://schemas.microsoft.com/office/word/2010/wordprocessingShape">
                    <wps:wsp>
                      <wps:cNvSpPr txBox="1"/>
                      <wps:spPr>
                        <a:xfrm>
                          <a:ext cx="1207135" cy="2286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len představenstva</w:t>
                            </w:r>
                          </w:p>
                        </w:txbxContent>
                      </wps:txbx>
                      <wps:bodyPr wrap="none" lIns="0" tIns="0" rIns="0" bIns="0">
                        <a:noAutoFit/>
                      </wps:bodyPr>
                    </wps:wsp>
                  </a:graphicData>
                </a:graphic>
              </wp:anchor>
            </w:drawing>
          </mc:Choice>
          <mc:Fallback>
            <w:pict>
              <v:shape id="_x0000_s1029" type="#_x0000_t202" style="position:absolute;margin-left:69.799999999999997pt;margin-top:1.pt;width:95.049999999999997pt;height:18.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len představenstva</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Energovod CZ, a.s.</w:t>
      </w:r>
    </w:p>
    <w:sectPr>
      <w:footnotePr>
        <w:pos w:val="pageBottom"/>
        <w:numFmt w:val="decimal"/>
        <w:numRestart w:val="continuous"/>
      </w:footnotePr>
      <w:type w:val="continuous"/>
      <w:pgSz w:w="11909" w:h="16838"/>
      <w:pgMar w:top="653" w:left="3297" w:right="1382" w:bottom="99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5854700</wp:posOffset>
              </wp:positionH>
              <wp:positionV relativeFrom="page">
                <wp:posOffset>10301605</wp:posOffset>
              </wp:positionV>
              <wp:extent cx="810895" cy="189230"/>
              <wp:wrapNone/>
              <wp:docPr id="1" name="Shape 1"/>
              <a:graphic xmlns:a="http://schemas.openxmlformats.org/drawingml/2006/main">
                <a:graphicData uri="http://schemas.microsoft.com/office/word/2010/wordprocessingShape">
                  <wps:wsp>
                    <wps:cNvSpPr txBox="1"/>
                    <wps:spPr>
                      <a:xfrm>
                        <a:ext cx="810895"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1.pt;margin-top:811.14999999999998pt;width:63.850000000000001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9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