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Dodatek č. 1 ke</w:t>
      </w:r>
    </w:p>
    <w:p>
      <w:pPr>
        <w:pStyle w:val="Style4"/>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SMLOUVĚ O DÍLO</w:t>
      </w:r>
    </w:p>
    <w:p>
      <w:pPr>
        <w:pStyle w:val="Style10"/>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0"/>
      <w:bookmarkEnd w:id="1"/>
      <w:bookmarkEnd w:id="2"/>
    </w:p>
    <w:p>
      <w:pPr>
        <w:pStyle w:val="Style10"/>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466/2025</w:t>
      </w:r>
      <w:bookmarkEnd w:id="3"/>
      <w:bookmarkEnd w:id="4"/>
      <w:bookmarkEnd w:id="5"/>
    </w:p>
    <w:p>
      <w:pPr>
        <w:pStyle w:val="Style10"/>
        <w:keepNext/>
        <w:keepLines/>
        <w:widowControl w:val="0"/>
        <w:shd w:val="clear" w:color="auto" w:fill="auto"/>
        <w:bidi w:val="0"/>
        <w:spacing w:before="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 09041721</w:t>
      </w:r>
      <w:bookmarkEnd w:id="6"/>
      <w:bookmarkEnd w:id="7"/>
      <w:bookmarkEnd w:id="8"/>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4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Horka - vodovod k DH 1 a DH 2 (přípojky DH1, DH2, MVE)</w:t>
      </w:r>
    </w:p>
    <w:p>
      <w:pPr>
        <w:pStyle w:val="Style10"/>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pStyle w:val="Style10"/>
        <w:keepNext/>
        <w:keepLines/>
        <w:widowControl w:val="0"/>
        <w:shd w:val="clear" w:color="auto" w:fill="auto"/>
        <w:tabs>
          <w:tab w:pos="2800" w:val="left"/>
        </w:tabs>
        <w:bidi w:val="0"/>
        <w:spacing w:before="0" w:after="0" w:line="240" w:lineRule="auto"/>
        <w:ind w:left="0" w:right="0" w:firstLine="0"/>
        <w:jc w:val="left"/>
      </w:pPr>
      <w:bookmarkStart w:id="10" w:name="bookmark10"/>
      <w:bookmarkStart w:id="9" w:name="bookmark9"/>
      <w:r>
        <w:rPr>
          <w:b/>
          <w:bCs/>
          <w:color w:val="000000"/>
          <w:spacing w:val="0"/>
          <w:w w:val="100"/>
          <w:position w:val="0"/>
          <w:shd w:val="clear" w:color="auto" w:fill="auto"/>
          <w:lang w:val="cs-CZ" w:eastAsia="cs-CZ" w:bidi="cs-CZ"/>
        </w:rPr>
        <w:t>objednatel:</w:t>
        <w:tab/>
        <w:t>Povodí Ohře, státní podnik</w:t>
      </w:r>
      <w:bookmarkEnd w:id="10"/>
      <w:bookmarkEnd w:id="9"/>
    </w:p>
    <w:p>
      <w:pPr>
        <w:pStyle w:val="Style2"/>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0"/>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oprávněn k podpisu smlouvy</w:t>
      </w:r>
      <w:bookmarkEnd w:id="12"/>
      <w:bookmarkEnd w:id="13"/>
      <w:bookmarkEnd w:id="14"/>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2"/>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10"/>
        <w:keepNext/>
        <w:keepLines/>
        <w:widowControl w:val="0"/>
        <w:shd w:val="clear" w:color="auto" w:fill="auto"/>
        <w:bidi w:val="0"/>
        <w:spacing w:before="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(dále jen „objednatel“)</w:t>
      </w:r>
      <w:bookmarkEnd w:id="15"/>
      <w:bookmarkEnd w:id="16"/>
      <w:bookmarkEnd w:id="17"/>
    </w:p>
    <w:p>
      <w:pPr>
        <w:pStyle w:val="Style10"/>
        <w:keepNext/>
        <w:keepLines/>
        <w:widowControl w:val="0"/>
        <w:shd w:val="clear" w:color="auto" w:fill="auto"/>
        <w:bidi w:val="0"/>
        <w:spacing w:before="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a</w:t>
      </w:r>
      <w:bookmarkEnd w:id="18"/>
      <w:bookmarkEnd w:id="19"/>
      <w:bookmarkEnd w:id="20"/>
    </w:p>
    <w:p>
      <w:pPr>
        <w:pStyle w:val="Style10"/>
        <w:keepNext/>
        <w:keepLines/>
        <w:widowControl w:val="0"/>
        <w:shd w:val="clear" w:color="auto" w:fill="auto"/>
        <w:tabs>
          <w:tab w:pos="2800" w:val="left"/>
        </w:tabs>
        <w:bidi w:val="0"/>
        <w:spacing w:before="0" w:after="0" w:line="240" w:lineRule="auto"/>
        <w:ind w:left="0" w:right="0" w:firstLine="0"/>
        <w:jc w:val="left"/>
      </w:pPr>
      <w:bookmarkStart w:id="18" w:name="bookmark18"/>
      <w:bookmarkStart w:id="19" w:name="bookmark19"/>
      <w:r>
        <w:rPr>
          <w:b/>
          <w:bCs/>
          <w:color w:val="000000"/>
          <w:spacing w:val="0"/>
          <w:w w:val="100"/>
          <w:position w:val="0"/>
          <w:shd w:val="clear" w:color="auto" w:fill="auto"/>
          <w:lang w:val="cs-CZ" w:eastAsia="cs-CZ" w:bidi="cs-CZ"/>
        </w:rPr>
        <w:t>zhotovitel:</w:t>
        <w:tab/>
        <w:t>Vodohospodářské stavby, společnost s ručením</w:t>
      </w:r>
      <w:bookmarkEnd w:id="18"/>
      <w:bookmarkEnd w:id="19"/>
    </w:p>
    <w:p>
      <w:pPr>
        <w:pStyle w:val="Style10"/>
        <w:keepNext/>
        <w:keepLines/>
        <w:widowControl w:val="0"/>
        <w:shd w:val="clear" w:color="auto" w:fill="auto"/>
        <w:bidi w:val="0"/>
        <w:spacing w:before="0" w:after="0" w:line="240" w:lineRule="auto"/>
        <w:ind w:left="0" w:right="0" w:firstLine="0"/>
        <w:jc w:val="left"/>
      </w:pPr>
      <w:bookmarkStart w:id="18" w:name="bookmark18"/>
      <w:bookmarkStart w:id="19" w:name="bookmark19"/>
      <w:r>
        <w:rPr>
          <w:b/>
          <w:bCs/>
          <w:color w:val="000000"/>
          <w:spacing w:val="0"/>
          <w:w w:val="100"/>
          <w:position w:val="0"/>
          <w:shd w:val="clear" w:color="auto" w:fill="auto"/>
          <w:lang w:val="cs-CZ" w:eastAsia="cs-CZ" w:bidi="cs-CZ"/>
        </w:rPr>
        <w:t>omezeným</w:t>
      </w:r>
      <w:bookmarkEnd w:id="18"/>
      <w:bookmarkEnd w:id="19"/>
    </w:p>
    <w:p>
      <w:pPr>
        <w:pStyle w:val="Style2"/>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Křižíkova 2393, 415 01 Teplice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stavbyvedoucí:</w:t>
      </w:r>
    </w:p>
    <w:p>
      <w:pPr>
        <w:pStyle w:val="Style2"/>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40233308</w:t>
      </w:r>
    </w:p>
    <w:p>
      <w:pPr>
        <w:pStyle w:val="Style2"/>
        <w:keepNext w:val="0"/>
        <w:keepLines w:val="0"/>
        <w:widowControl w:val="0"/>
        <w:shd w:val="clear" w:color="auto" w:fill="auto"/>
        <w:tabs>
          <w:tab w:pos="280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CZ40233308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line="240" w:lineRule="auto"/>
        <w:ind w:left="0" w:right="0" w:firstLine="0"/>
        <w:jc w:val="left"/>
      </w:pPr>
      <w:bookmarkStart w:id="21" w:name="bookmark21"/>
      <w:r>
        <w:rPr>
          <w:color w:val="000000"/>
          <w:spacing w:val="0"/>
          <w:w w:val="100"/>
          <w:position w:val="0"/>
          <w:shd w:val="clear" w:color="auto" w:fill="auto"/>
          <w:lang w:val="cs-CZ" w:eastAsia="cs-CZ" w:bidi="cs-CZ"/>
        </w:rPr>
        <w:t>zápis v obchodním rejstříku: u Krajského soudu v Ústí nad Labem v oddílu C, vložce č. 1578 (dále jen „zhotovitel“)</w:t>
      </w:r>
      <w:bookmarkEnd w:id="21"/>
      <w:r>
        <w:br w:type="page"/>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prodloužení termínu předání a převzetí díla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Realizace části předmětu díla je časově i technicky závislá na průběhu provádění prací na stavbě cizího investora – Vodohospodářského sdružení měst a obcí Sokolovska, s. r. o. pod názvem „Úpravna vody Horka – rekonstrukce přivaděče surové vody“. V rámci rekonstrukce přivaděče je řešena částečná revize projektového řešení uložení nového nerezového potrubí DN600 včetně statického posouzení. V případě změny typu materiálu a směrového i výškového uložení potrubí přivaděče bude nezbytné zrevidovat technické řešení připojení přívodního potrubí pro MVE (akce č. 502 484). Do doby definitivního schválení technického řešení uložení přivaděče surové vody nelze realizovat přívodní potrubí pro MVE.</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Změna byla řádně projednána a odsouhlasena zástupci smluvních stran.</w:t>
      </w:r>
    </w:p>
    <w:p>
      <w:pPr>
        <w:pStyle w:val="Style2"/>
        <w:keepNext w:val="0"/>
        <w:keepLines w:val="0"/>
        <w:widowControl w:val="0"/>
        <w:shd w:val="clear" w:color="auto" w:fill="auto"/>
        <w:tabs>
          <w:tab w:pos="2875" w:val="left"/>
        </w:tabs>
        <w:bidi w:val="0"/>
        <w:spacing w:before="0" w:after="440" w:line="240" w:lineRule="auto"/>
        <w:ind w:left="440" w:right="0" w:hanging="440"/>
        <w:jc w:val="left"/>
      </w:pPr>
      <w:bookmarkStart w:id="22" w:name="bookmark22"/>
      <w:r>
        <w:rPr>
          <w:b/>
          <w:bCs/>
          <w:color w:val="000000"/>
          <w:spacing w:val="0"/>
          <w:w w:val="100"/>
          <w:position w:val="0"/>
          <w:shd w:val="clear" w:color="auto" w:fill="auto"/>
          <w:lang w:val="cs-CZ" w:eastAsia="cs-CZ" w:bidi="cs-CZ"/>
        </w:rPr>
        <w:t xml:space="preserve">Mění se Čl. II. Termín plnění, odst. 1. písm. c) předání a převzetí díla: </w:t>
      </w:r>
      <w:r>
        <w:rPr>
          <w:color w:val="000000"/>
          <w:spacing w:val="0"/>
          <w:w w:val="100"/>
          <w:position w:val="0"/>
          <w:shd w:val="clear" w:color="auto" w:fill="auto"/>
          <w:lang w:val="cs-CZ" w:eastAsia="cs-CZ" w:bidi="cs-CZ"/>
        </w:rPr>
        <w:t xml:space="preserve">původní znění: Nejpozději do 01.12.2025 </w:t>
      </w:r>
      <w:r>
        <w:rPr>
          <w:b/>
          <w:bCs/>
          <w:color w:val="000000"/>
          <w:spacing w:val="0"/>
          <w:w w:val="100"/>
          <w:position w:val="0"/>
          <w:shd w:val="clear" w:color="auto" w:fill="auto"/>
          <w:lang w:val="cs-CZ" w:eastAsia="cs-CZ" w:bidi="cs-CZ"/>
        </w:rPr>
        <w:t>nové znění:</w:t>
        <w:tab/>
        <w:t>Nejpozději do 31.07.2026</w:t>
      </w:r>
      <w:bookmarkEnd w:id="22"/>
    </w:p>
    <w:p>
      <w:pPr>
        <w:pStyle w:val="Style2"/>
        <w:keepNext w:val="0"/>
        <w:keepLines w:val="0"/>
        <w:widowControl w:val="0"/>
        <w:shd w:val="clear" w:color="auto" w:fill="auto"/>
        <w:bidi w:val="0"/>
        <w:spacing w:before="0" w:after="200" w:line="240" w:lineRule="auto"/>
        <w:ind w:left="0" w:right="0" w:firstLine="0"/>
        <w:jc w:val="both"/>
      </w:pPr>
      <w:bookmarkStart w:id="23" w:name="bookmark23"/>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bookmarkEnd w:id="23"/>
    </w:p>
    <w:p>
      <w:pPr>
        <w:pStyle w:val="Style10"/>
        <w:keepNext/>
        <w:keepLines/>
        <w:widowControl w:val="0"/>
        <w:shd w:val="clear" w:color="auto" w:fill="auto"/>
        <w:bidi w:val="0"/>
        <w:spacing w:before="0" w:after="200" w:line="240" w:lineRule="auto"/>
        <w:ind w:left="0" w:right="0" w:firstLine="0"/>
        <w:jc w:val="both"/>
      </w:pPr>
      <w:bookmarkStart w:id="24" w:name="bookmark24"/>
      <w:bookmarkStart w:id="25" w:name="bookmark25"/>
      <w:bookmarkStart w:id="26" w:name="bookmark26"/>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bookmarkEnd w:id="24"/>
      <w:bookmarkEnd w:id="25"/>
      <w:bookmarkEnd w:id="26"/>
    </w:p>
    <w:p>
      <w:pPr>
        <w:pStyle w:val="Style10"/>
        <w:keepNext/>
        <w:keepLines/>
        <w:widowControl w:val="0"/>
        <w:shd w:val="clear" w:color="auto" w:fill="auto"/>
        <w:bidi w:val="0"/>
        <w:spacing w:before="0" w:after="200" w:line="240" w:lineRule="auto"/>
        <w:ind w:left="0" w:right="0" w:firstLine="0"/>
        <w:jc w:val="both"/>
      </w:pPr>
      <w:bookmarkStart w:id="27" w:name="bookmark27"/>
      <w:bookmarkStart w:id="28" w:name="bookmark28"/>
      <w:bookmarkStart w:id="29" w:name="bookmark29"/>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w:t>
      </w:r>
      <w:bookmarkEnd w:id="27"/>
      <w:bookmarkEnd w:id="28"/>
      <w:bookmarkEnd w:id="29"/>
    </w:p>
    <w:p>
      <w:pPr>
        <w:pStyle w:val="Style10"/>
        <w:keepNext/>
        <w:keepLines/>
        <w:widowControl w:val="0"/>
        <w:shd w:val="clear" w:color="auto" w:fill="auto"/>
        <w:bidi w:val="0"/>
        <w:spacing w:before="0" w:after="1960" w:line="240" w:lineRule="auto"/>
        <w:ind w:left="0" w:right="0" w:firstLine="0"/>
        <w:jc w:val="both"/>
      </w:pPr>
      <w:bookmarkStart w:id="30" w:name="bookmark30"/>
      <w:bookmarkStart w:id="31" w:name="bookmark31"/>
      <w:bookmarkStart w:id="32" w:name="bookmark32"/>
      <w:r>
        <w:rPr>
          <w:color w:val="000000"/>
          <w:spacing w:val="0"/>
          <w:w w:val="100"/>
          <w:position w:val="0"/>
          <w:shd w:val="clear" w:color="auto" w:fill="auto"/>
          <w:lang w:val="cs-CZ" w:eastAsia="cs-CZ" w:bidi="cs-CZ"/>
        </w:rPr>
        <w:t>Plnění předmětu tohoto dodatku smlouvy před účinností tohoto dodatku smlouvy se považuje za plnění podle tohoto dodatku smlouvy a práva a povinnosti z něj vzniklé se řídí tímto dodatkem smlouvy.</w:t>
      </w:r>
      <w:bookmarkEnd w:id="30"/>
      <w:bookmarkEnd w:id="31"/>
      <w:bookmarkEnd w:id="32"/>
    </w:p>
    <w:p>
      <w:pPr>
        <w:pStyle w:val="Style2"/>
        <w:keepNext w:val="0"/>
        <w:keepLines w:val="0"/>
        <w:widowControl w:val="0"/>
        <w:shd w:val="clear" w:color="auto" w:fill="auto"/>
        <w:bidi w:val="0"/>
        <w:spacing w:before="0" w:after="0" w:line="252" w:lineRule="auto"/>
        <w:ind w:left="2220" w:right="0" w:firstLine="0"/>
        <w:jc w:val="both"/>
      </w:pPr>
      <w:r>
        <mc:AlternateContent>
          <mc:Choice Requires="wps">
            <w:drawing>
              <wp:anchor distT="0" distB="0" distL="114300" distR="114300" simplePos="0" relativeHeight="125829378" behindDoc="0" locked="0" layoutInCell="1" allowOverlap="1">
                <wp:simplePos x="0" y="0"/>
                <wp:positionH relativeFrom="page">
                  <wp:posOffset>886460</wp:posOffset>
                </wp:positionH>
                <wp:positionV relativeFrom="paragraph">
                  <wp:posOffset>12700</wp:posOffset>
                </wp:positionV>
                <wp:extent cx="1688465" cy="892810"/>
                <wp:wrapSquare wrapText="bothSides"/>
                <wp:docPr id="1" name="Shape 1"/>
                <a:graphic xmlns:a="http://schemas.openxmlformats.org/drawingml/2006/main">
                  <a:graphicData uri="http://schemas.microsoft.com/office/word/2010/wordprocessingShape">
                    <wps:wsp>
                      <wps:cNvSpPr txBox="1"/>
                      <wps:spPr>
                        <a:xfrm>
                          <a:ext cx="1688465" cy="8928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506"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99999999999997pt;margin-top:1.pt;width:132.94999999999999pt;height:70.299999999999997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506"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v:textbox>
                <w10:wrap type="square" anchorx="page"/>
              </v:shape>
            </w:pict>
          </mc:Fallback>
        </mc:AlternateContent>
      </w: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200" w:line="252" w:lineRule="auto"/>
        <w:ind w:left="2220" w:right="0" w:firstLine="0"/>
        <w:jc w:val="left"/>
        <w:rPr>
          <w:sz w:val="24"/>
          <w:szCs w:val="24"/>
        </w:rPr>
      </w:pPr>
      <w:r>
        <w:rPr>
          <w:color w:val="000000"/>
          <w:spacing w:val="0"/>
          <w:w w:val="100"/>
          <w:position w:val="0"/>
          <w:sz w:val="22"/>
          <w:szCs w:val="22"/>
          <w:shd w:val="clear" w:color="auto" w:fill="auto"/>
          <w:lang w:val="cs-CZ" w:eastAsia="cs-CZ" w:bidi="cs-CZ"/>
        </w:rPr>
        <w:t>Vodohospodářské stavby, společnost s ručením omezeným elektronicky podepsa</w:t>
      </w:r>
      <w:r>
        <w:rPr>
          <w:color w:val="000000"/>
          <w:spacing w:val="0"/>
          <w:w w:val="100"/>
          <w:position w:val="0"/>
          <w:sz w:val="24"/>
          <w:szCs w:val="24"/>
          <w:shd w:val="clear" w:color="auto" w:fill="auto"/>
          <w:lang w:val="cs-CZ" w:eastAsia="cs-CZ" w:bidi="cs-CZ"/>
        </w:rPr>
        <w:t>l</w:t>
      </w:r>
    </w:p>
    <w:sectPr>
      <w:footerReference w:type="default" r:id="rId5"/>
      <w:footnotePr>
        <w:pos w:val="pageBottom"/>
        <w:numFmt w:val="decimal"/>
        <w:numRestart w:val="continuous"/>
      </w:footnotePr>
      <w:pgSz w:w="11909" w:h="16838"/>
      <w:pgMar w:top="1478" w:left="1396" w:right="1386" w:bottom="2320" w:header="105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5827395</wp:posOffset>
              </wp:positionH>
              <wp:positionV relativeFrom="page">
                <wp:posOffset>10052050</wp:posOffset>
              </wp:positionV>
              <wp:extent cx="838200" cy="207010"/>
              <wp:wrapNone/>
              <wp:docPr id="3" name="Shape 3"/>
              <a:graphic xmlns:a="http://schemas.openxmlformats.org/drawingml/2006/main">
                <a:graphicData uri="http://schemas.microsoft.com/office/word/2010/wordprocessingShape">
                  <wps:wsp>
                    <wps:cNvSpPr txBox="1"/>
                    <wps:spPr>
                      <a:xfrm>
                        <a:ext cx="838200" cy="2070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58.85000000000002pt;margin-top:791.5pt;width:66.pt;height:16.3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36"/>
      <w:szCs w:val="36"/>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90"/>
      <w:jc w:val="center"/>
    </w:pPr>
    <w:rPr>
      <w:rFonts w:ascii="Arial" w:eastAsia="Arial" w:hAnsi="Arial" w:cs="Arial"/>
      <w:b/>
      <w:bCs/>
      <w:i w:val="0"/>
      <w:iCs w:val="0"/>
      <w:smallCaps w:val="0"/>
      <w:strike w:val="0"/>
      <w:sz w:val="36"/>
      <w:szCs w:val="36"/>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8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LIENERT Petr</dc:creator>
  <cp:keywords/>
</cp:coreProperties>
</file>