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D9F5" w14:textId="77777777" w:rsidR="003B59A3" w:rsidRDefault="00157064">
      <w:pPr>
        <w:pStyle w:val="Zkladntext"/>
        <w:spacing w:before="69"/>
        <w:ind w:left="116"/>
      </w:pPr>
      <w:r>
        <w:t>DODATEK Č. 1 K SERVISNÍ SMLOUVĚ</w:t>
      </w:r>
    </w:p>
    <w:p w14:paraId="5558D9F6" w14:textId="77777777" w:rsidR="003B59A3" w:rsidRDefault="003B59A3">
      <w:pPr>
        <w:pStyle w:val="Zkladntext"/>
        <w:spacing w:before="5"/>
      </w:pPr>
    </w:p>
    <w:p w14:paraId="5558D9F7" w14:textId="77777777" w:rsidR="003B59A3" w:rsidRDefault="00157064">
      <w:pPr>
        <w:pStyle w:val="Zkladntext"/>
        <w:ind w:left="116"/>
      </w:pPr>
      <w:r>
        <w:t>uzavřené mezi:</w:t>
      </w:r>
    </w:p>
    <w:p w14:paraId="5558D9F8" w14:textId="77777777" w:rsidR="003B59A3" w:rsidRDefault="003B59A3">
      <w:pPr>
        <w:pStyle w:val="Zkladntext"/>
        <w:spacing w:before="5"/>
      </w:pPr>
    </w:p>
    <w:p w14:paraId="5558D9F9" w14:textId="77777777" w:rsidR="003B59A3" w:rsidRDefault="00157064">
      <w:pPr>
        <w:pStyle w:val="Zkladntext"/>
        <w:ind w:left="116" w:right="1168"/>
      </w:pPr>
      <w:proofErr w:type="spellStart"/>
      <w:r>
        <w:rPr>
          <w:b/>
        </w:rPr>
        <w:t>Webškoly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services</w:t>
      </w:r>
      <w:proofErr w:type="spellEnd"/>
      <w:r>
        <w:rPr>
          <w:b/>
        </w:rPr>
        <w:t xml:space="preserve"> s.r.o. </w:t>
      </w:r>
      <w:r>
        <w:t>se sídlem: U Nádrže 2/618, 182 00 Praha 8 IČ: 07206569 zastoupená jednatelem: Bc. Tomášem Beranem (dále jen "Dodavatel")</w:t>
      </w:r>
    </w:p>
    <w:p w14:paraId="5558D9FA" w14:textId="77777777" w:rsidR="003B59A3" w:rsidRDefault="003B59A3">
      <w:pPr>
        <w:pStyle w:val="Zkladntext"/>
        <w:spacing w:before="3"/>
      </w:pPr>
    </w:p>
    <w:p w14:paraId="5558D9FB" w14:textId="77777777" w:rsidR="003B59A3" w:rsidRDefault="00157064">
      <w:pPr>
        <w:pStyle w:val="Zkladntext"/>
        <w:ind w:left="116"/>
      </w:pPr>
      <w:r>
        <w:t>a</w:t>
      </w:r>
    </w:p>
    <w:p w14:paraId="5558D9FC" w14:textId="77777777" w:rsidR="003B59A3" w:rsidRDefault="003B59A3">
      <w:pPr>
        <w:pStyle w:val="Zkladntext"/>
        <w:spacing w:before="4"/>
      </w:pPr>
    </w:p>
    <w:p w14:paraId="5558D9FD" w14:textId="77777777" w:rsidR="003B59A3" w:rsidRDefault="00157064">
      <w:pPr>
        <w:pStyle w:val="Zkladntext"/>
        <w:spacing w:before="1"/>
        <w:ind w:left="116"/>
      </w:pPr>
      <w:r>
        <w:rPr>
          <w:b/>
        </w:rPr>
        <w:t xml:space="preserve">Základní škola Meteorologická </w:t>
      </w:r>
      <w:r>
        <w:t xml:space="preserve">se sídlem: Meteorologická 181, 142 00 Praha 4 – Libuš IČ: 60437910 zastoupená ředitelem PhDr. </w:t>
      </w:r>
      <w:proofErr w:type="spellStart"/>
      <w:r>
        <w:t>Alexandrosem</w:t>
      </w:r>
      <w:proofErr w:type="spellEnd"/>
      <w:r>
        <w:t xml:space="preserve"> </w:t>
      </w:r>
      <w:proofErr w:type="spellStart"/>
      <w:r>
        <w:t>Charalambidisem</w:t>
      </w:r>
      <w:proofErr w:type="spellEnd"/>
      <w:r>
        <w:t xml:space="preserve"> (dále jen</w:t>
      </w:r>
    </w:p>
    <w:p w14:paraId="5558D9FE" w14:textId="77777777" w:rsidR="003B59A3" w:rsidRDefault="00157064">
      <w:pPr>
        <w:pStyle w:val="Zkladntext"/>
        <w:ind w:left="116"/>
      </w:pPr>
      <w:r>
        <w:t>"Odběratel")</w:t>
      </w:r>
    </w:p>
    <w:p w14:paraId="5558D9FF" w14:textId="77777777" w:rsidR="003B59A3" w:rsidRDefault="003B59A3">
      <w:pPr>
        <w:pStyle w:val="Zkladntext"/>
        <w:rPr>
          <w:sz w:val="26"/>
        </w:rPr>
      </w:pPr>
    </w:p>
    <w:p w14:paraId="5558DA00" w14:textId="77777777" w:rsidR="003B59A3" w:rsidRDefault="003B59A3">
      <w:pPr>
        <w:pStyle w:val="Zkladntext"/>
        <w:rPr>
          <w:sz w:val="26"/>
        </w:rPr>
      </w:pPr>
    </w:p>
    <w:p w14:paraId="5558DA01" w14:textId="77777777" w:rsidR="003B59A3" w:rsidRDefault="003B59A3">
      <w:pPr>
        <w:pStyle w:val="Zkladntext"/>
        <w:spacing w:before="4"/>
        <w:rPr>
          <w:sz w:val="21"/>
        </w:rPr>
      </w:pPr>
    </w:p>
    <w:p w14:paraId="5558DA02" w14:textId="77777777" w:rsidR="003B59A3" w:rsidRDefault="00157064">
      <w:pPr>
        <w:pStyle w:val="Nadpis1"/>
      </w:pPr>
      <w:r>
        <w:rPr>
          <w:color w:val="5B9BD4"/>
        </w:rPr>
        <w:t>Článek I – Účel dodatku</w:t>
      </w:r>
    </w:p>
    <w:p w14:paraId="5558DA03" w14:textId="77777777" w:rsidR="003B59A3" w:rsidRDefault="003B59A3">
      <w:pPr>
        <w:pStyle w:val="Zkladntext"/>
        <w:rPr>
          <w:rFonts w:ascii="Calibri Light"/>
          <w:sz w:val="26"/>
        </w:rPr>
      </w:pPr>
    </w:p>
    <w:p w14:paraId="5558DA04" w14:textId="77777777" w:rsidR="003B59A3" w:rsidRDefault="003B59A3">
      <w:pPr>
        <w:pStyle w:val="Zkladntext"/>
        <w:spacing w:before="5"/>
        <w:rPr>
          <w:rFonts w:ascii="Calibri Light"/>
          <w:sz w:val="22"/>
        </w:rPr>
      </w:pPr>
    </w:p>
    <w:p w14:paraId="5558DA05" w14:textId="77777777" w:rsidR="003B59A3" w:rsidRDefault="00157064">
      <w:pPr>
        <w:pStyle w:val="Zkladntext"/>
        <w:spacing w:before="1"/>
        <w:ind w:left="116"/>
      </w:pPr>
      <w:r>
        <w:t>Tento dodatek upravuje podmínky Servisní smlouvy týkající se:</w:t>
      </w:r>
    </w:p>
    <w:p w14:paraId="5558DA06" w14:textId="77777777" w:rsidR="003B59A3" w:rsidRDefault="003B59A3">
      <w:pPr>
        <w:pStyle w:val="Zkladntext"/>
        <w:spacing w:before="2"/>
      </w:pPr>
    </w:p>
    <w:p w14:paraId="5558DA07" w14:textId="77777777" w:rsidR="003B59A3" w:rsidRDefault="00157064">
      <w:pPr>
        <w:pStyle w:val="Odstavecseseznamem"/>
        <w:numPr>
          <w:ilvl w:val="0"/>
          <w:numId w:val="2"/>
        </w:numPr>
        <w:tabs>
          <w:tab w:val="left" w:pos="362"/>
        </w:tabs>
        <w:rPr>
          <w:sz w:val="24"/>
        </w:rPr>
      </w:pPr>
      <w:r>
        <w:rPr>
          <w:sz w:val="24"/>
        </w:rPr>
        <w:t>navýšení roční ceny za provoz webového portálu</w:t>
      </w:r>
      <w:r>
        <w:rPr>
          <w:spacing w:val="-5"/>
          <w:sz w:val="24"/>
        </w:rPr>
        <w:t xml:space="preserve"> </w:t>
      </w:r>
      <w:r>
        <w:rPr>
          <w:sz w:val="24"/>
        </w:rPr>
        <w:t>(hosting),</w:t>
      </w:r>
    </w:p>
    <w:p w14:paraId="5558DA08" w14:textId="77777777" w:rsidR="003B59A3" w:rsidRDefault="00157064">
      <w:pPr>
        <w:pStyle w:val="Odstavecseseznamem"/>
        <w:numPr>
          <w:ilvl w:val="0"/>
          <w:numId w:val="2"/>
        </w:numPr>
        <w:tabs>
          <w:tab w:val="left" w:pos="377"/>
        </w:tabs>
        <w:ind w:left="116" w:right="541" w:firstLine="0"/>
        <w:rPr>
          <w:sz w:val="24"/>
        </w:rPr>
      </w:pPr>
      <w:r>
        <w:rPr>
          <w:sz w:val="24"/>
        </w:rPr>
        <w:t>úpravy hodinové sazby za implementaci nové funkcionality a práce nad rámec běžného servisu,</w:t>
      </w:r>
    </w:p>
    <w:p w14:paraId="5558DA09" w14:textId="77777777" w:rsidR="003B59A3" w:rsidRDefault="00157064">
      <w:pPr>
        <w:pStyle w:val="Odstavecseseznamem"/>
        <w:numPr>
          <w:ilvl w:val="0"/>
          <w:numId w:val="2"/>
        </w:numPr>
        <w:tabs>
          <w:tab w:val="left" w:pos="362"/>
        </w:tabs>
        <w:ind w:left="116" w:right="1017" w:firstLine="0"/>
        <w:rPr>
          <w:sz w:val="24"/>
        </w:rPr>
      </w:pPr>
      <w:r>
        <w:rPr>
          <w:sz w:val="24"/>
        </w:rPr>
        <w:t>schválení realizace úprav a redesignu webových stránek podle předložené nabídky Dodavatele.</w:t>
      </w:r>
    </w:p>
    <w:p w14:paraId="5558DA0A" w14:textId="77777777" w:rsidR="003B59A3" w:rsidRDefault="003B59A3">
      <w:pPr>
        <w:pStyle w:val="Zkladntext"/>
        <w:rPr>
          <w:sz w:val="20"/>
        </w:rPr>
      </w:pPr>
    </w:p>
    <w:p w14:paraId="5558DA0B" w14:textId="77777777" w:rsidR="003B59A3" w:rsidRDefault="00157064">
      <w:pPr>
        <w:pStyle w:val="Zkladntext"/>
        <w:spacing w:before="2"/>
        <w:rPr>
          <w:sz w:val="18"/>
        </w:rPr>
      </w:pPr>
      <w:r>
        <w:pict w14:anchorId="5558DA6F">
          <v:group id="_x0000_s1068" style="position:absolute;margin-left:70.8pt;margin-top:12.4pt;width:453.7pt;height:1.5pt;z-index:-251658240;mso-wrap-distance-left:0;mso-wrap-distance-right:0;mso-position-horizontal-relative:page" coordorigin="1416,248" coordsize="9074,30">
            <v:line id="_x0000_s1081" style="position:absolute" from="1416,262" to="10488,262" strokecolor="#9f9f9f" strokeweight="1.4pt"/>
            <v:rect id="_x0000_s1080" style="position:absolute;left:1416;top:248;width:5;height:5" fillcolor="#9f9f9f" stroked="f"/>
            <v:rect id="_x0000_s1079" style="position:absolute;left:1416;top:248;width:5;height:5" fillcolor="#9f9f9f" stroked="f"/>
            <v:line id="_x0000_s1078" style="position:absolute" from="1421,251" to="10485,251" strokecolor="#9f9f9f" strokeweight=".24pt"/>
            <v:rect id="_x0000_s1077" style="position:absolute;left:10485;top:248;width:5;height:5" fillcolor="#e2e2e2" stroked="f"/>
            <v:rect id="_x0000_s1076" style="position:absolute;left:10485;top:248;width:5;height:5" fillcolor="#9f9f9f" stroked="f"/>
            <v:rect id="_x0000_s1075" style="position:absolute;left:1416;top:253;width:5;height:20" fillcolor="#9f9f9f" stroked="f"/>
            <v:rect id="_x0000_s1074" style="position:absolute;left:10485;top:253;width:5;height:20" fillcolor="#e2e2e2" stroked="f"/>
            <v:rect id="_x0000_s1073" style="position:absolute;left:1416;top:272;width:5;height:5" fillcolor="#9f9f9f" stroked="f"/>
            <v:rect id="_x0000_s1072" style="position:absolute;left:1416;top:272;width:5;height:5" fillcolor="#e2e2e2" stroked="f"/>
            <v:line id="_x0000_s1071" style="position:absolute" from="1421,275" to="10485,275" strokecolor="#e2e2e2" strokeweight=".24pt"/>
            <v:rect id="_x0000_s1070" style="position:absolute;left:10485;top:272;width:5;height:5" fillcolor="#e2e2e2" stroked="f"/>
            <v:rect id="_x0000_s1069" style="position:absolute;left:10485;top:272;width:5;height:5" fillcolor="#e2e2e2" stroked="f"/>
            <w10:wrap type="topAndBottom" anchorx="page"/>
          </v:group>
        </w:pict>
      </w:r>
    </w:p>
    <w:p w14:paraId="5558DA0C" w14:textId="77777777" w:rsidR="003B59A3" w:rsidRDefault="003B59A3">
      <w:pPr>
        <w:pStyle w:val="Zkladntext"/>
        <w:spacing w:before="7"/>
        <w:rPr>
          <w:sz w:val="18"/>
        </w:rPr>
      </w:pPr>
    </w:p>
    <w:p w14:paraId="5558DA0D" w14:textId="77777777" w:rsidR="003B59A3" w:rsidRDefault="00157064">
      <w:pPr>
        <w:pStyle w:val="Nadpis1"/>
        <w:spacing w:before="47"/>
      </w:pPr>
      <w:r>
        <w:rPr>
          <w:color w:val="5B9BD4"/>
        </w:rPr>
        <w:t>Článek II – Úprava ceny za provoz webového portálu (hosting)</w:t>
      </w:r>
    </w:p>
    <w:p w14:paraId="5558DA0E" w14:textId="77777777" w:rsidR="003B59A3" w:rsidRDefault="003B59A3">
      <w:pPr>
        <w:pStyle w:val="Zkladntext"/>
        <w:rPr>
          <w:rFonts w:ascii="Calibri Light"/>
          <w:sz w:val="26"/>
        </w:rPr>
      </w:pPr>
    </w:p>
    <w:p w14:paraId="5558DA0F" w14:textId="77777777" w:rsidR="003B59A3" w:rsidRDefault="003B59A3">
      <w:pPr>
        <w:pStyle w:val="Zkladntext"/>
        <w:spacing w:before="3"/>
        <w:rPr>
          <w:rFonts w:ascii="Calibri Light"/>
          <w:sz w:val="22"/>
        </w:rPr>
      </w:pPr>
    </w:p>
    <w:p w14:paraId="5558DA10" w14:textId="77777777" w:rsidR="003B59A3" w:rsidRDefault="00157064">
      <w:pPr>
        <w:pStyle w:val="Zkladntext"/>
        <w:ind w:left="116"/>
      </w:pPr>
      <w:r>
        <w:t xml:space="preserve">S účinností od </w:t>
      </w:r>
      <w:r>
        <w:rPr>
          <w:b/>
        </w:rPr>
        <w:t xml:space="preserve">1. 1. 2025 </w:t>
      </w:r>
      <w:r>
        <w:t xml:space="preserve">se mění ustanovení článku </w:t>
      </w:r>
      <w:proofErr w:type="gramStart"/>
      <w:r>
        <w:t>5b</w:t>
      </w:r>
      <w:proofErr w:type="gramEnd"/>
      <w:r>
        <w:t xml:space="preserve"> Servisní smlouvy</w:t>
      </w:r>
    </w:p>
    <w:p w14:paraId="5558DA11" w14:textId="77777777" w:rsidR="003B59A3" w:rsidRDefault="003B59A3">
      <w:pPr>
        <w:pStyle w:val="Zkladntext"/>
        <w:rPr>
          <w:sz w:val="25"/>
        </w:rPr>
      </w:pPr>
    </w:p>
    <w:p w14:paraId="5558DA12" w14:textId="77777777" w:rsidR="003B59A3" w:rsidRDefault="00157064">
      <w:pPr>
        <w:spacing w:before="1"/>
        <w:ind w:left="116"/>
        <w:rPr>
          <w:rFonts w:ascii="Calibri" w:hAnsi="Calibri"/>
        </w:rPr>
      </w:pPr>
      <w:r>
        <w:rPr>
          <w:rFonts w:ascii="Calibri" w:hAnsi="Calibri"/>
        </w:rPr>
        <w:t>a nově zní:</w:t>
      </w:r>
    </w:p>
    <w:p w14:paraId="5558DA13" w14:textId="77777777" w:rsidR="003B59A3" w:rsidRDefault="003B59A3">
      <w:pPr>
        <w:pStyle w:val="Zkladntext"/>
        <w:spacing w:before="9"/>
        <w:rPr>
          <w:rFonts w:ascii="Calibri"/>
          <w:sz w:val="25"/>
        </w:rPr>
      </w:pPr>
    </w:p>
    <w:p w14:paraId="5558DA14" w14:textId="77777777" w:rsidR="003B59A3" w:rsidRDefault="00157064">
      <w:pPr>
        <w:pStyle w:val="Zkladntext"/>
        <w:spacing w:line="275" w:lineRule="exact"/>
        <w:ind w:left="116"/>
        <w:rPr>
          <w:b/>
        </w:rPr>
      </w:pPr>
      <w:r>
        <w:t xml:space="preserve">„Cena za provozování webového portálu dle odstavce 2. Dodavatelem je </w:t>
      </w:r>
      <w:r>
        <w:rPr>
          <w:b/>
        </w:rPr>
        <w:t>4 200 Kč</w:t>
      </w:r>
    </w:p>
    <w:p w14:paraId="5558DA15" w14:textId="77777777" w:rsidR="003B59A3" w:rsidRDefault="00157064">
      <w:pPr>
        <w:pStyle w:val="Zkladntext"/>
        <w:ind w:left="116" w:right="470"/>
      </w:pPr>
      <w:r>
        <w:t>(</w:t>
      </w:r>
      <w:proofErr w:type="spellStart"/>
      <w:r>
        <w:t>čtyřitisícedvěstě</w:t>
      </w:r>
      <w:proofErr w:type="spellEnd"/>
      <w:r>
        <w:t xml:space="preserve"> korun českých) za rok. Při možnosti uložit na serveru do </w:t>
      </w:r>
      <w:proofErr w:type="gramStart"/>
      <w:r>
        <w:t>20GB</w:t>
      </w:r>
      <w:proofErr w:type="gramEnd"/>
      <w:r>
        <w:t xml:space="preserve"> dat. Tato částka bude hrazena jednou ročně, na základě faktury se </w:t>
      </w:r>
      <w:proofErr w:type="gramStart"/>
      <w:r>
        <w:t>14 denní</w:t>
      </w:r>
      <w:proofErr w:type="gramEnd"/>
      <w:r>
        <w:t xml:space="preserve"> splatností vystavené Dodavatelem. Uloženými daty se rozumí prezentace se zdrojovými kódy, nahrané soubory (obrázky, dokumenty, videa, atd), zálohy definované v této smlouvě. V případě překročení </w:t>
      </w:r>
      <w:proofErr w:type="gramStart"/>
      <w:r>
        <w:t>20GB</w:t>
      </w:r>
      <w:proofErr w:type="gramEnd"/>
      <w:r>
        <w:t xml:space="preserve"> uložených dat na serveru je stanovena cena dle následujícího ceníku:“</w:t>
      </w:r>
    </w:p>
    <w:p w14:paraId="5558DA16" w14:textId="77777777" w:rsidR="003B59A3" w:rsidRDefault="003B59A3">
      <w:pPr>
        <w:sectPr w:rsidR="003B59A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558DA17" w14:textId="77777777" w:rsidR="003B59A3" w:rsidRDefault="00157064">
      <w:pPr>
        <w:spacing w:before="74"/>
        <w:ind w:left="116"/>
        <w:rPr>
          <w:b/>
          <w:sz w:val="24"/>
        </w:rPr>
      </w:pPr>
      <w:r>
        <w:rPr>
          <w:b/>
          <w:sz w:val="24"/>
        </w:rPr>
        <w:lastRenderedPageBreak/>
        <w:t>Úprava tabulky cen za uložená data</w:t>
      </w:r>
    </w:p>
    <w:p w14:paraId="5558DA18" w14:textId="77777777" w:rsidR="003B59A3" w:rsidRDefault="003B59A3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11"/>
        <w:gridCol w:w="4562"/>
      </w:tblGrid>
      <w:tr w:rsidR="003B59A3" w14:paraId="5558DA1B" w14:textId="77777777">
        <w:trPr>
          <w:trHeight w:val="490"/>
        </w:trPr>
        <w:tc>
          <w:tcPr>
            <w:tcW w:w="4511" w:type="dxa"/>
            <w:tcBorders>
              <w:bottom w:val="single" w:sz="4" w:space="0" w:color="7E7E7E"/>
            </w:tcBorders>
          </w:tcPr>
          <w:p w14:paraId="5558DA19" w14:textId="77777777" w:rsidR="003B59A3" w:rsidRDefault="00157064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ULOŽNÁ KAPACITA DAT NA SERVERU</w:t>
            </w:r>
          </w:p>
        </w:tc>
        <w:tc>
          <w:tcPr>
            <w:tcW w:w="4562" w:type="dxa"/>
            <w:tcBorders>
              <w:bottom w:val="single" w:sz="4" w:space="0" w:color="7E7E7E"/>
            </w:tcBorders>
          </w:tcPr>
          <w:p w14:paraId="5558DA1A" w14:textId="77777777" w:rsidR="003B59A3" w:rsidRDefault="00157064">
            <w:pPr>
              <w:pStyle w:val="TableParagraph"/>
              <w:spacing w:line="247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CENA NA 1 ROK /</w:t>
            </w:r>
          </w:p>
        </w:tc>
      </w:tr>
      <w:tr w:rsidR="003B59A3" w14:paraId="5558DA1E" w14:textId="77777777">
        <w:trPr>
          <w:trHeight w:val="489"/>
        </w:trPr>
        <w:tc>
          <w:tcPr>
            <w:tcW w:w="4511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1F1F1"/>
          </w:tcPr>
          <w:p w14:paraId="5558DA1C" w14:textId="77777777" w:rsidR="003B59A3" w:rsidRDefault="0015706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0 - </w:t>
            </w:r>
            <w:proofErr w:type="gramStart"/>
            <w:r>
              <w:rPr>
                <w:b/>
              </w:rPr>
              <w:t>20GB</w:t>
            </w:r>
            <w:proofErr w:type="gramEnd"/>
          </w:p>
        </w:tc>
        <w:tc>
          <w:tcPr>
            <w:tcW w:w="4562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5558DA1D" w14:textId="77777777" w:rsidR="003B59A3" w:rsidRDefault="00157064">
            <w:pPr>
              <w:pStyle w:val="TableParagraph"/>
              <w:spacing w:line="250" w:lineRule="exact"/>
              <w:ind w:right="156"/>
              <w:jc w:val="right"/>
            </w:pPr>
            <w:r>
              <w:t>4 200 Kč</w:t>
            </w:r>
          </w:p>
        </w:tc>
      </w:tr>
      <w:tr w:rsidR="003B59A3" w14:paraId="5558DA21" w14:textId="77777777">
        <w:trPr>
          <w:trHeight w:val="492"/>
        </w:trPr>
        <w:tc>
          <w:tcPr>
            <w:tcW w:w="4511" w:type="dxa"/>
            <w:tcBorders>
              <w:right w:val="single" w:sz="4" w:space="0" w:color="7E7E7E"/>
            </w:tcBorders>
          </w:tcPr>
          <w:p w14:paraId="5558DA1F" w14:textId="77777777" w:rsidR="003B59A3" w:rsidRDefault="0015706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21 - </w:t>
            </w:r>
            <w:proofErr w:type="gramStart"/>
            <w:r>
              <w:rPr>
                <w:b/>
              </w:rPr>
              <w:t>40GB</w:t>
            </w:r>
            <w:proofErr w:type="gramEnd"/>
          </w:p>
        </w:tc>
        <w:tc>
          <w:tcPr>
            <w:tcW w:w="4562" w:type="dxa"/>
            <w:tcBorders>
              <w:left w:val="single" w:sz="4" w:space="0" w:color="7E7E7E"/>
            </w:tcBorders>
          </w:tcPr>
          <w:p w14:paraId="5558DA20" w14:textId="77777777" w:rsidR="003B59A3" w:rsidRDefault="00157064">
            <w:pPr>
              <w:pStyle w:val="TableParagraph"/>
              <w:spacing w:line="251" w:lineRule="exact"/>
              <w:ind w:right="155"/>
              <w:jc w:val="right"/>
            </w:pPr>
            <w:r>
              <w:t>5 500 Kč</w:t>
            </w:r>
          </w:p>
        </w:tc>
      </w:tr>
      <w:tr w:rsidR="003B59A3" w14:paraId="5558DA24" w14:textId="77777777">
        <w:trPr>
          <w:trHeight w:val="489"/>
        </w:trPr>
        <w:tc>
          <w:tcPr>
            <w:tcW w:w="4511" w:type="dxa"/>
            <w:tcBorders>
              <w:right w:val="single" w:sz="4" w:space="0" w:color="7E7E7E"/>
            </w:tcBorders>
            <w:shd w:val="clear" w:color="auto" w:fill="F1F1F1"/>
          </w:tcPr>
          <w:p w14:paraId="5558DA22" w14:textId="77777777" w:rsidR="003B59A3" w:rsidRDefault="0015706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41 - </w:t>
            </w:r>
            <w:proofErr w:type="gramStart"/>
            <w:r>
              <w:rPr>
                <w:b/>
              </w:rPr>
              <w:t>60GB</w:t>
            </w:r>
            <w:proofErr w:type="gramEnd"/>
          </w:p>
        </w:tc>
        <w:tc>
          <w:tcPr>
            <w:tcW w:w="4562" w:type="dxa"/>
            <w:tcBorders>
              <w:left w:val="single" w:sz="4" w:space="0" w:color="7E7E7E"/>
            </w:tcBorders>
            <w:shd w:val="clear" w:color="auto" w:fill="F1F1F1"/>
          </w:tcPr>
          <w:p w14:paraId="5558DA23" w14:textId="77777777" w:rsidR="003B59A3" w:rsidRDefault="00157064">
            <w:pPr>
              <w:pStyle w:val="TableParagraph"/>
              <w:spacing w:line="251" w:lineRule="exact"/>
              <w:ind w:right="155"/>
              <w:jc w:val="right"/>
            </w:pPr>
            <w:r>
              <w:t>6 900 Kč</w:t>
            </w:r>
          </w:p>
        </w:tc>
      </w:tr>
      <w:tr w:rsidR="003B59A3" w14:paraId="5558DA27" w14:textId="77777777">
        <w:trPr>
          <w:trHeight w:val="492"/>
        </w:trPr>
        <w:tc>
          <w:tcPr>
            <w:tcW w:w="4511" w:type="dxa"/>
            <w:tcBorders>
              <w:right w:val="single" w:sz="4" w:space="0" w:color="7E7E7E"/>
            </w:tcBorders>
          </w:tcPr>
          <w:p w14:paraId="5558DA25" w14:textId="77777777" w:rsidR="003B59A3" w:rsidRDefault="0015706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61 - </w:t>
            </w:r>
            <w:proofErr w:type="gramStart"/>
            <w:r>
              <w:rPr>
                <w:b/>
              </w:rPr>
              <w:t>80GB</w:t>
            </w:r>
            <w:proofErr w:type="gramEnd"/>
          </w:p>
        </w:tc>
        <w:tc>
          <w:tcPr>
            <w:tcW w:w="4562" w:type="dxa"/>
            <w:tcBorders>
              <w:left w:val="single" w:sz="4" w:space="0" w:color="7E7E7E"/>
            </w:tcBorders>
          </w:tcPr>
          <w:p w14:paraId="5558DA26" w14:textId="77777777" w:rsidR="003B59A3" w:rsidRDefault="00157064">
            <w:pPr>
              <w:pStyle w:val="TableParagraph"/>
              <w:spacing w:line="251" w:lineRule="exact"/>
              <w:ind w:right="155"/>
              <w:jc w:val="right"/>
            </w:pPr>
            <w:r>
              <w:t>8 200 Kč</w:t>
            </w:r>
          </w:p>
        </w:tc>
      </w:tr>
      <w:tr w:rsidR="003B59A3" w14:paraId="5558DA2A" w14:textId="77777777">
        <w:trPr>
          <w:trHeight w:val="491"/>
        </w:trPr>
        <w:tc>
          <w:tcPr>
            <w:tcW w:w="4511" w:type="dxa"/>
            <w:tcBorders>
              <w:right w:val="single" w:sz="4" w:space="0" w:color="7E7E7E"/>
            </w:tcBorders>
            <w:shd w:val="clear" w:color="auto" w:fill="F1F1F1"/>
          </w:tcPr>
          <w:p w14:paraId="5558DA28" w14:textId="77777777" w:rsidR="003B59A3" w:rsidRDefault="00157064">
            <w:pPr>
              <w:pStyle w:val="TableParagraph"/>
              <w:ind w:left="108"/>
              <w:rPr>
                <w:b/>
              </w:rPr>
            </w:pPr>
            <w:proofErr w:type="gramStart"/>
            <w:r>
              <w:rPr>
                <w:b/>
              </w:rPr>
              <w:t>81 - 100</w:t>
            </w:r>
            <w:proofErr w:type="gramEnd"/>
            <w:r>
              <w:rPr>
                <w:b/>
              </w:rPr>
              <w:t xml:space="preserve"> GB</w:t>
            </w:r>
          </w:p>
        </w:tc>
        <w:tc>
          <w:tcPr>
            <w:tcW w:w="4562" w:type="dxa"/>
            <w:tcBorders>
              <w:left w:val="single" w:sz="4" w:space="0" w:color="7E7E7E"/>
            </w:tcBorders>
            <w:shd w:val="clear" w:color="auto" w:fill="F1F1F1"/>
          </w:tcPr>
          <w:p w14:paraId="5558DA29" w14:textId="77777777" w:rsidR="003B59A3" w:rsidRDefault="00157064">
            <w:pPr>
              <w:pStyle w:val="TableParagraph"/>
              <w:spacing w:line="251" w:lineRule="exact"/>
              <w:ind w:right="155"/>
              <w:jc w:val="right"/>
            </w:pPr>
            <w:r>
              <w:t>9 400 Kč</w:t>
            </w:r>
          </w:p>
        </w:tc>
      </w:tr>
      <w:tr w:rsidR="003B59A3" w14:paraId="5558DA2D" w14:textId="77777777">
        <w:trPr>
          <w:trHeight w:val="489"/>
        </w:trPr>
        <w:tc>
          <w:tcPr>
            <w:tcW w:w="4511" w:type="dxa"/>
            <w:tcBorders>
              <w:right w:val="single" w:sz="4" w:space="0" w:color="7E7E7E"/>
            </w:tcBorders>
          </w:tcPr>
          <w:p w14:paraId="5558DA2B" w14:textId="77777777" w:rsidR="003B59A3" w:rsidRDefault="00157064">
            <w:pPr>
              <w:pStyle w:val="TableParagraph"/>
              <w:ind w:left="108"/>
              <w:rPr>
                <w:b/>
              </w:rPr>
            </w:pPr>
            <w:proofErr w:type="gramStart"/>
            <w:r>
              <w:rPr>
                <w:b/>
              </w:rPr>
              <w:t>101 - 150</w:t>
            </w:r>
            <w:proofErr w:type="gramEnd"/>
            <w:r>
              <w:rPr>
                <w:b/>
              </w:rPr>
              <w:t xml:space="preserve"> GB</w:t>
            </w:r>
          </w:p>
        </w:tc>
        <w:tc>
          <w:tcPr>
            <w:tcW w:w="4562" w:type="dxa"/>
            <w:tcBorders>
              <w:left w:val="single" w:sz="4" w:space="0" w:color="7E7E7E"/>
            </w:tcBorders>
          </w:tcPr>
          <w:p w14:paraId="5558DA2C" w14:textId="77777777" w:rsidR="003B59A3" w:rsidRDefault="00157064">
            <w:pPr>
              <w:pStyle w:val="TableParagraph"/>
              <w:spacing w:line="251" w:lineRule="exact"/>
              <w:ind w:right="155"/>
              <w:jc w:val="right"/>
            </w:pPr>
            <w:r>
              <w:t>10 500 Kč</w:t>
            </w:r>
          </w:p>
        </w:tc>
      </w:tr>
      <w:tr w:rsidR="003B59A3" w14:paraId="5558DA30" w14:textId="77777777">
        <w:trPr>
          <w:trHeight w:val="492"/>
        </w:trPr>
        <w:tc>
          <w:tcPr>
            <w:tcW w:w="4511" w:type="dxa"/>
            <w:tcBorders>
              <w:right w:val="single" w:sz="4" w:space="0" w:color="7E7E7E"/>
            </w:tcBorders>
            <w:shd w:val="clear" w:color="auto" w:fill="F1F1F1"/>
          </w:tcPr>
          <w:p w14:paraId="5558DA2E" w14:textId="77777777" w:rsidR="003B59A3" w:rsidRDefault="00157064">
            <w:pPr>
              <w:pStyle w:val="TableParagraph"/>
              <w:spacing w:line="249" w:lineRule="exact"/>
              <w:ind w:left="108"/>
              <w:rPr>
                <w:b/>
              </w:rPr>
            </w:pPr>
            <w:proofErr w:type="gramStart"/>
            <w:r>
              <w:rPr>
                <w:b/>
              </w:rPr>
              <w:t>151 - 200</w:t>
            </w:r>
            <w:proofErr w:type="gramEnd"/>
            <w:r>
              <w:rPr>
                <w:b/>
              </w:rPr>
              <w:t xml:space="preserve"> GB</w:t>
            </w:r>
          </w:p>
        </w:tc>
        <w:tc>
          <w:tcPr>
            <w:tcW w:w="4562" w:type="dxa"/>
            <w:tcBorders>
              <w:left w:val="single" w:sz="4" w:space="0" w:color="7E7E7E"/>
            </w:tcBorders>
            <w:shd w:val="clear" w:color="auto" w:fill="F1F1F1"/>
          </w:tcPr>
          <w:p w14:paraId="5558DA2F" w14:textId="77777777" w:rsidR="003B59A3" w:rsidRDefault="00157064">
            <w:pPr>
              <w:pStyle w:val="TableParagraph"/>
              <w:spacing w:line="251" w:lineRule="exact"/>
              <w:ind w:right="155"/>
              <w:jc w:val="right"/>
            </w:pPr>
            <w:r>
              <w:t>12 200 Kč</w:t>
            </w:r>
          </w:p>
        </w:tc>
      </w:tr>
    </w:tbl>
    <w:p w14:paraId="5558DA31" w14:textId="77777777" w:rsidR="003B59A3" w:rsidRDefault="003B59A3">
      <w:pPr>
        <w:pStyle w:val="Zkladntext"/>
        <w:rPr>
          <w:b/>
          <w:sz w:val="20"/>
        </w:rPr>
      </w:pPr>
    </w:p>
    <w:p w14:paraId="5558DA32" w14:textId="77777777" w:rsidR="003B59A3" w:rsidRDefault="003B59A3">
      <w:pPr>
        <w:pStyle w:val="Zkladntext"/>
        <w:rPr>
          <w:b/>
          <w:sz w:val="20"/>
        </w:rPr>
      </w:pPr>
    </w:p>
    <w:p w14:paraId="5558DA33" w14:textId="77777777" w:rsidR="003B59A3" w:rsidRDefault="003B59A3">
      <w:pPr>
        <w:pStyle w:val="Zkladntext"/>
        <w:rPr>
          <w:b/>
          <w:sz w:val="20"/>
        </w:rPr>
      </w:pPr>
    </w:p>
    <w:p w14:paraId="5558DA34" w14:textId="77777777" w:rsidR="003B59A3" w:rsidRDefault="00157064">
      <w:pPr>
        <w:pStyle w:val="Zkladntext"/>
        <w:spacing w:before="6"/>
        <w:rPr>
          <w:b/>
          <w:sz w:val="25"/>
        </w:rPr>
      </w:pPr>
      <w:r>
        <w:pict w14:anchorId="5558DA70">
          <v:group id="_x0000_s1054" style="position:absolute;margin-left:70.8pt;margin-top:16.7pt;width:453.7pt;height:1.5pt;z-index:-251657216;mso-wrap-distance-left:0;mso-wrap-distance-right:0;mso-position-horizontal-relative:page" coordorigin="1416,334" coordsize="9074,30">
            <v:line id="_x0000_s1067" style="position:absolute" from="1416,348" to="10488,348" strokecolor="#9f9f9f" strokeweight="1.45pt"/>
            <v:rect id="_x0000_s1066" style="position:absolute;left:1416;top:334;width:5;height:5" fillcolor="#9f9f9f" stroked="f"/>
            <v:rect id="_x0000_s1065" style="position:absolute;left:1416;top:334;width:5;height:5" fillcolor="#9f9f9f" stroked="f"/>
            <v:line id="_x0000_s1064" style="position:absolute" from="1421,337" to="10485,337" strokecolor="#9f9f9f" strokeweight=".24pt"/>
            <v:rect id="_x0000_s1063" style="position:absolute;left:10485;top:334;width:5;height:5" fillcolor="#e2e2e2" stroked="f"/>
            <v:rect id="_x0000_s1062" style="position:absolute;left:10485;top:334;width:5;height:5" fillcolor="#9f9f9f" stroked="f"/>
            <v:rect id="_x0000_s1061" style="position:absolute;left:1416;top:339;width:5;height:20" fillcolor="#9f9f9f" stroked="f"/>
            <v:rect id="_x0000_s1060" style="position:absolute;left:10485;top:339;width:5;height:20" fillcolor="#e2e2e2" stroked="f"/>
            <v:rect id="_x0000_s1059" style="position:absolute;left:1416;top:358;width:5;height:5" fillcolor="#9f9f9f" stroked="f"/>
            <v:rect id="_x0000_s1058" style="position:absolute;left:1416;top:358;width:5;height:5" fillcolor="#e2e2e2" stroked="f"/>
            <v:line id="_x0000_s1057" style="position:absolute" from="1421,361" to="10485,361" strokecolor="#e2e2e2" strokeweight=".24pt"/>
            <v:rect id="_x0000_s1056" style="position:absolute;left:10485;top:358;width:5;height:5" fillcolor="#e2e2e2" stroked="f"/>
            <v:rect id="_x0000_s1055" style="position:absolute;left:10485;top:358;width:5;height:5" fillcolor="#e2e2e2" stroked="f"/>
            <w10:wrap type="topAndBottom" anchorx="page"/>
          </v:group>
        </w:pict>
      </w:r>
    </w:p>
    <w:p w14:paraId="5558DA35" w14:textId="77777777" w:rsidR="003B59A3" w:rsidRDefault="003B59A3">
      <w:pPr>
        <w:pStyle w:val="Zkladntext"/>
        <w:spacing w:before="7"/>
        <w:rPr>
          <w:b/>
          <w:sz w:val="22"/>
        </w:rPr>
      </w:pPr>
    </w:p>
    <w:p w14:paraId="5558DA36" w14:textId="77777777" w:rsidR="003B59A3" w:rsidRDefault="00157064">
      <w:pPr>
        <w:pStyle w:val="Nadpis1"/>
      </w:pPr>
      <w:r>
        <w:rPr>
          <w:color w:val="5B9BD4"/>
        </w:rPr>
        <w:t>Článek III – Úprava hodinové sazby za implementace a vícepráce</w:t>
      </w:r>
    </w:p>
    <w:p w14:paraId="5558DA37" w14:textId="77777777" w:rsidR="003B59A3" w:rsidRDefault="003B59A3">
      <w:pPr>
        <w:pStyle w:val="Zkladntext"/>
        <w:rPr>
          <w:rFonts w:ascii="Calibri Light"/>
          <w:sz w:val="26"/>
        </w:rPr>
      </w:pPr>
    </w:p>
    <w:p w14:paraId="5558DA38" w14:textId="77777777" w:rsidR="003B59A3" w:rsidRDefault="003B59A3">
      <w:pPr>
        <w:pStyle w:val="Zkladntext"/>
        <w:spacing w:before="3"/>
        <w:rPr>
          <w:rFonts w:ascii="Calibri Light"/>
          <w:sz w:val="22"/>
        </w:rPr>
      </w:pPr>
    </w:p>
    <w:p w14:paraId="5558DA39" w14:textId="77777777" w:rsidR="003B59A3" w:rsidRDefault="00157064">
      <w:pPr>
        <w:pStyle w:val="Zkladntext"/>
        <w:spacing w:before="1"/>
        <w:ind w:left="116"/>
      </w:pPr>
      <w:r>
        <w:t>Ustanovení článku 5c Servisní smlouvy</w:t>
      </w:r>
    </w:p>
    <w:p w14:paraId="5558DA3A" w14:textId="77777777" w:rsidR="003B59A3" w:rsidRDefault="003B59A3">
      <w:pPr>
        <w:pStyle w:val="Zkladntext"/>
        <w:rPr>
          <w:sz w:val="25"/>
        </w:rPr>
      </w:pPr>
    </w:p>
    <w:p w14:paraId="5558DA3B" w14:textId="77777777" w:rsidR="003B59A3" w:rsidRDefault="00157064">
      <w:pPr>
        <w:ind w:left="116"/>
        <w:rPr>
          <w:rFonts w:ascii="Calibri" w:hAnsi="Calibri"/>
        </w:rPr>
      </w:pPr>
      <w:r>
        <w:rPr>
          <w:rFonts w:ascii="Calibri" w:hAnsi="Calibri"/>
        </w:rPr>
        <w:t>se nahrazuje tímto zněním:</w:t>
      </w:r>
    </w:p>
    <w:p w14:paraId="5558DA3C" w14:textId="77777777" w:rsidR="003B59A3" w:rsidRDefault="003B59A3">
      <w:pPr>
        <w:pStyle w:val="Zkladntext"/>
        <w:spacing w:before="10"/>
        <w:rPr>
          <w:rFonts w:ascii="Calibri"/>
          <w:sz w:val="25"/>
        </w:rPr>
      </w:pPr>
    </w:p>
    <w:p w14:paraId="5558DA3D" w14:textId="77777777" w:rsidR="003B59A3" w:rsidRDefault="00157064">
      <w:pPr>
        <w:pStyle w:val="Zkladntext"/>
        <w:ind w:left="116" w:right="350"/>
      </w:pPr>
      <w:r>
        <w:t xml:space="preserve">„Cena za implementaci nové funkcionality, servisní zásahy nad rámec bodu 2 této smlouvy, grafické práce, rozšíření redakčního systému a další vícepráce činí </w:t>
      </w:r>
      <w:r>
        <w:rPr>
          <w:b/>
        </w:rPr>
        <w:t xml:space="preserve">800 Kč (osm set korun českých) </w:t>
      </w:r>
      <w:r>
        <w:t>za každou započatou hodinu, pokud není mezi Dodavatelem a Odběratelem dohodnuto jinak.“</w:t>
      </w:r>
    </w:p>
    <w:p w14:paraId="5558DA3E" w14:textId="77777777" w:rsidR="003B59A3" w:rsidRDefault="003B59A3">
      <w:pPr>
        <w:pStyle w:val="Zkladntext"/>
        <w:rPr>
          <w:sz w:val="20"/>
        </w:rPr>
      </w:pPr>
    </w:p>
    <w:p w14:paraId="5558DA3F" w14:textId="77777777" w:rsidR="003B59A3" w:rsidRDefault="00157064">
      <w:pPr>
        <w:pStyle w:val="Zkladntext"/>
        <w:spacing w:before="10"/>
        <w:rPr>
          <w:sz w:val="17"/>
        </w:rPr>
      </w:pPr>
      <w:r>
        <w:pict w14:anchorId="5558DA71">
          <v:group id="_x0000_s1040" style="position:absolute;margin-left:70.8pt;margin-top:12.25pt;width:453.7pt;height:1.5pt;z-index:-251656192;mso-wrap-distance-left:0;mso-wrap-distance-right:0;mso-position-horizontal-relative:page" coordorigin="1416,245" coordsize="9074,30">
            <v:line id="_x0000_s1053" style="position:absolute" from="1416,260" to="10488,260" strokecolor="#9f9f9f" strokeweight="1.45pt"/>
            <v:rect id="_x0000_s1052" style="position:absolute;left:1416;top:246;width:5;height:5" fillcolor="#9f9f9f" stroked="f"/>
            <v:rect id="_x0000_s1051" style="position:absolute;left:1416;top:246;width:5;height:5" fillcolor="#9f9f9f" stroked="f"/>
            <v:line id="_x0000_s1050" style="position:absolute" from="1421,249" to="10485,249" strokecolor="#9f9f9f" strokeweight=".24pt"/>
            <v:rect id="_x0000_s1049" style="position:absolute;left:10485;top:246;width:5;height:5" fillcolor="#e2e2e2" stroked="f"/>
            <v:rect id="_x0000_s1048" style="position:absolute;left:10485;top:246;width:5;height:5" fillcolor="#9f9f9f" stroked="f"/>
            <v:rect id="_x0000_s1047" style="position:absolute;left:1416;top:251;width:5;height:20" fillcolor="#9f9f9f" stroked="f"/>
            <v:rect id="_x0000_s1046" style="position:absolute;left:10485;top:251;width:5;height:20" fillcolor="#e2e2e2" stroked="f"/>
            <v:rect id="_x0000_s1045" style="position:absolute;left:1416;top:270;width:5;height:5" fillcolor="#9f9f9f" stroked="f"/>
            <v:rect id="_x0000_s1044" style="position:absolute;left:1416;top:270;width:5;height:5" fillcolor="#e2e2e2" stroked="f"/>
            <v:line id="_x0000_s1043" style="position:absolute" from="1421,273" to="10485,273" strokecolor="#e2e2e2" strokeweight=".08469mm"/>
            <v:rect id="_x0000_s1042" style="position:absolute;left:10485;top:270;width:5;height:5" fillcolor="#e2e2e2" stroked="f"/>
            <v:rect id="_x0000_s1041" style="position:absolute;left:10485;top:270;width:5;height:5" fillcolor="#e2e2e2" stroked="f"/>
            <w10:wrap type="topAndBottom" anchorx="page"/>
          </v:group>
        </w:pict>
      </w:r>
    </w:p>
    <w:p w14:paraId="5558DA40" w14:textId="77777777" w:rsidR="003B59A3" w:rsidRDefault="003B59A3">
      <w:pPr>
        <w:pStyle w:val="Zkladntext"/>
        <w:spacing w:before="6"/>
        <w:rPr>
          <w:sz w:val="18"/>
        </w:rPr>
      </w:pPr>
    </w:p>
    <w:p w14:paraId="5558DA41" w14:textId="77777777" w:rsidR="003B59A3" w:rsidRDefault="00157064">
      <w:pPr>
        <w:pStyle w:val="Nadpis1"/>
        <w:spacing w:before="47"/>
      </w:pPr>
      <w:r>
        <w:rPr>
          <w:color w:val="5B9BD4"/>
        </w:rPr>
        <w:t>Článek IV – Schválení prací dle nabídky úpravy webu</w:t>
      </w:r>
    </w:p>
    <w:p w14:paraId="5558DA42" w14:textId="77777777" w:rsidR="003B59A3" w:rsidRDefault="003B59A3">
      <w:pPr>
        <w:pStyle w:val="Zkladntext"/>
        <w:rPr>
          <w:rFonts w:ascii="Calibri Light"/>
          <w:sz w:val="26"/>
        </w:rPr>
      </w:pPr>
    </w:p>
    <w:p w14:paraId="5558DA43" w14:textId="77777777" w:rsidR="003B59A3" w:rsidRDefault="003B59A3">
      <w:pPr>
        <w:pStyle w:val="Zkladntext"/>
        <w:spacing w:before="3"/>
        <w:rPr>
          <w:rFonts w:ascii="Calibri Light"/>
          <w:sz w:val="22"/>
        </w:rPr>
      </w:pPr>
    </w:p>
    <w:p w14:paraId="5558DA44" w14:textId="77777777" w:rsidR="003B59A3" w:rsidRDefault="00157064">
      <w:pPr>
        <w:spacing w:before="1" w:line="244" w:lineRule="auto"/>
        <w:ind w:left="116" w:right="981"/>
        <w:rPr>
          <w:b/>
          <w:sz w:val="24"/>
        </w:rPr>
      </w:pPr>
      <w:r>
        <w:rPr>
          <w:sz w:val="24"/>
        </w:rPr>
        <w:t xml:space="preserve">Odběratel schvaluje nabídku Dodavatele </w:t>
      </w:r>
      <w:r>
        <w:rPr>
          <w:b/>
          <w:sz w:val="24"/>
        </w:rPr>
        <w:t>„Nabídka – úprava webových stránek ZŠ Meteorologická“</w:t>
      </w:r>
    </w:p>
    <w:p w14:paraId="5558DA45" w14:textId="77777777" w:rsidR="003B59A3" w:rsidRDefault="003B59A3">
      <w:pPr>
        <w:pStyle w:val="Zkladntext"/>
        <w:spacing w:before="5"/>
        <w:rPr>
          <w:b/>
          <w:sz w:val="23"/>
        </w:rPr>
      </w:pPr>
    </w:p>
    <w:p w14:paraId="5558DA46" w14:textId="77777777" w:rsidR="003B59A3" w:rsidRDefault="00157064">
      <w:pPr>
        <w:pStyle w:val="Zkladntext"/>
        <w:ind w:left="116"/>
      </w:pPr>
      <w:r>
        <w:t>a bere na</w:t>
      </w:r>
      <w:r>
        <w:rPr>
          <w:spacing w:val="-4"/>
        </w:rPr>
        <w:t xml:space="preserve"> </w:t>
      </w:r>
      <w:r>
        <w:t>vědomí:</w:t>
      </w:r>
    </w:p>
    <w:p w14:paraId="5558DA47" w14:textId="77777777" w:rsidR="003B59A3" w:rsidRDefault="003B59A3">
      <w:pPr>
        <w:pStyle w:val="Zkladntext"/>
        <w:spacing w:before="3"/>
      </w:pPr>
    </w:p>
    <w:p w14:paraId="5558DA48" w14:textId="77777777" w:rsidR="003B59A3" w:rsidRDefault="00157064">
      <w:pPr>
        <w:pStyle w:val="Odstavecseseznamem"/>
        <w:numPr>
          <w:ilvl w:val="1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rozsah prací v odhadované výši </w:t>
      </w:r>
      <w:r>
        <w:rPr>
          <w:b/>
          <w:sz w:val="24"/>
        </w:rPr>
        <w:t>45 hodin</w:t>
      </w:r>
      <w:r>
        <w:rPr>
          <w:sz w:val="24"/>
        </w:rPr>
        <w:t>,</w:t>
      </w:r>
    </w:p>
    <w:p w14:paraId="5558DA49" w14:textId="77777777" w:rsidR="003B59A3" w:rsidRDefault="00157064">
      <w:pPr>
        <w:pStyle w:val="Odstavecseseznamem"/>
        <w:numPr>
          <w:ilvl w:val="1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hodinovou sazbu </w:t>
      </w:r>
      <w:r>
        <w:rPr>
          <w:b/>
          <w:sz w:val="24"/>
        </w:rPr>
        <w:t>800 Kč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hod</w:t>
      </w:r>
      <w:r>
        <w:rPr>
          <w:sz w:val="24"/>
        </w:rPr>
        <w:t>,</w:t>
      </w:r>
    </w:p>
    <w:p w14:paraId="5558DA4A" w14:textId="77777777" w:rsidR="003B59A3" w:rsidRDefault="00157064">
      <w:pPr>
        <w:pStyle w:val="Odstavecseseznamem"/>
        <w:numPr>
          <w:ilvl w:val="1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že práce budou probíhat v období </w:t>
      </w:r>
      <w:r>
        <w:rPr>
          <w:b/>
          <w:sz w:val="24"/>
        </w:rPr>
        <w:t xml:space="preserve">prosinec </w:t>
      </w:r>
      <w:proofErr w:type="gramStart"/>
      <w:r>
        <w:rPr>
          <w:b/>
          <w:sz w:val="24"/>
        </w:rPr>
        <w:t>2025 – leden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sz w:val="24"/>
        </w:rPr>
        <w:t>,</w:t>
      </w:r>
    </w:p>
    <w:p w14:paraId="5558DA4B" w14:textId="77777777" w:rsidR="003B59A3" w:rsidRDefault="00157064">
      <w:pPr>
        <w:pStyle w:val="Odstavecseseznamem"/>
        <w:numPr>
          <w:ilvl w:val="1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že případné překročení rozsahu bude předem oznámeno a</w:t>
      </w:r>
      <w:r>
        <w:rPr>
          <w:spacing w:val="-6"/>
          <w:sz w:val="24"/>
        </w:rPr>
        <w:t xml:space="preserve"> </w:t>
      </w:r>
      <w:r>
        <w:rPr>
          <w:sz w:val="24"/>
        </w:rPr>
        <w:t>odsouhlaseno,</w:t>
      </w:r>
    </w:p>
    <w:p w14:paraId="5558DA4C" w14:textId="77777777" w:rsidR="003B59A3" w:rsidRDefault="00157064">
      <w:pPr>
        <w:pStyle w:val="Odstavecseseznamem"/>
        <w:numPr>
          <w:ilvl w:val="1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že Dodavatel povede pracovní výkaz, který poskytne Odběrateli na</w:t>
      </w:r>
      <w:r>
        <w:rPr>
          <w:spacing w:val="-11"/>
          <w:sz w:val="24"/>
        </w:rPr>
        <w:t xml:space="preserve"> </w:t>
      </w:r>
      <w:r>
        <w:rPr>
          <w:sz w:val="24"/>
        </w:rPr>
        <w:t>vyžádání.</w:t>
      </w:r>
    </w:p>
    <w:p w14:paraId="5558DA4D" w14:textId="77777777" w:rsidR="003B59A3" w:rsidRDefault="003B59A3">
      <w:pPr>
        <w:rPr>
          <w:sz w:val="24"/>
        </w:rPr>
        <w:sectPr w:rsidR="003B59A3">
          <w:pgSz w:w="11910" w:h="16840"/>
          <w:pgMar w:top="1320" w:right="1300" w:bottom="280" w:left="1300" w:header="708" w:footer="708" w:gutter="0"/>
          <w:cols w:space="708"/>
        </w:sectPr>
      </w:pPr>
    </w:p>
    <w:p w14:paraId="5558DA4E" w14:textId="77777777" w:rsidR="003B59A3" w:rsidRDefault="00157064">
      <w:pPr>
        <w:pStyle w:val="Zkladntext"/>
        <w:spacing w:before="69"/>
        <w:ind w:left="116"/>
      </w:pPr>
      <w:r>
        <w:lastRenderedPageBreak/>
        <w:t>Tento dodatek představuje smluvní potvrzení objednávky prací dle uvedené nabídky.</w:t>
      </w:r>
    </w:p>
    <w:p w14:paraId="5558DA4F" w14:textId="77777777" w:rsidR="003B59A3" w:rsidRDefault="003B59A3">
      <w:pPr>
        <w:pStyle w:val="Zkladntext"/>
        <w:rPr>
          <w:sz w:val="20"/>
        </w:rPr>
      </w:pPr>
    </w:p>
    <w:p w14:paraId="5558DA50" w14:textId="77777777" w:rsidR="003B59A3" w:rsidRDefault="00157064">
      <w:pPr>
        <w:pStyle w:val="Zkladntext"/>
        <w:spacing w:before="2"/>
        <w:rPr>
          <w:sz w:val="18"/>
        </w:rPr>
      </w:pPr>
      <w:r>
        <w:pict w14:anchorId="5558DA72">
          <v:group id="_x0000_s1026" style="position:absolute;margin-left:70.8pt;margin-top:12.45pt;width:453.7pt;height:1.5pt;z-index:-251655168;mso-wrap-distance-left:0;mso-wrap-distance-right:0;mso-position-horizontal-relative:page" coordorigin="1416,249" coordsize="9074,30">
            <v:line id="_x0000_s1039" style="position:absolute" from="1416,263" to="10488,263" strokecolor="#9f9f9f" strokeweight="1.45pt"/>
            <v:rect id="_x0000_s1038" style="position:absolute;left:1416;top:249;width:5;height:5" fillcolor="#9f9f9f" stroked="f"/>
            <v:rect id="_x0000_s1037" style="position:absolute;left:1416;top:249;width:5;height:5" fillcolor="#9f9f9f" stroked="f"/>
            <v:line id="_x0000_s1036" style="position:absolute" from="1421,252" to="10485,252" strokecolor="#9f9f9f" strokeweight=".24pt"/>
            <v:rect id="_x0000_s1035" style="position:absolute;left:10485;top:249;width:5;height:5" fillcolor="#e2e2e2" stroked="f"/>
            <v:rect id="_x0000_s1034" style="position:absolute;left:10485;top:249;width:5;height:5" fillcolor="#9f9f9f" stroked="f"/>
            <v:rect id="_x0000_s1033" style="position:absolute;left:1416;top:254;width:5;height:20" fillcolor="#9f9f9f" stroked="f"/>
            <v:rect id="_x0000_s1032" style="position:absolute;left:10485;top:254;width:5;height:20" fillcolor="#e2e2e2" stroked="f"/>
            <v:rect id="_x0000_s1031" style="position:absolute;left:1416;top:273;width:5;height:5" fillcolor="#9f9f9f" stroked="f"/>
            <v:rect id="_x0000_s1030" style="position:absolute;left:1416;top:273;width:5;height:5" fillcolor="#e2e2e2" stroked="f"/>
            <v:line id="_x0000_s1029" style="position:absolute" from="1421,276" to="10485,276" strokecolor="#e2e2e2" strokeweight=".24pt"/>
            <v:rect id="_x0000_s1028" style="position:absolute;left:10485;top:273;width:5;height:5" fillcolor="#e2e2e2" stroked="f"/>
            <v:rect id="_x0000_s1027" style="position:absolute;left:10485;top:273;width:5;height:5" fillcolor="#e2e2e2" stroked="f"/>
            <w10:wrap type="topAndBottom" anchorx="page"/>
          </v:group>
        </w:pict>
      </w:r>
    </w:p>
    <w:p w14:paraId="5558DA51" w14:textId="77777777" w:rsidR="003B59A3" w:rsidRDefault="003B59A3">
      <w:pPr>
        <w:pStyle w:val="Zkladntext"/>
        <w:spacing w:before="6"/>
        <w:rPr>
          <w:sz w:val="18"/>
        </w:rPr>
      </w:pPr>
    </w:p>
    <w:p w14:paraId="5558DA52" w14:textId="77777777" w:rsidR="003B59A3" w:rsidRDefault="00157064">
      <w:pPr>
        <w:pStyle w:val="Nadpis1"/>
        <w:spacing w:before="47"/>
      </w:pPr>
      <w:r>
        <w:rPr>
          <w:color w:val="5B9BD4"/>
        </w:rPr>
        <w:t>Článek V – Závěrečná ustanovení</w:t>
      </w:r>
    </w:p>
    <w:p w14:paraId="5558DA53" w14:textId="77777777" w:rsidR="003B59A3" w:rsidRDefault="003B59A3">
      <w:pPr>
        <w:pStyle w:val="Zkladntext"/>
        <w:rPr>
          <w:rFonts w:ascii="Calibri Light"/>
          <w:sz w:val="26"/>
        </w:rPr>
      </w:pPr>
    </w:p>
    <w:p w14:paraId="5558DA54" w14:textId="77777777" w:rsidR="003B59A3" w:rsidRDefault="003B59A3">
      <w:pPr>
        <w:pStyle w:val="Zkladntext"/>
        <w:spacing w:before="6"/>
        <w:rPr>
          <w:rFonts w:ascii="Calibri Light"/>
          <w:sz w:val="22"/>
        </w:rPr>
      </w:pPr>
    </w:p>
    <w:p w14:paraId="5558DA55" w14:textId="77777777" w:rsidR="003B59A3" w:rsidRDefault="00157064">
      <w:pPr>
        <w:pStyle w:val="Odstavecseseznamem"/>
        <w:numPr>
          <w:ilvl w:val="0"/>
          <w:numId w:val="1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Ostatní ustanovení Servisní smlouvy zůstávají beze</w:t>
      </w:r>
      <w:r>
        <w:rPr>
          <w:spacing w:val="-10"/>
          <w:sz w:val="24"/>
        </w:rPr>
        <w:t xml:space="preserve"> </w:t>
      </w:r>
      <w:r>
        <w:rPr>
          <w:sz w:val="24"/>
        </w:rPr>
        <w:t>změny.</w:t>
      </w:r>
    </w:p>
    <w:p w14:paraId="5558DA56" w14:textId="77777777" w:rsidR="003B59A3" w:rsidRDefault="00157064">
      <w:pPr>
        <w:pStyle w:val="Odstavecseseznamem"/>
        <w:numPr>
          <w:ilvl w:val="0"/>
          <w:numId w:val="1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Tento dodatek tvoří nedílnou součást Servisní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14:paraId="5558DA57" w14:textId="77777777" w:rsidR="003B59A3" w:rsidRDefault="00157064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Dodatek nabývá účinnosti dnem podpisu oběma</w:t>
      </w:r>
      <w:r>
        <w:rPr>
          <w:spacing w:val="-4"/>
          <w:sz w:val="24"/>
        </w:rPr>
        <w:t xml:space="preserve"> </w:t>
      </w:r>
      <w:r>
        <w:rPr>
          <w:sz w:val="24"/>
        </w:rPr>
        <w:t>stranami.</w:t>
      </w:r>
    </w:p>
    <w:p w14:paraId="5558DA58" w14:textId="77777777" w:rsidR="003B59A3" w:rsidRDefault="00157064">
      <w:pPr>
        <w:pStyle w:val="Odstavecseseznamem"/>
        <w:numPr>
          <w:ilvl w:val="0"/>
          <w:numId w:val="1"/>
        </w:numPr>
        <w:tabs>
          <w:tab w:val="left" w:pos="837"/>
        </w:tabs>
        <w:ind w:right="116"/>
        <w:rPr>
          <w:sz w:val="24"/>
        </w:rPr>
      </w:pPr>
      <w:r>
        <w:rPr>
          <w:sz w:val="24"/>
        </w:rPr>
        <w:t>Dodatek je vyhotoven ve dvou stejnopisech, z nichž každá smluvní strana obdrží jedno vyhotovení.</w:t>
      </w:r>
    </w:p>
    <w:p w14:paraId="5558DA59" w14:textId="77777777" w:rsidR="003B59A3" w:rsidRDefault="003B59A3">
      <w:pPr>
        <w:pStyle w:val="Zkladntext"/>
        <w:rPr>
          <w:sz w:val="26"/>
        </w:rPr>
      </w:pPr>
    </w:p>
    <w:p w14:paraId="5558DA5A" w14:textId="77777777" w:rsidR="003B59A3" w:rsidRDefault="003B59A3">
      <w:pPr>
        <w:pStyle w:val="Zkladntext"/>
        <w:rPr>
          <w:sz w:val="26"/>
        </w:rPr>
      </w:pPr>
    </w:p>
    <w:p w14:paraId="5558DA5B" w14:textId="77777777" w:rsidR="003B59A3" w:rsidRDefault="003B59A3">
      <w:pPr>
        <w:pStyle w:val="Zkladntext"/>
        <w:rPr>
          <w:sz w:val="26"/>
        </w:rPr>
      </w:pPr>
    </w:p>
    <w:p w14:paraId="5558DA5C" w14:textId="77777777" w:rsidR="003B59A3" w:rsidRDefault="003B59A3">
      <w:pPr>
        <w:pStyle w:val="Zkladntext"/>
        <w:rPr>
          <w:sz w:val="26"/>
        </w:rPr>
      </w:pPr>
    </w:p>
    <w:p w14:paraId="5558DA5D" w14:textId="77777777" w:rsidR="003B59A3" w:rsidRDefault="003B59A3">
      <w:pPr>
        <w:pStyle w:val="Zkladntext"/>
        <w:rPr>
          <w:sz w:val="26"/>
        </w:rPr>
      </w:pPr>
    </w:p>
    <w:p w14:paraId="5558DA5E" w14:textId="77777777" w:rsidR="003B59A3" w:rsidRDefault="003B59A3">
      <w:pPr>
        <w:pStyle w:val="Zkladntext"/>
        <w:rPr>
          <w:sz w:val="26"/>
        </w:rPr>
      </w:pPr>
    </w:p>
    <w:p w14:paraId="5558DA5F" w14:textId="77777777" w:rsidR="003B59A3" w:rsidRDefault="00157064">
      <w:pPr>
        <w:tabs>
          <w:tab w:val="left" w:pos="5073"/>
        </w:tabs>
        <w:spacing w:before="161"/>
        <w:ind w:left="116"/>
        <w:rPr>
          <w:rFonts w:ascii="Calibri" w:hAnsi="Calibri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dodavatele:</w:t>
      </w:r>
      <w:r>
        <w:rPr>
          <w:rFonts w:ascii="Calibri" w:hAnsi="Calibri"/>
        </w:rPr>
        <w:tab/>
        <w:t>Za odběratele:</w:t>
      </w:r>
    </w:p>
    <w:p w14:paraId="5558DA60" w14:textId="77777777" w:rsidR="003B59A3" w:rsidRDefault="003B59A3">
      <w:pPr>
        <w:pStyle w:val="Zkladntext"/>
        <w:rPr>
          <w:rFonts w:ascii="Calibri"/>
          <w:sz w:val="22"/>
        </w:rPr>
      </w:pPr>
    </w:p>
    <w:p w14:paraId="5558DA61" w14:textId="77777777" w:rsidR="003B59A3" w:rsidRDefault="003B59A3">
      <w:pPr>
        <w:pStyle w:val="Zkladntext"/>
        <w:rPr>
          <w:rFonts w:ascii="Calibri"/>
          <w:sz w:val="22"/>
        </w:rPr>
      </w:pPr>
    </w:p>
    <w:p w14:paraId="5558DA62" w14:textId="77777777" w:rsidR="003B59A3" w:rsidRDefault="00157064">
      <w:pPr>
        <w:tabs>
          <w:tab w:val="left" w:pos="5073"/>
        </w:tabs>
        <w:ind w:left="116"/>
        <w:rPr>
          <w:rFonts w:ascii="Calibri" w:hAnsi="Calibri"/>
        </w:rPr>
      </w:pPr>
      <w:r>
        <w:rPr>
          <w:rFonts w:ascii="Calibri" w:hAnsi="Calibri"/>
        </w:rPr>
        <w:t>Jméno: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…………………………………………………………</w:t>
      </w:r>
      <w:r>
        <w:rPr>
          <w:rFonts w:ascii="Calibri" w:hAnsi="Calibri"/>
        </w:rPr>
        <w:tab/>
        <w:t>Jméno: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………………………………………………………….</w:t>
      </w:r>
    </w:p>
    <w:p w14:paraId="5558DA63" w14:textId="77777777" w:rsidR="003B59A3" w:rsidRDefault="003B59A3">
      <w:pPr>
        <w:pStyle w:val="Zkladntext"/>
        <w:rPr>
          <w:rFonts w:ascii="Calibri"/>
          <w:sz w:val="22"/>
        </w:rPr>
      </w:pPr>
    </w:p>
    <w:p w14:paraId="5558DA64" w14:textId="77777777" w:rsidR="003B59A3" w:rsidRDefault="003B59A3">
      <w:pPr>
        <w:pStyle w:val="Zkladntext"/>
        <w:rPr>
          <w:rFonts w:ascii="Calibri"/>
          <w:sz w:val="22"/>
        </w:rPr>
      </w:pPr>
    </w:p>
    <w:p w14:paraId="5558DA65" w14:textId="77777777" w:rsidR="003B59A3" w:rsidRDefault="003B59A3">
      <w:pPr>
        <w:pStyle w:val="Zkladntext"/>
        <w:spacing w:before="10"/>
        <w:rPr>
          <w:rFonts w:ascii="Calibri"/>
        </w:rPr>
      </w:pPr>
    </w:p>
    <w:p w14:paraId="5558DA66" w14:textId="0732C98A" w:rsidR="003B59A3" w:rsidRDefault="00157064">
      <w:pPr>
        <w:tabs>
          <w:tab w:val="left" w:pos="5073"/>
        </w:tabs>
        <w:ind w:left="116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> </w:t>
      </w:r>
      <w:r>
        <w:rPr>
          <w:rFonts w:ascii="Calibri" w:hAnsi="Calibri"/>
        </w:rPr>
        <w:t xml:space="preserve">Praze    </w:t>
      </w:r>
      <w:r>
        <w:rPr>
          <w:rFonts w:ascii="Calibri" w:hAnsi="Calibri"/>
        </w:rPr>
        <w:t>dne 04. 12. 2025</w:t>
      </w:r>
      <w:r>
        <w:rPr>
          <w:rFonts w:ascii="Calibri" w:hAnsi="Calibri"/>
        </w:rPr>
        <w:tab/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> </w:t>
      </w:r>
      <w:r>
        <w:rPr>
          <w:rFonts w:ascii="Calibri" w:hAnsi="Calibri"/>
        </w:rPr>
        <w:t>Praze    dne 04.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2025</w:t>
      </w:r>
    </w:p>
    <w:p w14:paraId="5558DA67" w14:textId="77777777" w:rsidR="003B59A3" w:rsidRDefault="003B59A3">
      <w:pPr>
        <w:pStyle w:val="Zkladntext"/>
        <w:rPr>
          <w:rFonts w:ascii="Calibri"/>
          <w:sz w:val="22"/>
        </w:rPr>
      </w:pPr>
    </w:p>
    <w:p w14:paraId="5558DA68" w14:textId="77777777" w:rsidR="003B59A3" w:rsidRDefault="003B59A3">
      <w:pPr>
        <w:pStyle w:val="Zkladntext"/>
        <w:rPr>
          <w:rFonts w:ascii="Calibri"/>
          <w:sz w:val="22"/>
        </w:rPr>
      </w:pPr>
    </w:p>
    <w:p w14:paraId="5558DA69" w14:textId="77777777" w:rsidR="003B59A3" w:rsidRDefault="003B59A3">
      <w:pPr>
        <w:pStyle w:val="Zkladntext"/>
        <w:rPr>
          <w:rFonts w:ascii="Calibri"/>
          <w:sz w:val="22"/>
        </w:rPr>
      </w:pPr>
    </w:p>
    <w:p w14:paraId="5558DA6A" w14:textId="77777777" w:rsidR="003B59A3" w:rsidRDefault="003B59A3">
      <w:pPr>
        <w:pStyle w:val="Zkladntext"/>
        <w:rPr>
          <w:rFonts w:ascii="Calibri"/>
          <w:sz w:val="22"/>
        </w:rPr>
      </w:pPr>
    </w:p>
    <w:p w14:paraId="5558DA6B" w14:textId="77777777" w:rsidR="003B59A3" w:rsidRDefault="003B59A3">
      <w:pPr>
        <w:pStyle w:val="Zkladntext"/>
        <w:rPr>
          <w:rFonts w:ascii="Calibri"/>
          <w:sz w:val="22"/>
        </w:rPr>
      </w:pPr>
    </w:p>
    <w:p w14:paraId="5558DA6C" w14:textId="77777777" w:rsidR="003B59A3" w:rsidRDefault="003B59A3">
      <w:pPr>
        <w:pStyle w:val="Zkladntext"/>
        <w:rPr>
          <w:rFonts w:ascii="Calibri"/>
          <w:sz w:val="22"/>
        </w:rPr>
      </w:pPr>
    </w:p>
    <w:p w14:paraId="5558DA6D" w14:textId="77777777" w:rsidR="003B59A3" w:rsidRDefault="003B59A3">
      <w:pPr>
        <w:pStyle w:val="Zkladntext"/>
        <w:spacing w:before="7"/>
        <w:rPr>
          <w:rFonts w:ascii="Calibri"/>
          <w:sz w:val="26"/>
        </w:rPr>
      </w:pPr>
    </w:p>
    <w:p w14:paraId="5558DA6E" w14:textId="77777777" w:rsidR="003B59A3" w:rsidRDefault="00157064">
      <w:pPr>
        <w:tabs>
          <w:tab w:val="left" w:pos="5073"/>
        </w:tabs>
        <w:spacing w:line="487" w:lineRule="auto"/>
        <w:ind w:left="116" w:right="27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1"/>
        </w:rPr>
        <w:t xml:space="preserve">…………………………………………………………………… </w:t>
      </w:r>
      <w:r>
        <w:rPr>
          <w:rFonts w:ascii="Calibri" w:hAnsi="Calibri"/>
        </w:rPr>
        <w:t>Razítko, podpis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Dodavatele</w:t>
      </w:r>
      <w:r>
        <w:rPr>
          <w:rFonts w:ascii="Calibri" w:hAnsi="Calibri"/>
        </w:rPr>
        <w:tab/>
        <w:t>Razítko, podpis za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Odběratele</w:t>
      </w:r>
    </w:p>
    <w:sectPr w:rsidR="003B59A3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3E79"/>
    <w:multiLevelType w:val="hybridMultilevel"/>
    <w:tmpl w:val="B950DFBC"/>
    <w:lvl w:ilvl="0" w:tplc="B5029758">
      <w:start w:val="1"/>
      <w:numFmt w:val="lowerLetter"/>
      <w:lvlText w:val="%1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6E7E56D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2" w:tplc="CBA28690">
      <w:numFmt w:val="bullet"/>
      <w:lvlText w:val="•"/>
      <w:lvlJc w:val="left"/>
      <w:pPr>
        <w:ind w:left="1780" w:hanging="360"/>
      </w:pPr>
      <w:rPr>
        <w:rFonts w:hint="default"/>
        <w:lang w:val="cs-CZ" w:eastAsia="cs-CZ" w:bidi="cs-CZ"/>
      </w:rPr>
    </w:lvl>
    <w:lvl w:ilvl="3" w:tplc="D7CAE048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 w:tplc="C9E264CA">
      <w:numFmt w:val="bullet"/>
      <w:lvlText w:val="•"/>
      <w:lvlJc w:val="left"/>
      <w:pPr>
        <w:ind w:left="3662" w:hanging="360"/>
      </w:pPr>
      <w:rPr>
        <w:rFonts w:hint="default"/>
        <w:lang w:val="cs-CZ" w:eastAsia="cs-CZ" w:bidi="cs-CZ"/>
      </w:rPr>
    </w:lvl>
    <w:lvl w:ilvl="5" w:tplc="F278810A">
      <w:numFmt w:val="bullet"/>
      <w:lvlText w:val="•"/>
      <w:lvlJc w:val="left"/>
      <w:pPr>
        <w:ind w:left="4602" w:hanging="360"/>
      </w:pPr>
      <w:rPr>
        <w:rFonts w:hint="default"/>
        <w:lang w:val="cs-CZ" w:eastAsia="cs-CZ" w:bidi="cs-CZ"/>
      </w:rPr>
    </w:lvl>
    <w:lvl w:ilvl="6" w:tplc="020CF5D4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7" w:tplc="4FD06AB2">
      <w:numFmt w:val="bullet"/>
      <w:lvlText w:val="•"/>
      <w:lvlJc w:val="left"/>
      <w:pPr>
        <w:ind w:left="6484" w:hanging="360"/>
      </w:pPr>
      <w:rPr>
        <w:rFonts w:hint="default"/>
        <w:lang w:val="cs-CZ" w:eastAsia="cs-CZ" w:bidi="cs-CZ"/>
      </w:rPr>
    </w:lvl>
    <w:lvl w:ilvl="8" w:tplc="957C1AAC">
      <w:numFmt w:val="bullet"/>
      <w:lvlText w:val="•"/>
      <w:lvlJc w:val="left"/>
      <w:pPr>
        <w:ind w:left="742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CAD5B06"/>
    <w:multiLevelType w:val="hybridMultilevel"/>
    <w:tmpl w:val="89BEC7E2"/>
    <w:lvl w:ilvl="0" w:tplc="A35C87C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1" w:tplc="3CBE9624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7FEE3814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E4E6D834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E1A8713C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978A1422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D8A27C94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CB9CADA2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B7A26ACE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 w16cid:durableId="735666434">
    <w:abstractNumId w:val="1"/>
  </w:num>
  <w:num w:numId="2" w16cid:durableId="143578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9A3"/>
    <w:rsid w:val="00157064"/>
    <w:rsid w:val="003B59A3"/>
    <w:rsid w:val="004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5558D9F5"/>
  <w15:docId w15:val="{A2AEAECB-A449-4C8A-90DE-E2366E9C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  <w:pPr>
      <w:spacing w:line="248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Pilotmedia</dc:creator>
  <cp:lastModifiedBy>Jana Charalambidisová</cp:lastModifiedBy>
  <cp:revision>2</cp:revision>
  <dcterms:created xsi:type="dcterms:W3CDTF">2025-12-11T08:30:00Z</dcterms:created>
  <dcterms:modified xsi:type="dcterms:W3CDTF">2025-12-11T08:39:00Z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</Properties>
</file>