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54B" w:rsidRDefault="00D116E9">
      <w:pPr>
        <w:pStyle w:val="Bodytext30"/>
        <w:shd w:val="clear" w:color="auto" w:fill="auto"/>
      </w:pPr>
      <w:r>
        <w:t>Na jedné straně:</w:t>
      </w:r>
    </w:p>
    <w:p w:rsidR="00E0054B" w:rsidRDefault="00D116E9">
      <w:pPr>
        <w:pStyle w:val="Heading30"/>
        <w:keepNext/>
        <w:keepLines/>
        <w:shd w:val="clear" w:color="auto" w:fill="auto"/>
      </w:pPr>
      <w:bookmarkStart w:id="0" w:name="bookmark0"/>
      <w:r>
        <w:t>Nemocnice Třinec, příspěvková organizace</w:t>
      </w:r>
      <w:bookmarkEnd w:id="0"/>
    </w:p>
    <w:p w:rsidR="00E0054B" w:rsidRDefault="00D116E9">
      <w:pPr>
        <w:pStyle w:val="Bodytext20"/>
        <w:shd w:val="clear" w:color="auto" w:fill="auto"/>
        <w:ind w:right="4740" w:firstLine="0"/>
      </w:pPr>
      <w:r>
        <w:t xml:space="preserve">se sídlem Kaštanová </w:t>
      </w:r>
      <w:r>
        <w:rPr>
          <w:rStyle w:val="Bodytext21"/>
        </w:rPr>
        <w:t xml:space="preserve">268, Dolní </w:t>
      </w:r>
      <w:proofErr w:type="spellStart"/>
      <w:r>
        <w:rPr>
          <w:rStyle w:val="Bodytext21"/>
        </w:rPr>
        <w:t>Líštná</w:t>
      </w:r>
      <w:proofErr w:type="spellEnd"/>
      <w:r>
        <w:rPr>
          <w:rStyle w:val="Bodytext21"/>
        </w:rPr>
        <w:t xml:space="preserve">, 739 61 Třinec </w:t>
      </w:r>
      <w:r>
        <w:t>IČ: 005 34 242 DIČ: CZ00534242</w:t>
      </w:r>
    </w:p>
    <w:p w:rsidR="00E0054B" w:rsidRDefault="00D116E9">
      <w:pPr>
        <w:pStyle w:val="Bodytext20"/>
        <w:shd w:val="clear" w:color="auto" w:fill="auto"/>
        <w:spacing w:after="236"/>
        <w:ind w:right="1160" w:firstLine="0"/>
      </w:pPr>
      <w:r>
        <w:t xml:space="preserve">zapsána v obchodním rejstříku vedeném u Krajského soudu v Ostravě, oddíl </w:t>
      </w:r>
      <w:proofErr w:type="spellStart"/>
      <w:r>
        <w:t>Pr</w:t>
      </w:r>
      <w:proofErr w:type="spellEnd"/>
      <w:r>
        <w:t xml:space="preserve">, vložka č. 908 zastoupena: Bc. Jaroslav </w:t>
      </w:r>
      <w:proofErr w:type="spellStart"/>
      <w:r>
        <w:t>Brzyszkowski</w:t>
      </w:r>
      <w:proofErr w:type="spellEnd"/>
      <w:r>
        <w:t xml:space="preserve">, ředitel (dále jen jako </w:t>
      </w:r>
      <w:r>
        <w:rPr>
          <w:rStyle w:val="Bodytext2BoldItalic"/>
        </w:rPr>
        <w:t>„účastník</w:t>
      </w:r>
      <w:r>
        <w:t xml:space="preserve"> </w:t>
      </w:r>
      <w:r>
        <w:rPr>
          <w:rStyle w:val="Bodytext2105ptBold"/>
        </w:rPr>
        <w:t>1</w:t>
      </w:r>
      <w:r>
        <w:t>")</w:t>
      </w:r>
    </w:p>
    <w:p w:rsidR="00E0054B" w:rsidRDefault="00D116E9">
      <w:pPr>
        <w:pStyle w:val="Bodytext30"/>
        <w:shd w:val="clear" w:color="auto" w:fill="auto"/>
        <w:spacing w:line="269" w:lineRule="exact"/>
      </w:pPr>
      <w:r>
        <w:t>a na straně druhé:</w:t>
      </w:r>
    </w:p>
    <w:p w:rsidR="00E0054B" w:rsidRDefault="00D116E9">
      <w:pPr>
        <w:pStyle w:val="Heading30"/>
        <w:keepNext/>
        <w:keepLines/>
        <w:shd w:val="clear" w:color="auto" w:fill="auto"/>
        <w:spacing w:line="269" w:lineRule="exact"/>
      </w:pPr>
      <w:bookmarkStart w:id="1" w:name="bookmark1"/>
      <w:proofErr w:type="spellStart"/>
      <w:r>
        <w:t>Seyfor</w:t>
      </w:r>
      <w:proofErr w:type="spellEnd"/>
      <w:r>
        <w:t>, a. s.</w:t>
      </w:r>
      <w:bookmarkEnd w:id="1"/>
    </w:p>
    <w:p w:rsidR="00E0054B" w:rsidRDefault="00D116E9">
      <w:pPr>
        <w:pStyle w:val="Bodytext20"/>
        <w:shd w:val="clear" w:color="auto" w:fill="auto"/>
        <w:spacing w:line="269" w:lineRule="exact"/>
        <w:ind w:right="1160" w:firstLine="0"/>
      </w:pPr>
      <w:r>
        <w:t xml:space="preserve">se sídlem Drobného 555/49, </w:t>
      </w:r>
      <w:proofErr w:type="spellStart"/>
      <w:r>
        <w:t>Ponava</w:t>
      </w:r>
      <w:proofErr w:type="spellEnd"/>
      <w:r>
        <w:t>, 602 00 Brno IČ: 015 7</w:t>
      </w:r>
      <w:r>
        <w:t>2 377 DIČ: CZ01572377</w:t>
      </w:r>
    </w:p>
    <w:p w:rsidR="00E0054B" w:rsidRDefault="00D116E9">
      <w:pPr>
        <w:pStyle w:val="Bodytext20"/>
        <w:shd w:val="clear" w:color="auto" w:fill="auto"/>
        <w:spacing w:after="499" w:line="269" w:lineRule="exact"/>
        <w:ind w:right="1160" w:firstLine="0"/>
      </w:pPr>
      <w:r>
        <w:t xml:space="preserve">zapsána v obchodním rejstříku vedeném u Krajského soudu v Brně, oddíl B, vložka č. 7072 zastoupena: Ing. Jan </w:t>
      </w:r>
      <w:proofErr w:type="spellStart"/>
      <w:r>
        <w:t>Tomíšek</w:t>
      </w:r>
      <w:proofErr w:type="spellEnd"/>
      <w:r>
        <w:t>, člen představenstva (dále jen jako „</w:t>
      </w:r>
      <w:r>
        <w:rPr>
          <w:rStyle w:val="Bodytext2BoldItalic"/>
        </w:rPr>
        <w:t>účastník</w:t>
      </w:r>
      <w:r>
        <w:t xml:space="preserve"> </w:t>
      </w:r>
      <w:r>
        <w:rPr>
          <w:rStyle w:val="Bodytext2105ptBold"/>
        </w:rPr>
        <w:t>2</w:t>
      </w:r>
      <w:r>
        <w:t>")</w:t>
      </w:r>
    </w:p>
    <w:p w:rsidR="00E0054B" w:rsidRDefault="00D116E9">
      <w:pPr>
        <w:pStyle w:val="Bodytext40"/>
        <w:shd w:val="clear" w:color="auto" w:fill="auto"/>
        <w:spacing w:before="0" w:after="556"/>
      </w:pPr>
      <w:r>
        <w:t>uzavřeli v souladu s ustanoveními § 1903 a násl. zák. č. 89/2012 Sb</w:t>
      </w:r>
      <w:r>
        <w:t>., občanský zákoník, ve znění pozdějších</w:t>
      </w:r>
      <w:r>
        <w:br/>
        <w:t xml:space="preserve">předpisů (dále jen </w:t>
      </w:r>
      <w:r>
        <w:rPr>
          <w:rStyle w:val="Bodytext4Italic"/>
        </w:rPr>
        <w:t>„občanský zákoník"),</w:t>
      </w:r>
      <w:r>
        <w:t xml:space="preserve"> níže uvedeného dne, měsíce a roku tuto</w:t>
      </w:r>
    </w:p>
    <w:p w:rsidR="00E0054B" w:rsidRDefault="00D116E9">
      <w:pPr>
        <w:pStyle w:val="Heading20"/>
        <w:keepNext/>
        <w:keepLines/>
        <w:shd w:val="clear" w:color="auto" w:fill="auto"/>
        <w:spacing w:before="0" w:after="507" w:line="300" w:lineRule="exact"/>
      </w:pPr>
      <w:bookmarkStart w:id="2" w:name="bookmark2"/>
      <w:r>
        <w:t>dohodu o narovnání</w:t>
      </w:r>
      <w:bookmarkEnd w:id="2"/>
    </w:p>
    <w:p w:rsidR="00E0054B" w:rsidRDefault="00D116E9">
      <w:pPr>
        <w:pStyle w:val="Heading30"/>
        <w:keepNext/>
        <w:keepLines/>
        <w:shd w:val="clear" w:color="auto" w:fill="auto"/>
        <w:spacing w:line="269" w:lineRule="exact"/>
        <w:jc w:val="center"/>
      </w:pPr>
      <w:bookmarkStart w:id="3" w:name="bookmark3"/>
      <w:r>
        <w:t>Článek I.</w:t>
      </w:r>
      <w:bookmarkEnd w:id="3"/>
    </w:p>
    <w:p w:rsidR="00E0054B" w:rsidRDefault="00D116E9">
      <w:pPr>
        <w:pStyle w:val="Heading30"/>
        <w:keepNext/>
        <w:keepLines/>
        <w:shd w:val="clear" w:color="auto" w:fill="auto"/>
        <w:spacing w:line="269" w:lineRule="exact"/>
        <w:jc w:val="center"/>
      </w:pPr>
      <w:bookmarkStart w:id="4" w:name="bookmark4"/>
      <w:r>
        <w:t>Preambule</w:t>
      </w:r>
      <w:bookmarkEnd w:id="4"/>
    </w:p>
    <w:p w:rsidR="00E0054B" w:rsidRDefault="00D116E9">
      <w:pPr>
        <w:pStyle w:val="Bodytext20"/>
        <w:numPr>
          <w:ilvl w:val="0"/>
          <w:numId w:val="1"/>
        </w:numPr>
        <w:shd w:val="clear" w:color="auto" w:fill="auto"/>
        <w:tabs>
          <w:tab w:val="left" w:pos="568"/>
        </w:tabs>
        <w:spacing w:line="269" w:lineRule="exact"/>
        <w:ind w:left="600"/>
        <w:jc w:val="both"/>
      </w:pPr>
      <w:r>
        <w:t xml:space="preserve">Účastníci 1 a 2 shodně prohlašují, že spolu v letech 2017 až 2025 účastník 1 jako uživatel a účastník 2 (resp. dříve jeho právní předchůdce - společnost </w:t>
      </w:r>
      <w:proofErr w:type="spellStart"/>
      <w:r>
        <w:t>Vema,a.s</w:t>
      </w:r>
      <w:proofErr w:type="spellEnd"/>
      <w:r>
        <w:t xml:space="preserve">., IČ: 262 26 </w:t>
      </w:r>
      <w:r>
        <w:rPr>
          <w:rStyle w:val="Bodytext22"/>
        </w:rPr>
        <w:t>511,</w:t>
      </w:r>
      <w:r>
        <w:t xml:space="preserve"> se sídlem Okružní 871/3a, Lesná, 638 00 Brno, která pak zanikla a jejíž jměn</w:t>
      </w:r>
      <w:r>
        <w:t xml:space="preserve">í přešlo na účastníka 2 na základě projektu fúze sloučením ze dne </w:t>
      </w:r>
      <w:proofErr w:type="gramStart"/>
      <w:r>
        <w:t>15.5.2020</w:t>
      </w:r>
      <w:proofErr w:type="gramEnd"/>
      <w:r>
        <w:t>, který byl schválen dne 26.6.2020) jako poskytovatel uzavřeli vícero licenčních smluv na dobu určitou (ve znění pozdějších změn a dodatků, uzavřených na základě jednotlivých objedn</w:t>
      </w:r>
      <w:r>
        <w:t xml:space="preserve">ávek účastníka 1), jejichž předmětem bylo úplatné poskytnutí oprávnění účastníku 1 na užívání autorského díla účastníka 2 - programového vybavení IS </w:t>
      </w:r>
      <w:proofErr w:type="spellStart"/>
      <w:r>
        <w:t>Vema</w:t>
      </w:r>
      <w:proofErr w:type="spellEnd"/>
      <w:r>
        <w:t xml:space="preserve"> (jeho jednotlivých aplikací/modulů), jako nevýhradní licence v ujednaném množstevním rozsahu (dále jen</w:t>
      </w:r>
      <w:r>
        <w:t xml:space="preserve"> „Licence"), vč. poskytování souvisejících služeb (všechny tyto licenční smlouvy, ve znění pozdějších změn a dodatků, dále jen „Licenční smlouvy").</w:t>
      </w:r>
    </w:p>
    <w:p w:rsidR="00E0054B" w:rsidRDefault="00D116E9">
      <w:pPr>
        <w:pStyle w:val="Bodytext20"/>
        <w:numPr>
          <w:ilvl w:val="0"/>
          <w:numId w:val="1"/>
        </w:numPr>
        <w:shd w:val="clear" w:color="auto" w:fill="auto"/>
        <w:tabs>
          <w:tab w:val="left" w:pos="568"/>
        </w:tabs>
        <w:ind w:left="600"/>
        <w:jc w:val="both"/>
      </w:pPr>
      <w:r>
        <w:t>Účastníci 1 a 2 rovněž shodně prohlašují, že ačkoli shora uvedené Licenční smlouvy podléhají povinnému uveře</w:t>
      </w:r>
      <w:r>
        <w:t>jnění prostřednictvím registru smluv dle zákona č. 340/2015 Sb., o zvláštních podmínkách účinnosti některých smluv, uveřejňování těchto smluv a o registru smluv (zákon o registru smluv), u předmětných Licenčních smluv tato povinnost splněna nebyla. Smlouva</w:t>
      </w:r>
      <w:r>
        <w:t xml:space="preserve">, na niž se vztahuje povinnost uveřejnění prostřednictvím registru smluv, pak dle </w:t>
      </w:r>
      <w:proofErr w:type="spellStart"/>
      <w:r>
        <w:t>ust</w:t>
      </w:r>
      <w:proofErr w:type="spellEnd"/>
      <w:r>
        <w:t xml:space="preserve">. § 6 odst. 1 zákona o registru smluv nabývá účinnosti nejdříve dnem uveřejnění, přičemž dle </w:t>
      </w:r>
      <w:proofErr w:type="spellStart"/>
      <w:r>
        <w:t>ust</w:t>
      </w:r>
      <w:proofErr w:type="spellEnd"/>
      <w:r>
        <w:t>. § 7 odst. 1 zákona o registru smluv platí, že nebyla-li smlouva, na niž s</w:t>
      </w:r>
      <w:r>
        <w:t>e vztahuje povinnost uveřejnění prostřednictvím registru smluv, uveřejněna prostřednictvím registru smluv ani do tří měsíců ode dne, kdy byla uzavřena, platí, že je zrušena od počátku. Následky takového zrušení smlouvy od počátku jsou pak srovnatelné s abs</w:t>
      </w:r>
      <w:r>
        <w:t>olutní neplatností takové smlouvy.</w:t>
      </w:r>
    </w:p>
    <w:p w:rsidR="00E0054B" w:rsidRDefault="00D116E9">
      <w:pPr>
        <w:pStyle w:val="Bodytext20"/>
        <w:numPr>
          <w:ilvl w:val="0"/>
          <w:numId w:val="1"/>
        </w:numPr>
        <w:shd w:val="clear" w:color="auto" w:fill="auto"/>
        <w:tabs>
          <w:tab w:val="left" w:pos="568"/>
        </w:tabs>
        <w:ind w:left="600"/>
        <w:jc w:val="both"/>
      </w:pPr>
      <w:r>
        <w:t>S ohledem na to, že tedy předmětné Licenční smlouvy ve stanovené 3 měsíční lhůtě nebyly uveřejněny prostřednictvím registru smluv, nastaly účinky popisované v předchozím odstavci a Licenční smlouvy se tak k dnešnímu dni p</w:t>
      </w:r>
      <w:r>
        <w:t>ovažují již za zrušené (s účinky od počátku), což je mezi účastníky 1 a 2 rovněž nesporné.</w:t>
      </w:r>
    </w:p>
    <w:p w:rsidR="00E0054B" w:rsidRDefault="00D116E9">
      <w:pPr>
        <w:pStyle w:val="Bodytext20"/>
        <w:numPr>
          <w:ilvl w:val="0"/>
          <w:numId w:val="1"/>
        </w:numPr>
        <w:shd w:val="clear" w:color="auto" w:fill="auto"/>
        <w:tabs>
          <w:tab w:val="left" w:pos="569"/>
        </w:tabs>
        <w:spacing w:after="56"/>
        <w:ind w:left="600"/>
        <w:jc w:val="both"/>
      </w:pPr>
      <w:r>
        <w:t xml:space="preserve">Současně účastníci 1 a 2 společně prohlašují a vzájemně si potvrzují, že v souvislosti a za účelem realizace shora uvedených Licenčních smluv si již účastníci 1 a 2 </w:t>
      </w:r>
      <w:r>
        <w:t>poskytli vzájemně určitá plnění, když zejména ze strany účastníka 2 byla účastníkovi 1 Licence poskytnuta, resp. bylo účastníku 1 umožněno dané programové vybavení účastníka 2 využívat, jakož byly i účastníkem 2 poskytnuty účastníku 1 další související slu</w:t>
      </w:r>
      <w:r>
        <w:t>žby dle uvedených Licenčních smluv, a účastníkem 1 byla Licence, resp. programové vybavení účastníka 2, využíváno, jakož byly účastníkem 1 využívány i další související služby dle uvedených Licenčních smluv, když cena (odměna) takto účastníkem 2 poskytnuté</w:t>
      </w:r>
      <w:r>
        <w:t xml:space="preserve">ho a účastníkem 1 využívaného (odebraného) plnění byla účastníku 1 vyúčtována </w:t>
      </w:r>
      <w:r>
        <w:lastRenderedPageBreak/>
        <w:t>příslušnými fakturami účastníka 2, které pak byly účastníkem 1 v plné výši uhrazeny. Seznam těchto faktur, kterými byla účastníkem 2 vyúčtována účastníku 1 cena (odměna) poskytnu</w:t>
      </w:r>
      <w:r>
        <w:t>té Licence (resp. umožnění využívat dané programové vybavení účastníka 2), pak tvoří Přílohu č. 1 této dohody, a seznam těchto faktur, kterými byla účastníkem 2 vyúčtována účastníku 1 cena (odměna) za poskytnutí souvisejících služeb dle uvedených Licenčníc</w:t>
      </w:r>
      <w:r>
        <w:t xml:space="preserve">h smluv, pak tvoří Přílohu č. 2 této dohody. Celkem tak byla účastníkem 1 uhrazena účastníkovi 2 z titulu ceny (odměny) za poskytnuté Licence (resp. umožnění využívat dané programové vybavení účastníka 2) částka 1.783.106,- Kč bez DPH (2.157.558,69 Kč vč. </w:t>
      </w:r>
      <w:r>
        <w:t>DPH) a z titulu ceny (odměny) za poskytnuté související služby dle Licenčních smluv částka 878.565,15 Kč bez DPH (936.566,52 Kč vč. DPH).</w:t>
      </w:r>
    </w:p>
    <w:p w:rsidR="00E0054B" w:rsidRDefault="00D116E9">
      <w:pPr>
        <w:pStyle w:val="Bodytext20"/>
        <w:numPr>
          <w:ilvl w:val="0"/>
          <w:numId w:val="1"/>
        </w:numPr>
        <w:shd w:val="clear" w:color="auto" w:fill="auto"/>
        <w:tabs>
          <w:tab w:val="left" w:pos="569"/>
        </w:tabs>
        <w:spacing w:after="60" w:line="269" w:lineRule="exact"/>
        <w:ind w:left="600"/>
        <w:jc w:val="both"/>
      </w:pPr>
      <w:r>
        <w:t>Účastníci 1 a 2 pak shodně prohlašují, že právní důvod shora specifikovaných právních jednání a v odst. 4 tohoto článk</w:t>
      </w:r>
      <w:r>
        <w:t>u specifikovaných poskytnutých plnění v souvislosti s Licenčními smlouvami je s ohledem na skutečnosti uvedené v odst. 2 a 3 tohoto článku celkově právně pochybný, a mezi účastníky této dohody tak panují spory ohledně právního důvodu, platnosti a účinnosti</w:t>
      </w:r>
      <w:r>
        <w:t xml:space="preserve"> těchto právních jednání a poskytnutých plnění, a tak i ohledně existence, rozsahu a výše vzájemných práv a povinností, pohledávek, nároků, závazků a dluhů vyplývajících či jakkoli souvisejících s těmito Licenčními smlouvami (veškeré spory popisované v tom</w:t>
      </w:r>
      <w:r>
        <w:t>to odstavci souhrnně dále jen „</w:t>
      </w:r>
      <w:r>
        <w:rPr>
          <w:rStyle w:val="Bodytext2Bold"/>
        </w:rPr>
        <w:t>Spory</w:t>
      </w:r>
      <w:r>
        <w:t>").</w:t>
      </w:r>
    </w:p>
    <w:p w:rsidR="00E0054B" w:rsidRDefault="00D116E9">
      <w:pPr>
        <w:pStyle w:val="Bodytext20"/>
        <w:numPr>
          <w:ilvl w:val="0"/>
          <w:numId w:val="1"/>
        </w:numPr>
        <w:shd w:val="clear" w:color="auto" w:fill="auto"/>
        <w:tabs>
          <w:tab w:val="left" w:pos="569"/>
        </w:tabs>
        <w:spacing w:after="579" w:line="269" w:lineRule="exact"/>
        <w:ind w:left="600"/>
        <w:jc w:val="both"/>
      </w:pPr>
      <w:r>
        <w:t>Záměrem účastníků této dohody je tedy odstranění shora popisovaných Sporů, kdy účastníci ukončí (narovnají) veškeré tyto Spory smírnou cestou prostřednictvím této dohody, tj. veškerá tam specifikovaná (skutečná či do</w:t>
      </w:r>
      <w:r>
        <w:t>mnělá) vzájemná práva a povinnosti, pohledávky a nároky, či dluhy a závazky, jakkoli vyplývající či související s předmětnými Licenčními smlouvami, jak je shora popsáno.</w:t>
      </w:r>
    </w:p>
    <w:p w:rsidR="00E0054B" w:rsidRDefault="00D116E9">
      <w:pPr>
        <w:pStyle w:val="Heading30"/>
        <w:keepNext/>
        <w:keepLines/>
        <w:shd w:val="clear" w:color="auto" w:fill="auto"/>
        <w:spacing w:line="220" w:lineRule="exact"/>
        <w:jc w:val="center"/>
      </w:pPr>
      <w:bookmarkStart w:id="5" w:name="bookmark5"/>
      <w:r>
        <w:t>Článek II.</w:t>
      </w:r>
      <w:bookmarkEnd w:id="5"/>
    </w:p>
    <w:p w:rsidR="00E0054B" w:rsidRDefault="00D116E9">
      <w:pPr>
        <w:pStyle w:val="Heading30"/>
        <w:keepNext/>
        <w:keepLines/>
        <w:shd w:val="clear" w:color="auto" w:fill="auto"/>
        <w:spacing w:line="220" w:lineRule="exact"/>
        <w:jc w:val="center"/>
      </w:pPr>
      <w:bookmarkStart w:id="6" w:name="bookmark6"/>
      <w:r>
        <w:t>Předmět narovnání</w:t>
      </w:r>
      <w:bookmarkEnd w:id="6"/>
    </w:p>
    <w:p w:rsidR="00E0054B" w:rsidRDefault="00D116E9">
      <w:pPr>
        <w:pStyle w:val="Bodytext20"/>
        <w:numPr>
          <w:ilvl w:val="0"/>
          <w:numId w:val="2"/>
        </w:numPr>
        <w:shd w:val="clear" w:color="auto" w:fill="auto"/>
        <w:tabs>
          <w:tab w:val="left" w:pos="569"/>
        </w:tabs>
        <w:spacing w:line="269" w:lineRule="exact"/>
        <w:ind w:left="600"/>
        <w:jc w:val="both"/>
      </w:pPr>
      <w:r>
        <w:t>Účastníci této dohody se dohodli na smírném řešení věci a</w:t>
      </w:r>
      <w:r>
        <w:t xml:space="preserve"> uzavírají tuto dohodu za účelem úplného a konečného mimosoudního narovnání jejich sporných vztahů uvedených v čl. I. této dohody, tj. Sporů.</w:t>
      </w:r>
    </w:p>
    <w:p w:rsidR="00E0054B" w:rsidRDefault="00D116E9">
      <w:pPr>
        <w:pStyle w:val="Bodytext20"/>
        <w:numPr>
          <w:ilvl w:val="0"/>
          <w:numId w:val="2"/>
        </w:numPr>
        <w:shd w:val="clear" w:color="auto" w:fill="auto"/>
        <w:tabs>
          <w:tab w:val="left" w:pos="569"/>
        </w:tabs>
        <w:spacing w:line="269" w:lineRule="exact"/>
        <w:ind w:left="600"/>
        <w:jc w:val="both"/>
      </w:pPr>
      <w:r>
        <w:t xml:space="preserve">Předmětem narovnání dle této dohody ve smyslu </w:t>
      </w:r>
      <w:proofErr w:type="spellStart"/>
      <w:r>
        <w:t>ust</w:t>
      </w:r>
      <w:proofErr w:type="spellEnd"/>
      <w:r>
        <w:t xml:space="preserve">. § 1903 a násl. občanského zákoníku jsou tedy veškeré (skutečné </w:t>
      </w:r>
      <w:r>
        <w:t>či jen domnělé) nároky, pohledávky, dluhy, závazky, práva a povinnosti účastníků specifikované v čl. I. této dohody, tj. Spory.</w:t>
      </w:r>
    </w:p>
    <w:p w:rsidR="00E0054B" w:rsidRDefault="00D116E9">
      <w:pPr>
        <w:pStyle w:val="Bodytext20"/>
        <w:numPr>
          <w:ilvl w:val="0"/>
          <w:numId w:val="2"/>
        </w:numPr>
        <w:shd w:val="clear" w:color="auto" w:fill="auto"/>
        <w:tabs>
          <w:tab w:val="left" w:pos="569"/>
        </w:tabs>
        <w:spacing w:line="269" w:lineRule="exact"/>
        <w:ind w:left="600"/>
        <w:jc w:val="both"/>
      </w:pPr>
      <w:r>
        <w:t xml:space="preserve">Účastníci se proto dohodli, že veškeré mezi těmito sporné (skutečné či jen domnělé) nároky, pohledávky, dluhy, závazky, práva a </w:t>
      </w:r>
      <w:r>
        <w:t xml:space="preserve">povinnosti účastníků specifikované v předchozím odstavci, tj. Spory, </w:t>
      </w:r>
      <w:proofErr w:type="gramStart"/>
      <w:r>
        <w:t>se</w:t>
      </w:r>
      <w:proofErr w:type="gramEnd"/>
      <w:r>
        <w:t xml:space="preserve"> ve smyslu </w:t>
      </w:r>
      <w:proofErr w:type="spellStart"/>
      <w:r>
        <w:t>ust</w:t>
      </w:r>
      <w:proofErr w:type="spellEnd"/>
      <w:r>
        <w:t>. § 1903 odst. 1 občanského zákoníku v plném rozsahu a bez jakékoli náhrady zrušují, kdy účastníci si ponechají již vzájemně si poskytnutá plnění a nejsou si pak ani povin</w:t>
      </w:r>
      <w:r>
        <w:t xml:space="preserve">ni ničeho vracet, plnit či hradit čehokoli dalšího, když však vzhledem k tomu, že doba poskytnutí (využívání) Licence dle posledně uzavřené Licenční smlouvy byla ujednána až do </w:t>
      </w:r>
      <w:proofErr w:type="gramStart"/>
      <w:r>
        <w:t>31.12.2025</w:t>
      </w:r>
      <w:proofErr w:type="gramEnd"/>
      <w:r>
        <w:t>, přičemž i za takto poskytnutou Licenci (resp. umožnění využívat dan</w:t>
      </w:r>
      <w:r>
        <w:t>é programové vybavení účastníka 2) již účastník 1 uhradil účastníkovi 2 sjednanou cenu (odměnu) dle příslušné Licenční smlouvy, ujednaly smluvní strany, že účastníku 1 až do konce roku 2025 svědčí, a je tak oprávněn, a to již bez jakékoli další úplaty, vyu</w:t>
      </w:r>
      <w:r>
        <w:t>žívat Licenci (resp. je oprávněn a bude mu účastníkem 2 umožněno využívat dané programové vybavení účastníka 2) ve stejném rozsahu a za shodných podmínek, jak bylo ujednáno v této posledně uzavřené Licenční smlouvě.</w:t>
      </w:r>
    </w:p>
    <w:p w:rsidR="00E0054B" w:rsidRDefault="00D116E9">
      <w:pPr>
        <w:pStyle w:val="Bodytext20"/>
        <w:numPr>
          <w:ilvl w:val="0"/>
          <w:numId w:val="2"/>
        </w:numPr>
        <w:shd w:val="clear" w:color="auto" w:fill="auto"/>
        <w:tabs>
          <w:tab w:val="left" w:pos="569"/>
        </w:tabs>
        <w:spacing w:line="269" w:lineRule="exact"/>
        <w:ind w:left="600"/>
        <w:jc w:val="both"/>
      </w:pPr>
      <w:r>
        <w:t>Jakékoli další s tímto související služb</w:t>
      </w:r>
      <w:r>
        <w:t>y pak již budou účastníkem 2 poskytovány účastníku 1 na základě samostatných objednávek účastníka 1 a za cenu (odměnu) sjednanou dle aktuálního ceníku účastníka 2.</w:t>
      </w:r>
    </w:p>
    <w:p w:rsidR="00E0054B" w:rsidRDefault="00D116E9">
      <w:pPr>
        <w:pStyle w:val="Bodytext20"/>
        <w:numPr>
          <w:ilvl w:val="0"/>
          <w:numId w:val="2"/>
        </w:numPr>
        <w:shd w:val="clear" w:color="auto" w:fill="auto"/>
        <w:tabs>
          <w:tab w:val="left" w:pos="562"/>
        </w:tabs>
        <w:ind w:left="600"/>
        <w:jc w:val="both"/>
      </w:pPr>
      <w:r>
        <w:t>Zrušení sporných nároků, pohledávek, dluhů, závazků, práv a povinností, se pak dle výslovnéh</w:t>
      </w:r>
      <w:r>
        <w:t>o ujednání účastníků vztahuje v plném rozsahu též na veškeré zákonné či smluvní příslušenství a vedlejší nároky zrušovaných sporných nároků, pohledávek, dluhů, závazků, práv a povinností, tedy zejména, nikoli však výlučně, též na případné úroky z prodlení,</w:t>
      </w:r>
      <w:r>
        <w:t xml:space="preserve"> náhrady škod či jiných nákladů, smluvní pokuty, nároky z vadného plnění či náklady vynaložené na vymáhání či uplatňování pohledávek, práv a povinností, výslovně pak včetně veškerých nákladů na právní zastoupení.</w:t>
      </w:r>
    </w:p>
    <w:p w:rsidR="00E0054B" w:rsidRDefault="00D116E9">
      <w:pPr>
        <w:pStyle w:val="Bodytext20"/>
        <w:numPr>
          <w:ilvl w:val="0"/>
          <w:numId w:val="2"/>
        </w:numPr>
        <w:shd w:val="clear" w:color="auto" w:fill="auto"/>
        <w:tabs>
          <w:tab w:val="left" w:pos="562"/>
        </w:tabs>
        <w:ind w:left="600"/>
        <w:jc w:val="both"/>
      </w:pPr>
      <w:r>
        <w:t>Účastníci 1 a 2 pak shodně prohlašují, výsl</w:t>
      </w:r>
      <w:r>
        <w:t>ovně potvrzují a činí nesporným, že po splnění závazků dle odst. 3 tohoto článku dohody jsou vzájemně vyrovnáni a jejich veškerá vzájemná práva a povinnosti jakkoli vyplývající či související se shora specifikovanými Licenčními smlouvami vypořádány a navzá</w:t>
      </w:r>
      <w:r>
        <w:t xml:space="preserve">jem si ničeho nebudou dlužit ani nárokovat, ani činit jakákoli další jednání v souvislosti s těmito </w:t>
      </w:r>
      <w:r>
        <w:lastRenderedPageBreak/>
        <w:t>Licenčními smlouvami, a to ani do budoucna. Účastníci 1 a 2 tak na závěr shodně prohlašují, že splněním závazků dle odst. 3 tohoto článku dohody jsou vešker</w:t>
      </w:r>
      <w:r>
        <w:t>é jejich vzájemné nároky, pohledávky a závazky, práva a povinnosti s konečnou platností vyřízeny, veškeré Spory mají za ukončené a vypořádané, a účastníci si již nebudou činit vzájemně další nároky nad rámec tímto článkem vypořádaných, a jsou si tedy vzáje</w:t>
      </w:r>
      <w:r>
        <w:t>mně vyrovnáni a nejsou tak ani povinni si čehokoli vracet.</w:t>
      </w:r>
    </w:p>
    <w:p w:rsidR="00E0054B" w:rsidRDefault="00D116E9">
      <w:pPr>
        <w:pStyle w:val="Bodytext20"/>
        <w:numPr>
          <w:ilvl w:val="0"/>
          <w:numId w:val="2"/>
        </w:numPr>
        <w:shd w:val="clear" w:color="auto" w:fill="auto"/>
        <w:tabs>
          <w:tab w:val="left" w:pos="562"/>
        </w:tabs>
        <w:spacing w:after="480"/>
        <w:ind w:left="600"/>
        <w:jc w:val="both"/>
      </w:pPr>
      <w:r>
        <w:t>Účastník 1 a účastník 2 pak toliko pro úplnost vzájemně prohlašují, že v důsledku tohoto narovnání nemá účastník 2 za účastníkem 1 jakýkoli dosud nevypořádaný nárok či pohledávku, jakkoli souvisejí</w:t>
      </w:r>
      <w:r>
        <w:t>cí s Licenčními smlouvami. Pro úplnost účastníci 1 a 2 ujednávají, že i pokud by takové pohledávky či nároky existovaly či i v budoucnu vznikly, a to z jakéhokoli titulu, v jakémkoli rozsahu a výši, účastník 2 se z důvodu jistoty těchto (současných či i bu</w:t>
      </w:r>
      <w:r>
        <w:t>doucích) výslovně vzdává, a tak tyto účastníkovi 1 výslovně promíjí, s čímž účastník 1 souhlasí.</w:t>
      </w:r>
    </w:p>
    <w:p w:rsidR="00E0054B" w:rsidRDefault="00D116E9">
      <w:pPr>
        <w:pStyle w:val="Heading30"/>
        <w:keepNext/>
        <w:keepLines/>
        <w:shd w:val="clear" w:color="auto" w:fill="auto"/>
        <w:ind w:left="20"/>
        <w:jc w:val="center"/>
      </w:pPr>
      <w:bookmarkStart w:id="7" w:name="bookmark7"/>
      <w:r>
        <w:t>Článek III.</w:t>
      </w:r>
      <w:bookmarkEnd w:id="7"/>
    </w:p>
    <w:p w:rsidR="00E0054B" w:rsidRDefault="00D116E9">
      <w:pPr>
        <w:pStyle w:val="Heading30"/>
        <w:keepNext/>
        <w:keepLines/>
        <w:shd w:val="clear" w:color="auto" w:fill="auto"/>
        <w:ind w:left="20"/>
        <w:jc w:val="center"/>
      </w:pPr>
      <w:bookmarkStart w:id="8" w:name="bookmark8"/>
      <w:r>
        <w:t>Závěrečná ustanovení</w:t>
      </w:r>
      <w:bookmarkEnd w:id="8"/>
    </w:p>
    <w:p w:rsidR="00E0054B" w:rsidRDefault="00D116E9">
      <w:pPr>
        <w:pStyle w:val="Bodytext20"/>
        <w:numPr>
          <w:ilvl w:val="0"/>
          <w:numId w:val="3"/>
        </w:numPr>
        <w:shd w:val="clear" w:color="auto" w:fill="auto"/>
        <w:tabs>
          <w:tab w:val="left" w:pos="562"/>
        </w:tabs>
        <w:ind w:left="600"/>
        <w:jc w:val="both"/>
      </w:pPr>
      <w:r>
        <w:t>Tato dohoda je projevem svobodné a pravé vůle všech účastníků, přičemž účastníci tímto prohlašují, že se s obsahem této dohody</w:t>
      </w:r>
      <w:r>
        <w:t xml:space="preserve"> seznámili, souhlasí s ním a uvádějí, že obsah této dohody je totožný s jejich vůlí, která je prosta jakéhokoliv nátlaku a omylu. Toto prohlášení stvrzují svými vlastnoručními podpisy. Smluvní strany zároveň shodně konstatují, že základní podmínky této doh</w:t>
      </w:r>
      <w:r>
        <w:t>ody jsou výsledkem jednání stran a každá z nich tak měla možnost ovlivnit jejich obsah.</w:t>
      </w:r>
    </w:p>
    <w:p w:rsidR="00E0054B" w:rsidRDefault="00D116E9">
      <w:pPr>
        <w:pStyle w:val="Bodytext20"/>
        <w:numPr>
          <w:ilvl w:val="0"/>
          <w:numId w:val="3"/>
        </w:numPr>
        <w:shd w:val="clear" w:color="auto" w:fill="auto"/>
        <w:tabs>
          <w:tab w:val="left" w:pos="562"/>
        </w:tabs>
        <w:ind w:left="600"/>
        <w:jc w:val="both"/>
      </w:pPr>
      <w:r>
        <w:t xml:space="preserve">Tato dohoda, jakož i práva a povinnosti v této výslovně neupravená, se řídí právním řádem České republiky, zejména ustanoveními zákona č. 89/2012 Sb., občanského </w:t>
      </w:r>
      <w:r>
        <w:t xml:space="preserve">zákoníku, v platném znění, s výslovným vyloučením aplikace </w:t>
      </w:r>
      <w:proofErr w:type="spellStart"/>
      <w:r>
        <w:t>ust</w:t>
      </w:r>
      <w:proofErr w:type="spellEnd"/>
      <w:r>
        <w:t>. § 557 občanského zákoníku.</w:t>
      </w:r>
    </w:p>
    <w:p w:rsidR="00E0054B" w:rsidRDefault="00D116E9">
      <w:pPr>
        <w:pStyle w:val="Bodytext20"/>
        <w:numPr>
          <w:ilvl w:val="0"/>
          <w:numId w:val="3"/>
        </w:numPr>
        <w:shd w:val="clear" w:color="auto" w:fill="auto"/>
        <w:tabs>
          <w:tab w:val="left" w:pos="562"/>
        </w:tabs>
        <w:ind w:left="600"/>
        <w:jc w:val="both"/>
      </w:pPr>
      <w:r>
        <w:t>Tuto dohodu je možno měnit pouze písemnými, číslovanými dodatky, podepsanými všemi stranami s tím, že za písemnou formu není pro tento účel považována výměna e-mailo</w:t>
      </w:r>
      <w:r>
        <w:t>vých nebo jiných elektronických zpráv. Strany výslovně vylučují provádět jakékoli změny této dohody ve formě jiné než dle věty první tohoto odstavce (příp. ve formě přísnější od této).</w:t>
      </w:r>
    </w:p>
    <w:p w:rsidR="00E0054B" w:rsidRDefault="00D116E9">
      <w:pPr>
        <w:pStyle w:val="Bodytext20"/>
        <w:numPr>
          <w:ilvl w:val="0"/>
          <w:numId w:val="3"/>
        </w:numPr>
        <w:shd w:val="clear" w:color="auto" w:fill="auto"/>
        <w:tabs>
          <w:tab w:val="left" w:pos="562"/>
        </w:tabs>
        <w:ind w:left="600"/>
        <w:jc w:val="both"/>
      </w:pPr>
      <w:r>
        <w:t xml:space="preserve">Tato dohoda obsahuje úplné ujednání o předmětu dohody a všech </w:t>
      </w:r>
      <w:r>
        <w:t>náležitostech, které strany měly a chtěly v dohodě ujednat, a které považují za důležité pro závaznost této dohody. Žádný projev stran učiněný při jednání o této dohodě ani projev učiněný po uzavření této dohody nesmí být vykládán v rozporu s výslovnými us</w:t>
      </w:r>
      <w:r>
        <w:t>tanoveními této dohody a nezakládá žádný závazek žádné ze stran.</w:t>
      </w:r>
    </w:p>
    <w:p w:rsidR="00E0054B" w:rsidRDefault="00D116E9">
      <w:pPr>
        <w:pStyle w:val="Bodytext20"/>
        <w:numPr>
          <w:ilvl w:val="0"/>
          <w:numId w:val="3"/>
        </w:numPr>
        <w:shd w:val="clear" w:color="auto" w:fill="auto"/>
        <w:tabs>
          <w:tab w:val="left" w:pos="562"/>
        </w:tabs>
        <w:spacing w:line="269" w:lineRule="exact"/>
        <w:ind w:left="600"/>
        <w:jc w:val="both"/>
      </w:pPr>
      <w:r>
        <w:t>Smluvní strany výslovně vylučují možnost přijetí nabídky na uzavření této dohody s dodatkem nebo odchylkou ve smyslu ustanovení § 1740 odst. 3 občanského zákoníku.</w:t>
      </w:r>
    </w:p>
    <w:p w:rsidR="00E0054B" w:rsidRDefault="00D116E9">
      <w:pPr>
        <w:pStyle w:val="Bodytext20"/>
        <w:numPr>
          <w:ilvl w:val="0"/>
          <w:numId w:val="3"/>
        </w:numPr>
        <w:shd w:val="clear" w:color="auto" w:fill="auto"/>
        <w:tabs>
          <w:tab w:val="left" w:pos="562"/>
        </w:tabs>
        <w:ind w:left="600"/>
        <w:jc w:val="both"/>
      </w:pPr>
      <w:r>
        <w:t>Strany této dohody sjednáva</w:t>
      </w:r>
      <w:r>
        <w:t>jí, že pokud v důsledku změny či odlišného výkladu právních předpisů anebo judikatury soudů anebo jiné skutečnosti bude u některého ustanovení této dohody shledán důvod jeho neplatnosti či nevynutitelnosti, tato dohoda jako celek bude nadále platit, přičem</w:t>
      </w:r>
      <w:r>
        <w:t>ž za neplatnou bude možné považovat pouze tu část, které se důvod neplatnosti či nevynutitelnosti bude přímo týkat. Strany dohody se pak zavazují toto ustanovení doplnit či nahradit novým ujednáním, které bude odpovídat aktuálnímu výkladu právních předpisů</w:t>
      </w:r>
      <w:r>
        <w:t>, aby smyslu a účelu dohody bylo dosaženo.</w:t>
      </w:r>
    </w:p>
    <w:p w:rsidR="00E0054B" w:rsidRDefault="00D116E9">
      <w:pPr>
        <w:pStyle w:val="Bodytext20"/>
        <w:numPr>
          <w:ilvl w:val="0"/>
          <w:numId w:val="3"/>
        </w:numPr>
        <w:shd w:val="clear" w:color="auto" w:fill="auto"/>
        <w:tabs>
          <w:tab w:val="left" w:pos="562"/>
        </w:tabs>
        <w:ind w:left="600"/>
        <w:jc w:val="both"/>
      </w:pPr>
      <w:r>
        <w:t>Tato dohoda je vyhotovena ve dvou vyhotoveních, každý z účastníků obdrží po jednom z nich.</w:t>
      </w:r>
      <w:r>
        <w:br w:type="page"/>
      </w:r>
    </w:p>
    <w:p w:rsidR="00E0054B" w:rsidRDefault="00D116E9" w:rsidP="00D116E9">
      <w:pPr>
        <w:pStyle w:val="Bodytext20"/>
        <w:numPr>
          <w:ilvl w:val="0"/>
          <w:numId w:val="3"/>
        </w:numPr>
        <w:shd w:val="clear" w:color="auto" w:fill="auto"/>
        <w:tabs>
          <w:tab w:val="left" w:pos="557"/>
        </w:tabs>
        <w:spacing w:after="515"/>
        <w:ind w:left="600" w:right="280"/>
        <w:jc w:val="both"/>
      </w:pPr>
      <w:r>
        <w:lastRenderedPageBreak/>
        <w:t>Tato dohoda vzniká dnem jejího uzavření; dnem uzavření této dohody je den označený datem u podpisů smluvních stran. Je-li</w:t>
      </w:r>
      <w:r>
        <w:t xml:space="preserve"> takto označeno více dní, je dnem uzavření této dohody den z označených dnů nejpozdější. V souladu s </w:t>
      </w:r>
      <w:proofErr w:type="spellStart"/>
      <w:r>
        <w:t>ust</w:t>
      </w:r>
      <w:proofErr w:type="spellEnd"/>
      <w:r>
        <w:t>. § 6 odst. 1 zákona č. 340/2015 Sb., o registru smluv, v platném znění, tato dohoda nabývá účinnosti dnem jejího uveřejnění v registru smluv.</w:t>
      </w:r>
      <w:bookmarkStart w:id="9" w:name="_GoBack"/>
      <w:bookmarkEnd w:id="9"/>
    </w:p>
    <w:sectPr w:rsidR="00E0054B" w:rsidSect="00D116E9">
      <w:footerReference w:type="default" r:id="rId7"/>
      <w:pgSz w:w="11900" w:h="16840"/>
      <w:pgMar w:top="998" w:right="1246" w:bottom="1144" w:left="102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116E9">
      <w:r>
        <w:separator/>
      </w:r>
    </w:p>
  </w:endnote>
  <w:endnote w:type="continuationSeparator" w:id="0">
    <w:p w:rsidR="00000000" w:rsidRDefault="00D1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54B" w:rsidRDefault="00D116E9">
    <w:pPr>
      <w:rPr>
        <w:sz w:val="2"/>
        <w:szCs w:val="2"/>
      </w:rPr>
    </w:pPr>
    <w:r>
      <w:pict>
        <v:shapetype id="_x0000_t202" coordsize="21600,21600" o:spt="202" path="m,l,21600r21600,l21600,xe">
          <v:stroke joinstyle="miter"/>
          <v:path gradientshapeok="t" o:connecttype="rect"/>
        </v:shapetype>
        <v:shape id="_x0000_s1026" type="#_x0000_t202" style="position:absolute;margin-left:58.6pt;margin-top:798.95pt;width:65.3pt;height:5.5pt;z-index:-251658752;mso-wrap-style:none;mso-wrap-distance-left:5pt;mso-wrap-distance-right:5pt;mso-position-horizontal-relative:page;mso-position-vertical-relative:page" wrapcoords="0 0" filled="f" stroked="f">
          <v:textbox style="mso-next-textbox:#_x0000_s1026;mso-fit-shape-to-text:t" inset="0,0,0,0">
            <w:txbxContent>
              <w:p w:rsidR="00E0054B" w:rsidRDefault="00D116E9">
                <w:pPr>
                  <w:pStyle w:val="Headerorfooter0"/>
                  <w:shd w:val="clear" w:color="auto" w:fill="auto"/>
                  <w:spacing w:line="240" w:lineRule="auto"/>
                </w:pPr>
                <w:r>
                  <w:rPr>
                    <w:rStyle w:val="Headerorfooter1"/>
                  </w:rPr>
                  <w:t>Dohoda o narovnání</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54B" w:rsidRDefault="00E0054B"/>
  </w:footnote>
  <w:footnote w:type="continuationSeparator" w:id="0">
    <w:p w:rsidR="00E0054B" w:rsidRDefault="00E005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A5EFB"/>
    <w:multiLevelType w:val="multilevel"/>
    <w:tmpl w:val="1EBEBF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D72052"/>
    <w:multiLevelType w:val="multilevel"/>
    <w:tmpl w:val="659C9C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5C769E"/>
    <w:multiLevelType w:val="multilevel"/>
    <w:tmpl w:val="941447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3"/>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0054B"/>
    <w:rsid w:val="00D116E9"/>
    <w:rsid w:val="00E005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5:docId w15:val="{98C183FA-3B40-4369-97A9-2CB29BFD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2Exact">
    <w:name w:val="Body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Bodytext3">
    <w:name w:val="Body text (3)_"/>
    <w:basedOn w:val="Standardnpsmoodstavce"/>
    <w:link w:val="Bodytext30"/>
    <w:rPr>
      <w:rFonts w:ascii="Calibri" w:eastAsia="Calibri" w:hAnsi="Calibri" w:cs="Calibri"/>
      <w:b w:val="0"/>
      <w:bCs w:val="0"/>
      <w:i/>
      <w:iCs/>
      <w:smallCaps w:val="0"/>
      <w:strike w:val="0"/>
      <w:sz w:val="20"/>
      <w:szCs w:val="20"/>
      <w:u w:val="none"/>
    </w:rPr>
  </w:style>
  <w:style w:type="character" w:customStyle="1" w:styleId="Headerorfooter">
    <w:name w:val="Header or footer_"/>
    <w:basedOn w:val="Standardnpsmoodstavce"/>
    <w:link w:val="Headerorfooter0"/>
    <w:rPr>
      <w:rFonts w:ascii="Verdana" w:eastAsia="Verdana" w:hAnsi="Verdana" w:cs="Verdana"/>
      <w:b w:val="0"/>
      <w:bCs w:val="0"/>
      <w:i w:val="0"/>
      <w:iCs w:val="0"/>
      <w:smallCaps w:val="0"/>
      <w:strike w:val="0"/>
      <w:sz w:val="13"/>
      <w:szCs w:val="13"/>
      <w:u w:val="none"/>
    </w:rPr>
  </w:style>
  <w:style w:type="character" w:customStyle="1" w:styleId="Headerorfooter1">
    <w:name w:val="Header or footer"/>
    <w:basedOn w:val="Headerorfooter"/>
    <w:rPr>
      <w:rFonts w:ascii="Verdana" w:eastAsia="Verdana" w:hAnsi="Verdana" w:cs="Verdana"/>
      <w:b w:val="0"/>
      <w:bCs w:val="0"/>
      <w:i w:val="0"/>
      <w:iCs w:val="0"/>
      <w:smallCaps w:val="0"/>
      <w:strike w:val="0"/>
      <w:color w:val="000000"/>
      <w:spacing w:val="0"/>
      <w:w w:val="100"/>
      <w:position w:val="0"/>
      <w:sz w:val="13"/>
      <w:szCs w:val="13"/>
      <w:u w:val="none"/>
      <w:lang w:val="cs-CZ" w:eastAsia="cs-CZ" w:bidi="cs-CZ"/>
    </w:rPr>
  </w:style>
  <w:style w:type="character" w:customStyle="1" w:styleId="Heading3">
    <w:name w:val="Heading #3_"/>
    <w:basedOn w:val="Standardnpsmoodstavce"/>
    <w:link w:val="Heading30"/>
    <w:rPr>
      <w:rFonts w:ascii="Calibri" w:eastAsia="Calibri" w:hAnsi="Calibri" w:cs="Calibri"/>
      <w:b/>
      <w:bCs/>
      <w:i w:val="0"/>
      <w:iCs w:val="0"/>
      <w:smallCaps w:val="0"/>
      <w:strike w:val="0"/>
      <w:sz w:val="22"/>
      <w:szCs w:val="22"/>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2"/>
      <w:szCs w:val="22"/>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2BoldItalic">
    <w:name w:val="Body text (2) + Bold;Italic"/>
    <w:basedOn w:val="Bodytext2"/>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Bodytext2105ptBold">
    <w:name w:val="Body text (2) + 10;5 pt;Bold"/>
    <w:basedOn w:val="Body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Bodytext4">
    <w:name w:val="Body text (4)_"/>
    <w:basedOn w:val="Standardnpsmoodstavce"/>
    <w:link w:val="Bodytext40"/>
    <w:rPr>
      <w:rFonts w:ascii="Calibri" w:eastAsia="Calibri" w:hAnsi="Calibri" w:cs="Calibri"/>
      <w:b w:val="0"/>
      <w:bCs w:val="0"/>
      <w:i w:val="0"/>
      <w:iCs w:val="0"/>
      <w:smallCaps w:val="0"/>
      <w:strike w:val="0"/>
      <w:sz w:val="20"/>
      <w:szCs w:val="20"/>
      <w:u w:val="none"/>
    </w:rPr>
  </w:style>
  <w:style w:type="character" w:customStyle="1" w:styleId="Bodytext4Italic">
    <w:name w:val="Body text (4) + Italic"/>
    <w:basedOn w:val="Bodytext4"/>
    <w:rPr>
      <w:rFonts w:ascii="Calibri" w:eastAsia="Calibri" w:hAnsi="Calibri" w:cs="Calibri"/>
      <w:b w:val="0"/>
      <w:bCs w:val="0"/>
      <w:i/>
      <w:iCs/>
      <w:smallCaps w:val="0"/>
      <w:strike w:val="0"/>
      <w:color w:val="000000"/>
      <w:spacing w:val="0"/>
      <w:w w:val="100"/>
      <w:position w:val="0"/>
      <w:sz w:val="20"/>
      <w:szCs w:val="20"/>
      <w:u w:val="none"/>
      <w:lang w:val="cs-CZ" w:eastAsia="cs-CZ" w:bidi="cs-CZ"/>
    </w:rPr>
  </w:style>
  <w:style w:type="character" w:customStyle="1" w:styleId="Heading2">
    <w:name w:val="Heading #2_"/>
    <w:basedOn w:val="Standardnpsmoodstavce"/>
    <w:link w:val="Heading20"/>
    <w:rPr>
      <w:rFonts w:ascii="Verdana" w:eastAsia="Verdana" w:hAnsi="Verdana" w:cs="Verdana"/>
      <w:b w:val="0"/>
      <w:bCs w:val="0"/>
      <w:i w:val="0"/>
      <w:iCs w:val="0"/>
      <w:smallCaps w:val="0"/>
      <w:strike w:val="0"/>
      <w:spacing w:val="30"/>
      <w:sz w:val="30"/>
      <w:szCs w:val="30"/>
      <w:u w:val="none"/>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Heading1">
    <w:name w:val="Heading #1_"/>
    <w:basedOn w:val="Standardnpsmoodstavce"/>
    <w:link w:val="Heading10"/>
    <w:rPr>
      <w:rFonts w:ascii="Calibri" w:eastAsia="Calibri" w:hAnsi="Calibri" w:cs="Calibri"/>
      <w:b w:val="0"/>
      <w:bCs w:val="0"/>
      <w:i w:val="0"/>
      <w:iCs w:val="0"/>
      <w:smallCaps w:val="0"/>
      <w:strike w:val="0"/>
      <w:sz w:val="40"/>
      <w:szCs w:val="40"/>
      <w:u w:val="none"/>
    </w:rPr>
  </w:style>
  <w:style w:type="character" w:customStyle="1" w:styleId="Bodytext23">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24">
    <w:name w:val="Body text (2)"/>
    <w:basedOn w:val="Bodytext2"/>
    <w:rPr>
      <w:rFonts w:ascii="Calibri" w:eastAsia="Calibri" w:hAnsi="Calibri" w:cs="Calibri"/>
      <w:b w:val="0"/>
      <w:bCs w:val="0"/>
      <w:i w:val="0"/>
      <w:iCs w:val="0"/>
      <w:smallCaps w:val="0"/>
      <w:strike w:val="0"/>
      <w:color w:val="000000"/>
      <w:spacing w:val="0"/>
      <w:w w:val="100"/>
      <w:position w:val="0"/>
      <w:sz w:val="22"/>
      <w:szCs w:val="22"/>
      <w:u w:val="single"/>
    </w:rPr>
  </w:style>
  <w:style w:type="character" w:customStyle="1" w:styleId="Bodytext2BoldItalic0">
    <w:name w:val="Body text (2) + Bold;Italic"/>
    <w:basedOn w:val="Bodytext2"/>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Bodytext25">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26">
    <w:name w:val="Body text (2)"/>
    <w:basedOn w:val="Bodytext2"/>
    <w:rPr>
      <w:rFonts w:ascii="Calibri" w:eastAsia="Calibri" w:hAnsi="Calibri" w:cs="Calibri"/>
      <w:b w:val="0"/>
      <w:bCs w:val="0"/>
      <w:i w:val="0"/>
      <w:iCs w:val="0"/>
      <w:smallCaps w:val="0"/>
      <w:strike w:val="0"/>
      <w:color w:val="000000"/>
      <w:spacing w:val="0"/>
      <w:w w:val="100"/>
      <w:position w:val="0"/>
      <w:sz w:val="22"/>
      <w:szCs w:val="22"/>
      <w:u w:val="single"/>
      <w:lang w:val="cs-CZ" w:eastAsia="cs-CZ" w:bidi="cs-CZ"/>
    </w:rPr>
  </w:style>
  <w:style w:type="paragraph" w:customStyle="1" w:styleId="Bodytext20">
    <w:name w:val="Body text (2)"/>
    <w:basedOn w:val="Normln"/>
    <w:link w:val="Bodytext2"/>
    <w:pPr>
      <w:shd w:val="clear" w:color="auto" w:fill="FFFFFF"/>
      <w:spacing w:line="264" w:lineRule="exact"/>
      <w:ind w:hanging="600"/>
    </w:pPr>
    <w:rPr>
      <w:rFonts w:ascii="Calibri" w:eastAsia="Calibri" w:hAnsi="Calibri" w:cs="Calibri"/>
      <w:sz w:val="22"/>
      <w:szCs w:val="22"/>
    </w:rPr>
  </w:style>
  <w:style w:type="paragraph" w:customStyle="1" w:styleId="Bodytext30">
    <w:name w:val="Body text (3)"/>
    <w:basedOn w:val="Normln"/>
    <w:link w:val="Bodytext3"/>
    <w:pPr>
      <w:shd w:val="clear" w:color="auto" w:fill="FFFFFF"/>
      <w:spacing w:line="264" w:lineRule="exact"/>
    </w:pPr>
    <w:rPr>
      <w:rFonts w:ascii="Calibri" w:eastAsia="Calibri" w:hAnsi="Calibri" w:cs="Calibri"/>
      <w:i/>
      <w:iCs/>
      <w:sz w:val="20"/>
      <w:szCs w:val="20"/>
    </w:rPr>
  </w:style>
  <w:style w:type="paragraph" w:customStyle="1" w:styleId="Headerorfooter0">
    <w:name w:val="Header or footer"/>
    <w:basedOn w:val="Normln"/>
    <w:link w:val="Headerorfooter"/>
    <w:pPr>
      <w:shd w:val="clear" w:color="auto" w:fill="FFFFFF"/>
      <w:spacing w:line="0" w:lineRule="atLeast"/>
    </w:pPr>
    <w:rPr>
      <w:rFonts w:ascii="Verdana" w:eastAsia="Verdana" w:hAnsi="Verdana" w:cs="Verdana"/>
      <w:sz w:val="13"/>
      <w:szCs w:val="13"/>
    </w:rPr>
  </w:style>
  <w:style w:type="paragraph" w:customStyle="1" w:styleId="Heading30">
    <w:name w:val="Heading #3"/>
    <w:basedOn w:val="Normln"/>
    <w:link w:val="Heading3"/>
    <w:pPr>
      <w:shd w:val="clear" w:color="auto" w:fill="FFFFFF"/>
      <w:spacing w:line="264" w:lineRule="exact"/>
      <w:outlineLvl w:val="2"/>
    </w:pPr>
    <w:rPr>
      <w:rFonts w:ascii="Calibri" w:eastAsia="Calibri" w:hAnsi="Calibri" w:cs="Calibri"/>
      <w:b/>
      <w:bCs/>
      <w:sz w:val="22"/>
      <w:szCs w:val="22"/>
    </w:rPr>
  </w:style>
  <w:style w:type="paragraph" w:customStyle="1" w:styleId="Bodytext40">
    <w:name w:val="Body text (4)"/>
    <w:basedOn w:val="Normln"/>
    <w:link w:val="Bodytext4"/>
    <w:pPr>
      <w:shd w:val="clear" w:color="auto" w:fill="FFFFFF"/>
      <w:spacing w:before="480" w:after="600" w:line="245" w:lineRule="exact"/>
      <w:jc w:val="center"/>
    </w:pPr>
    <w:rPr>
      <w:rFonts w:ascii="Calibri" w:eastAsia="Calibri" w:hAnsi="Calibri" w:cs="Calibri"/>
      <w:sz w:val="20"/>
      <w:szCs w:val="20"/>
    </w:rPr>
  </w:style>
  <w:style w:type="paragraph" w:customStyle="1" w:styleId="Heading20">
    <w:name w:val="Heading #2"/>
    <w:basedOn w:val="Normln"/>
    <w:link w:val="Heading2"/>
    <w:pPr>
      <w:shd w:val="clear" w:color="auto" w:fill="FFFFFF"/>
      <w:spacing w:before="600" w:after="600" w:line="0" w:lineRule="atLeast"/>
      <w:jc w:val="center"/>
      <w:outlineLvl w:val="1"/>
    </w:pPr>
    <w:rPr>
      <w:rFonts w:ascii="Verdana" w:eastAsia="Verdana" w:hAnsi="Verdana" w:cs="Verdana"/>
      <w:spacing w:val="30"/>
      <w:sz w:val="30"/>
      <w:szCs w:val="30"/>
    </w:rPr>
  </w:style>
  <w:style w:type="paragraph" w:customStyle="1" w:styleId="Heading10">
    <w:name w:val="Heading #1"/>
    <w:basedOn w:val="Normln"/>
    <w:link w:val="Heading1"/>
    <w:pPr>
      <w:shd w:val="clear" w:color="auto" w:fill="FFFFFF"/>
      <w:spacing w:line="475" w:lineRule="exact"/>
      <w:outlineLvl w:val="0"/>
    </w:pPr>
    <w:rPr>
      <w:rFonts w:ascii="Calibri" w:eastAsia="Calibri" w:hAnsi="Calibri" w:cs="Calibr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1746</Words>
  <Characters>10307</Characters>
  <Application>Microsoft Office Word</Application>
  <DocSecurity>0</DocSecurity>
  <Lines>85</Lines>
  <Paragraphs>24</Paragraphs>
  <ScaleCrop>false</ScaleCrop>
  <Company/>
  <LinksUpToDate>false</LinksUpToDate>
  <CharactersWithSpaces>12029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104616</cp:lastModifiedBy>
  <cp:revision>2</cp:revision>
  <dcterms:created xsi:type="dcterms:W3CDTF">2025-12-11T07:23:00Z</dcterms:created>
  <dcterms:modified xsi:type="dcterms:W3CDTF">2025-12-11T07:24:00Z</dcterms:modified>
</cp:coreProperties>
</file>