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Times New Roman" w:hAnsi="Times New Roman" w:cs="Times New Roman"/>
          <w:b/>
          <w:bCs/>
          <w:sz w:val="40"/>
          <w:szCs w:val="40"/>
        </w:rPr>
      </w:pPr>
      <w:r>
        <w:rPr>
          <w:rFonts w:cs="Times New Roman" w:ascii="Times New Roman" w:hAnsi="Times New Roman"/>
          <w:b/>
          <w:bCs/>
          <w:sz w:val="40"/>
          <w:szCs w:val="40"/>
        </w:rPr>
        <w:t>Dodatek č. 1  ke smlouvě  č. 3/2025</w:t>
      </w:r>
    </w:p>
    <w:p>
      <w:pPr>
        <w:pStyle w:val="Normal"/>
        <w:spacing w:lineRule="auto" w:line="276" w:before="0" w:after="0"/>
        <w:jc w:val="center"/>
        <w:rPr>
          <w:rFonts w:ascii="Times New Roman" w:hAnsi="Times New Roman" w:cs="Times New Roman"/>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o přepravě odpadů do zařízení určeného pro nakládání s odpady </w:t>
      </w:r>
    </w:p>
    <w:p>
      <w:pPr>
        <w:pStyle w:val="NoSpacing"/>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851" w:leader="none"/>
        </w:tabs>
        <w:spacing w:lineRule="auto" w:line="276" w:before="0" w:after="0"/>
        <w:jc w:val="both"/>
        <w:rPr>
          <w:rFonts w:ascii="Times New Roman" w:hAnsi="Times New Roman" w:cs="Times New Roman"/>
          <w:b/>
          <w:bCs/>
        </w:rPr>
      </w:pPr>
      <w:r>
        <w:rPr>
          <w:rFonts w:cs="Times New Roman" w:ascii="Times New Roman" w:hAnsi="Times New Roman"/>
          <w:b/>
          <w:bCs/>
        </w:rPr>
        <w:t>A:</w:t>
        <w:tab/>
        <w:t>Dodavatel</w:t>
      </w:r>
    </w:p>
    <w:p>
      <w:pPr>
        <w:pStyle w:val="NoSpacing"/>
        <w:spacing w:lineRule="auto" w:line="276"/>
        <w:jc w:val="both"/>
        <w:rPr>
          <w:rFonts w:ascii="Times New Roman" w:hAnsi="Times New Roman" w:cs="Times New Roman"/>
          <w:b/>
          <w:bCs/>
        </w:rPr>
      </w:pPr>
      <w:r>
        <w:rPr>
          <w:rFonts w:cs="Times New Roman" w:ascii="Times New Roman" w:hAnsi="Times New Roman"/>
          <w:b/>
          <w:bCs/>
        </w:rPr>
      </w:r>
    </w:p>
    <w:p>
      <w:pPr>
        <w:pStyle w:val="Normal"/>
        <w:tabs>
          <w:tab w:val="clear" w:pos="708"/>
          <w:tab w:val="left" w:pos="851" w:leader="none"/>
        </w:tabs>
        <w:spacing w:lineRule="auto" w:line="276" w:before="0" w:after="0"/>
        <w:ind w:left="851" w:hanging="0"/>
        <w:jc w:val="both"/>
        <w:rPr>
          <w:rFonts w:ascii="Times New Roman" w:hAnsi="Times New Roman" w:cs="Times New Roman"/>
          <w:b/>
          <w:bCs/>
        </w:rPr>
      </w:pPr>
      <w:r>
        <w:rPr>
          <w:rFonts w:cs="Times New Roman" w:ascii="Times New Roman" w:hAnsi="Times New Roman"/>
        </w:rPr>
        <w:t>název:</w:t>
        <w:tab/>
        <w:tab/>
      </w:r>
      <w:r>
        <w:rPr>
          <w:rFonts w:cs="Times New Roman" w:ascii="Times New Roman" w:hAnsi="Times New Roman"/>
          <w:b/>
          <w:bCs/>
        </w:rPr>
        <w:t>Technické služby města Nymburka</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 xml:space="preserve">sídlo: </w:t>
        <w:tab/>
        <w:tab/>
        <w:tab/>
        <w:t xml:space="preserve">V Zahrádkách 1536/8, 288 02 Nymburk </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IČ:</w:t>
        <w:tab/>
        <w:tab/>
        <w:tab/>
        <w:t>00067041</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 xml:space="preserve">DIČ: </w:t>
        <w:tab/>
        <w:tab/>
        <w:tab/>
        <w:t>CZ00067041</w:t>
      </w:r>
    </w:p>
    <w:p>
      <w:pPr>
        <w:pStyle w:val="Normal"/>
        <w:tabs>
          <w:tab w:val="clear" w:pos="708"/>
          <w:tab w:val="left" w:pos="851" w:leader="none"/>
        </w:tabs>
        <w:spacing w:lineRule="auto" w:line="276" w:before="0" w:after="0"/>
        <w:ind w:left="851" w:hanging="0"/>
        <w:jc w:val="both"/>
        <w:rPr>
          <w:rFonts w:ascii="Times New Roman" w:hAnsi="Times New Roman" w:cs="Times New Roman"/>
        </w:rPr>
      </w:pPr>
      <w:r>
        <w:rPr>
          <w:rFonts w:cs="Times New Roman" w:ascii="Times New Roman" w:hAnsi="Times New Roman"/>
        </w:rPr>
        <w:t xml:space="preserve">právní forma: </w:t>
        <w:tab/>
        <w:tab/>
        <w:t>příspěvková organizace</w:t>
      </w:r>
    </w:p>
    <w:p>
      <w:pPr>
        <w:pStyle w:val="Normal"/>
        <w:tabs>
          <w:tab w:val="clear" w:pos="708"/>
          <w:tab w:val="left" w:pos="851" w:leader="none"/>
        </w:tabs>
        <w:spacing w:lineRule="auto" w:line="276" w:before="0" w:after="0"/>
        <w:ind w:left="851" w:hanging="0"/>
        <w:jc w:val="both"/>
        <w:rPr>
          <w:rFonts w:ascii="Times New Roman" w:hAnsi="Times New Roman" w:cs="Times New Roman"/>
        </w:rPr>
      </w:pPr>
      <w:r>
        <w:rPr>
          <w:rFonts w:cs="Times New Roman" w:ascii="Times New Roman" w:hAnsi="Times New Roman"/>
        </w:rPr>
        <w:t xml:space="preserve">zřizovatel: </w:t>
        <w:tab/>
        <w:tab/>
        <w:t>Město Nymburk</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 xml:space="preserve">zápis v obch. rejstř.: </w:t>
        <w:tab/>
        <w:t>Pr 1571 vedená u Městského soudu v Praze</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 xml:space="preserve">zastoupená: </w:t>
        <w:tab/>
        <w:tab/>
        <w:t>Bc. Josefem Kubišem, ředitelem</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č.účtu:</w:t>
        <w:tab/>
        <w:tab/>
        <w:t>11934191/0100</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(dále jen „</w:t>
      </w:r>
      <w:r>
        <w:rPr>
          <w:rFonts w:cs="Times New Roman" w:ascii="Times New Roman" w:hAnsi="Times New Roman"/>
          <w:b/>
          <w:bCs/>
        </w:rPr>
        <w:t>Dodavatel</w:t>
      </w:r>
      <w:r>
        <w:rPr>
          <w:rFonts w:cs="Times New Roman" w:ascii="Times New Roman" w:hAnsi="Times New Roman"/>
        </w:rPr>
        <w:t>“)</w:t>
      </w:r>
    </w:p>
    <w:p>
      <w:pPr>
        <w:pStyle w:val="NoSpacing"/>
        <w:spacing w:lineRule="auto" w:line="276"/>
        <w:rPr>
          <w:rFonts w:ascii="Times New Roman" w:hAnsi="Times New Roman" w:cs="Times New Roman"/>
        </w:rPr>
      </w:pPr>
      <w:r>
        <w:rPr>
          <w:rFonts w:cs="Times New Roman" w:ascii="Times New Roman" w:hAnsi="Times New Roman"/>
        </w:rPr>
      </w:r>
    </w:p>
    <w:p>
      <w:pPr>
        <w:pStyle w:val="Normal"/>
        <w:tabs>
          <w:tab w:val="clear" w:pos="708"/>
          <w:tab w:val="left" w:pos="851" w:leader="none"/>
        </w:tabs>
        <w:spacing w:lineRule="auto" w:line="276" w:before="0" w:after="0"/>
        <w:jc w:val="both"/>
        <w:rPr>
          <w:rFonts w:ascii="Times New Roman" w:hAnsi="Times New Roman" w:cs="Times New Roman"/>
          <w:b/>
          <w:bCs/>
        </w:rPr>
      </w:pPr>
      <w:r>
        <w:rPr>
          <w:rFonts w:cs="Times New Roman" w:ascii="Times New Roman" w:hAnsi="Times New Roman"/>
          <w:b/>
          <w:bCs/>
        </w:rPr>
        <w:t>B:</w:t>
        <w:tab/>
        <w:t>Objednatel</w:t>
      </w:r>
    </w:p>
    <w:p>
      <w:pPr>
        <w:pStyle w:val="Normal"/>
        <w:tabs>
          <w:tab w:val="clear" w:pos="708"/>
          <w:tab w:val="left" w:pos="851" w:leader="none"/>
        </w:tabs>
        <w:spacing w:lineRule="auto" w:line="276"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r>
    </w:p>
    <w:p>
      <w:pPr>
        <w:pStyle w:val="Normal"/>
        <w:tabs>
          <w:tab w:val="clear" w:pos="708"/>
          <w:tab w:val="left" w:pos="851" w:leader="none"/>
        </w:tabs>
        <w:spacing w:lineRule="auto" w:line="276" w:before="0" w:after="0"/>
        <w:ind w:left="851" w:hanging="0"/>
        <w:jc w:val="both"/>
        <w:rPr>
          <w:rFonts w:ascii="Times New Roman" w:hAnsi="Times New Roman" w:cs="Times New Roman"/>
          <w:b/>
          <w:bCs/>
        </w:rPr>
      </w:pPr>
      <w:r>
        <w:rPr>
          <w:rFonts w:cs="Times New Roman" w:ascii="Times New Roman" w:hAnsi="Times New Roman"/>
        </w:rPr>
        <w:t>Název:</w:t>
        <w:tab/>
        <w:tab/>
      </w:r>
      <w:r>
        <w:rPr>
          <w:rFonts w:cs="Times New Roman" w:ascii="Times New Roman" w:hAnsi="Times New Roman"/>
          <w:b/>
        </w:rPr>
        <w:t>Daniel Tobiáš</w:t>
        <w:tab/>
        <w:tab/>
        <w:tab/>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 xml:space="preserve">sídlo: </w:t>
        <w:tab/>
        <w:tab/>
        <w:tab/>
        <w:t>Palackého třída 1198/70, 288 02, Nymburk</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 xml:space="preserve">IČ: </w:t>
        <w:tab/>
        <w:tab/>
        <w:tab/>
        <w:t>64729338</w:t>
        <w:tab/>
        <w:tab/>
        <w:tab/>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DIČ:</w:t>
        <w:tab/>
        <w:tab/>
        <w:tab/>
      </w:r>
      <w:r>
        <w:rPr>
          <w:rFonts w:cs="Times New Roman" w:ascii="Times New Roman" w:hAnsi="Times New Roman"/>
        </w:rPr>
        <w:t>XXXXXXXXXX</w:t>
      </w:r>
      <w:r>
        <w:rPr>
          <w:rFonts w:cs="Times New Roman" w:ascii="Times New Roman" w:hAnsi="Times New Roman"/>
        </w:rPr>
        <w:tab/>
        <w:tab/>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právní forma:</w:t>
        <w:tab/>
        <w:tab/>
        <w:t>Fyzická osoba podnikající</w:t>
        <w:tab/>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zápis v obch. rejstř</w:t>
        <w:tab/>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bankovní spojení:</w:t>
        <w:tab/>
        <w:t xml:space="preserve"> </w:t>
      </w:r>
      <w:r>
        <w:rPr>
          <w:rFonts w:cs="Times New Roman" w:ascii="Times New Roman" w:hAnsi="Times New Roman"/>
        </w:rPr>
        <w:t>XXXXXXXXXX</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datová schránka:</w:t>
        <w:tab/>
        <w:t>vedex7k</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zastoupená:</w:t>
        <w:tab/>
        <w:tab/>
        <w:t>Danielem Tobiášem</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odpovědný za svoz:</w:t>
        <w:tab/>
        <w:t xml:space="preserve"> </w:t>
      </w:r>
      <w:r>
        <w:rPr>
          <w:rFonts w:cs="Times New Roman" w:ascii="Times New Roman" w:hAnsi="Times New Roman"/>
        </w:rPr>
        <w:t>XXXXXXXXXX</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tel:</w:t>
        <w:tab/>
        <w:tab/>
        <w:tab/>
        <w:t xml:space="preserve"> </w:t>
      </w:r>
      <w:r>
        <w:rPr>
          <w:rFonts w:cs="Times New Roman" w:ascii="Times New Roman" w:hAnsi="Times New Roman"/>
        </w:rPr>
        <w:t>XXXXXXXXXX</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b/>
          <w:bCs/>
        </w:rPr>
        <w:t>email:</w:t>
        <w:tab/>
        <w:tab/>
      </w:r>
      <w:r>
        <w:rPr>
          <w:rFonts w:cs="Times New Roman" w:ascii="Times New Roman" w:hAnsi="Times New Roman"/>
          <w:b w:val="false"/>
          <w:bCs w:val="false"/>
        </w:rPr>
        <w:t xml:space="preserve"> </w:t>
      </w:r>
      <w:r>
        <w:rPr>
          <w:rFonts w:cs="Times New Roman" w:ascii="Times New Roman" w:hAnsi="Times New Roman"/>
          <w:b w:val="false"/>
          <w:bCs w:val="false"/>
        </w:rPr>
        <w:t>XXXXXXXXXX</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(dále jen „</w:t>
      </w:r>
      <w:r>
        <w:rPr>
          <w:rFonts w:cs="Times New Roman" w:ascii="Times New Roman" w:hAnsi="Times New Roman"/>
          <w:b/>
          <w:bCs/>
        </w:rPr>
        <w:t>Objednatel</w:t>
      </w:r>
      <w:r>
        <w:rPr>
          <w:rFonts w:cs="Times New Roman" w:ascii="Times New Roman" w:hAnsi="Times New Roman"/>
        </w:rPr>
        <w:t>“, společně s Dodavatelem dále jen „</w:t>
      </w:r>
      <w:r>
        <w:rPr>
          <w:rFonts w:cs="Times New Roman" w:ascii="Times New Roman" w:hAnsi="Times New Roman"/>
          <w:b/>
          <w:bCs/>
        </w:rPr>
        <w:t>Strany</w:t>
      </w:r>
      <w:r>
        <w:rPr>
          <w:rFonts w:cs="Times New Roman" w:ascii="Times New Roman" w:hAnsi="Times New Roman"/>
        </w:rPr>
        <w:t>“)</w:t>
      </w:r>
    </w:p>
    <w:p>
      <w:pPr>
        <w:pStyle w:val="NoSpacing"/>
        <w:spacing w:lineRule="auto" w:line="276"/>
        <w:rPr>
          <w:rFonts w:ascii="Times New Roman" w:hAnsi="Times New Roman" w:cs="Times New Roman"/>
        </w:rPr>
      </w:pPr>
      <w:r>
        <w:rPr>
          <w:rFonts w:cs="Times New Roman" w:ascii="Times New Roman" w:hAnsi="Times New Roman"/>
        </w:rPr>
      </w:r>
    </w:p>
    <w:p>
      <w:pPr>
        <w:pStyle w:val="NoSpacing"/>
        <w:spacing w:lineRule="auto" w:line="276"/>
        <w:jc w:val="center"/>
        <w:rPr>
          <w:rFonts w:ascii="Times New Roman" w:hAnsi="Times New Roman" w:cs="Times New Roman"/>
          <w:b/>
          <w:bCs/>
        </w:rPr>
      </w:pPr>
      <w:r>
        <w:rPr>
          <w:rFonts w:cs="Times New Roman" w:ascii="Times New Roman" w:hAnsi="Times New Roman"/>
          <w:b/>
          <w:bCs/>
        </w:rPr>
        <w:t>Strany uzavírají tento dodatek č. 1 ke smlouvě přepravě odpadů do zařízení určeného pro nakládání s odpady</w:t>
      </w:r>
    </w:p>
    <w:p>
      <w:pPr>
        <w:pStyle w:val="NoSpacing"/>
        <w:spacing w:lineRule="auto" w:line="276"/>
        <w:jc w:val="center"/>
        <w:rPr>
          <w:rFonts w:ascii="Times New Roman" w:hAnsi="Times New Roman" w:cs="Times New Roman"/>
        </w:rPr>
      </w:pPr>
      <w:r>
        <w:rPr>
          <w:rFonts w:cs="Times New Roman" w:ascii="Times New Roman" w:hAnsi="Times New Roman"/>
        </w:rPr>
        <w:t>uzavřený dle § 1746 odst. 2 zákona č. 89/2012 Sb., občanského zákoníku (dále jen „</w:t>
      </w:r>
      <w:r>
        <w:rPr>
          <w:rFonts w:cs="Times New Roman" w:ascii="Times New Roman" w:hAnsi="Times New Roman"/>
          <w:b/>
          <w:bCs/>
        </w:rPr>
        <w:t>Občanský zákoník</w:t>
      </w:r>
      <w:r>
        <w:rPr>
          <w:rFonts w:cs="Times New Roman" w:ascii="Times New Roman" w:hAnsi="Times New Roman"/>
        </w:rPr>
        <w:t>“) a dle zákona č. 541/2020 Sb., o odpadech ve znění pozdějších předpisů (dále jen „</w:t>
      </w:r>
      <w:r>
        <w:rPr>
          <w:rFonts w:cs="Times New Roman" w:ascii="Times New Roman" w:hAnsi="Times New Roman"/>
          <w:b/>
          <w:bCs/>
        </w:rPr>
        <w:t>Zákon o odpadech</w:t>
      </w:r>
      <w:r>
        <w:rPr>
          <w:rFonts w:cs="Times New Roman" w:ascii="Times New Roman" w:hAnsi="Times New Roman"/>
        </w:rPr>
        <w:t>“)</w:t>
      </w:r>
    </w:p>
    <w:p>
      <w:pPr>
        <w:pStyle w:val="NoSpacing"/>
        <w:spacing w:lineRule="auto" w:line="276"/>
        <w:jc w:val="center"/>
        <w:rPr>
          <w:rFonts w:ascii="Times New Roman" w:hAnsi="Times New Roman" w:cs="Times New Roman"/>
        </w:rPr>
      </w:pPr>
      <w:r>
        <w:rPr>
          <w:rFonts w:cs="Times New Roman" w:ascii="Times New Roman" w:hAnsi="Times New Roman"/>
        </w:rPr>
        <w:t>(dále jen „</w:t>
      </w:r>
      <w:r>
        <w:rPr>
          <w:rFonts w:cs="Times New Roman" w:ascii="Times New Roman" w:hAnsi="Times New Roman"/>
          <w:b/>
          <w:bCs/>
        </w:rPr>
        <w:t>Dodatek</w:t>
      </w:r>
      <w:r>
        <w:rPr>
          <w:rFonts w:cs="Times New Roman" w:ascii="Times New Roman" w:hAnsi="Times New Roman"/>
        </w:rPr>
        <w:t>“)</w:t>
      </w:r>
    </w:p>
    <w:p>
      <w:pPr>
        <w:pStyle w:val="NoSpacing"/>
        <w:spacing w:lineRule="auto" w:line="276"/>
        <w:jc w:val="center"/>
        <w:rPr>
          <w:rFonts w:ascii="Times New Roman" w:hAnsi="Times New Roman" w:cs="Times New Roman"/>
        </w:rPr>
      </w:pPr>
      <w:r>
        <w:rPr>
          <w:rFonts w:cs="Times New Roman" w:ascii="Times New Roman" w:hAnsi="Times New Roman"/>
        </w:rPr>
      </w:r>
    </w:p>
    <w:p>
      <w:pPr>
        <w:pStyle w:val="NoSpacing"/>
        <w:spacing w:lineRule="auto" w:line="276"/>
        <w:jc w:val="center"/>
        <w:rPr>
          <w:rFonts w:ascii="Times New Roman" w:hAnsi="Times New Roman" w:cs="Times New Roman"/>
        </w:rPr>
      </w:pPr>
      <w:r>
        <w:rPr>
          <w:rFonts w:cs="Times New Roman" w:ascii="Times New Roman" w:hAnsi="Times New Roman"/>
        </w:rPr>
      </w:r>
    </w:p>
    <w:p>
      <w:pPr>
        <w:pStyle w:val="ListParagraph"/>
        <w:numPr>
          <w:ilvl w:val="0"/>
          <w:numId w:val="1"/>
        </w:numPr>
        <w:spacing w:lineRule="auto" w:line="276" w:before="0" w:after="0"/>
        <w:ind w:left="851" w:hanging="851"/>
        <w:contextualSpacing/>
        <w:jc w:val="both"/>
        <w:rPr>
          <w:rFonts w:ascii="Times New Roman" w:hAnsi="Times New Roman" w:cs="Times New Roman"/>
          <w:b/>
          <w:bCs/>
        </w:rPr>
      </w:pPr>
      <w:bookmarkStart w:id="0" w:name="_Hlk125114516"/>
      <w:r>
        <w:rPr>
          <w:rFonts w:cs="Times New Roman" w:ascii="Times New Roman" w:hAnsi="Times New Roman"/>
          <w:b/>
          <w:bCs/>
        </w:rPr>
        <w:t>Úvodní ustanovení</w:t>
      </w:r>
      <w:bookmarkEnd w:id="0"/>
    </w:p>
    <w:p>
      <w:pPr>
        <w:pStyle w:val="Normal"/>
        <w:spacing w:lineRule="auto" w:line="276" w:before="0" w:after="0"/>
        <w:jc w:val="both"/>
        <w:rPr>
          <w:rFonts w:ascii="Times New Roman" w:hAnsi="Times New Roman" w:cs="Times New Roman"/>
          <w:b/>
          <w:bCs/>
        </w:rPr>
      </w:pPr>
      <w:r>
        <w:rPr>
          <w:rFonts w:cs="Times New Roman" w:ascii="Times New Roman" w:hAnsi="Times New Roman"/>
          <w:b/>
          <w:bCs/>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Dodavatel a Objednatel uzavřeli dne 02.01.2025 smlouvu o přepravě odpadů do zařízení určeného pro nakládání s odpady č. 3/2025 (dále jen „</w:t>
      </w:r>
      <w:r>
        <w:rPr>
          <w:rFonts w:cs="Times New Roman" w:ascii="Times New Roman" w:hAnsi="Times New Roman"/>
          <w:b/>
          <w:bCs/>
        </w:rPr>
        <w:t>Smlouva</w:t>
      </w:r>
      <w:r>
        <w:rPr>
          <w:rFonts w:cs="Times New Roman" w:ascii="Times New Roman" w:hAnsi="Times New Roman"/>
        </w:rPr>
        <w:t>“), na základě níž Dodavatel pro Objednatele zabezpečuje svoz, přepravu a odevzdání komunálního a jiného odpadu.</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bookmarkStart w:id="1" w:name="_Hlk133225869"/>
      <w:r>
        <w:rPr>
          <w:rFonts w:cs="Times New Roman" w:ascii="Times New Roman" w:hAnsi="Times New Roman"/>
        </w:rPr>
        <w:t>Výrazy v tomto Dodatku použité s velkým písmenem mají stejný význam jako ve Smlouvě.</w:t>
      </w:r>
      <w:bookmarkEnd w:id="1"/>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bookmarkStart w:id="2" w:name="_Hlk125114620"/>
      <w:r>
        <w:rPr>
          <w:rFonts w:cs="Times New Roman" w:ascii="Times New Roman" w:hAnsi="Times New Roman"/>
        </w:rPr>
        <w:t>Strany si přejí Smlouvu změnit, a to následovně.</w:t>
      </w:r>
      <w:bookmarkEnd w:id="2"/>
    </w:p>
    <w:p>
      <w:pPr>
        <w:pStyle w:val="NoSpacing"/>
        <w:spacing w:lineRule="auto" w:line="276"/>
        <w:rPr>
          <w:rFonts w:ascii="Times New Roman" w:hAnsi="Times New Roman" w:cs="Times New Roman"/>
        </w:rPr>
      </w:pPr>
      <w:r>
        <w:rPr>
          <w:rFonts w:cs="Times New Roman" w:ascii="Times New Roman" w:hAnsi="Times New Roman"/>
        </w:rPr>
      </w:r>
    </w:p>
    <w:p>
      <w:pPr>
        <w:pStyle w:val="ListParagraph"/>
        <w:numPr>
          <w:ilvl w:val="0"/>
          <w:numId w:val="1"/>
        </w:numPr>
        <w:spacing w:lineRule="auto" w:line="276" w:before="0" w:after="0"/>
        <w:ind w:left="851" w:hanging="851"/>
        <w:contextualSpacing/>
        <w:jc w:val="both"/>
        <w:rPr>
          <w:rFonts w:ascii="Times New Roman" w:hAnsi="Times New Roman" w:cs="Times New Roman"/>
          <w:b/>
          <w:bCs/>
        </w:rPr>
      </w:pPr>
      <w:r>
        <w:rPr>
          <w:rFonts w:cs="Times New Roman" w:ascii="Times New Roman" w:hAnsi="Times New Roman"/>
          <w:b/>
          <w:bCs/>
        </w:rPr>
        <w:t>Předmět Dodatku</w:t>
      </w:r>
    </w:p>
    <w:p>
      <w:pPr>
        <w:pStyle w:val="NoSpacing"/>
        <w:spacing w:lineRule="auto" w:line="276"/>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bookmarkStart w:id="3" w:name="_Ref132885557"/>
      <w:r>
        <w:rPr>
          <w:rFonts w:cs="Times New Roman" w:ascii="Times New Roman" w:hAnsi="Times New Roman"/>
        </w:rPr>
        <w:t>Článek X. Smlouvy „ Soupis sběrných míst“  se nahrazuje následujícím novým zněním:</w:t>
      </w:r>
      <w:bookmarkEnd w:id="3"/>
    </w:p>
    <w:p>
      <w:pPr>
        <w:pStyle w:val="Normal"/>
        <w:spacing w:lineRule="auto" w:line="276" w:before="0" w:after="0"/>
        <w:ind w:left="-6" w:hanging="0"/>
        <w:jc w:val="both"/>
        <w:rPr>
          <w:rFonts w:ascii="Times New Roman" w:hAnsi="Times New Roman" w:cs="Times New Roman"/>
        </w:rPr>
      </w:pPr>
      <w:r>
        <w:rPr>
          <w:rFonts w:cs="Times New Roman" w:ascii="Times New Roman" w:hAnsi="Times New Roman"/>
        </w:rPr>
      </w:r>
    </w:p>
    <w:p>
      <w:pPr>
        <w:pStyle w:val="Normal"/>
        <w:spacing w:lineRule="auto" w:line="276" w:before="0" w:after="0"/>
        <w:ind w:left="-6" w:hanging="0"/>
        <w:jc w:val="both"/>
        <w:rPr>
          <w:rFonts w:ascii="Times New Roman" w:hAnsi="Times New Roman" w:cs="Times New Roman"/>
          <w:i/>
          <w:i/>
          <w:iCs/>
        </w:rPr>
      </w:pPr>
      <w:r>
        <w:rPr>
          <w:rFonts w:cs="Times New Roman" w:ascii="Times New Roman" w:hAnsi="Times New Roman"/>
        </w:rPr>
        <w:t>„</w:t>
      </w:r>
      <w:r>
        <w:rPr>
          <w:rFonts w:cs="Times New Roman" w:ascii="Times New Roman" w:hAnsi="Times New Roman"/>
          <w:i/>
          <w:iCs/>
        </w:rPr>
        <w:t>X.</w:t>
        <w:tab/>
        <w:t>Strany se dohodly na následujících parametrech Svozu odpadu od 01.01.2026:</w:t>
      </w:r>
    </w:p>
    <w:p>
      <w:pPr>
        <w:pStyle w:val="Normal"/>
        <w:spacing w:lineRule="auto" w:line="276" w:before="0" w:after="0"/>
        <w:ind w:left="-6" w:hanging="0"/>
        <w:jc w:val="both"/>
        <w:rPr>
          <w:rFonts w:ascii="Times New Roman" w:hAnsi="Times New Roman" w:cs="Times New Roman"/>
          <w:i/>
          <w:i/>
          <w:iCs/>
        </w:rPr>
      </w:pPr>
      <w:r>
        <w:rPr>
          <w:rFonts w:cs="Times New Roman" w:ascii="Times New Roman" w:hAnsi="Times New Roman"/>
          <w:i/>
          <w:iCs/>
        </w:rPr>
      </w:r>
    </w:p>
    <w:p>
      <w:pPr>
        <w:pStyle w:val="ListParagraph"/>
        <w:numPr>
          <w:ilvl w:val="0"/>
          <w:numId w:val="2"/>
        </w:numPr>
        <w:spacing w:lineRule="auto" w:line="276" w:before="0" w:after="0"/>
        <w:contextualSpacing/>
        <w:jc w:val="both"/>
        <w:rPr>
          <w:rFonts w:ascii="Times New Roman" w:hAnsi="Times New Roman" w:cs="Times New Roman"/>
          <w:i/>
          <w:i/>
          <w:iCs/>
        </w:rPr>
      </w:pPr>
      <w:r>
        <w:rPr>
          <w:rFonts w:cs="Times New Roman" w:ascii="Times New Roman" w:hAnsi="Times New Roman"/>
          <w:i/>
          <w:iCs/>
        </w:rPr>
        <w:t>Sběrné místo:</w:t>
        <w:tab/>
        <w:t>Třebízského 209/9, 288 02 Nymburk, IČP: 1001865952</w:t>
      </w:r>
    </w:p>
    <w:p>
      <w:pPr>
        <w:pStyle w:val="ListParagraph"/>
        <w:spacing w:lineRule="auto" w:line="276" w:before="0" w:after="0"/>
        <w:ind w:left="1419" w:hanging="0"/>
        <w:contextualSpacing/>
        <w:jc w:val="both"/>
        <w:rPr>
          <w:rFonts w:ascii="Times New Roman" w:hAnsi="Times New Roman" w:cs="Times New Roman"/>
          <w:i/>
          <w:i/>
          <w:iCs/>
        </w:rPr>
      </w:pPr>
      <w:r>
        <w:rPr>
          <w:rFonts w:cs="Times New Roman" w:ascii="Times New Roman" w:hAnsi="Times New Roman"/>
          <w:i/>
          <w:iCs/>
        </w:rPr>
      </w:r>
    </w:p>
    <w:p>
      <w:pPr>
        <w:pStyle w:val="ListParagraph"/>
        <w:numPr>
          <w:ilvl w:val="0"/>
          <w:numId w:val="3"/>
        </w:numPr>
        <w:spacing w:lineRule="auto" w:line="276" w:before="0" w:after="0"/>
        <w:contextualSpacing/>
        <w:jc w:val="both"/>
        <w:rPr>
          <w:rFonts w:ascii="Times New Roman" w:hAnsi="Times New Roman" w:cs="Times New Roman"/>
          <w:i/>
          <w:i/>
          <w:iCs/>
        </w:rPr>
      </w:pPr>
      <w:r>
        <w:rPr>
          <w:rFonts w:cs="Times New Roman" w:ascii="Times New Roman" w:hAnsi="Times New Roman"/>
          <w:i/>
          <w:iCs/>
        </w:rPr>
        <w:t>Počet a druh Sběrných nádob: 1x 120l SKO (kat. číslo 200301);</w:t>
      </w:r>
    </w:p>
    <w:p>
      <w:pPr>
        <w:pStyle w:val="ListParagraph"/>
        <w:numPr>
          <w:ilvl w:val="0"/>
          <w:numId w:val="3"/>
        </w:numPr>
        <w:spacing w:lineRule="auto" w:line="276" w:before="0" w:after="0"/>
        <w:contextualSpacing/>
        <w:jc w:val="both"/>
        <w:rPr>
          <w:rFonts w:ascii="Times New Roman" w:hAnsi="Times New Roman" w:cs="Times New Roman"/>
          <w:i/>
          <w:i/>
          <w:iCs/>
        </w:rPr>
      </w:pPr>
      <w:r>
        <w:rPr>
          <w:rFonts w:cs="Times New Roman" w:ascii="Times New Roman" w:hAnsi="Times New Roman"/>
          <w:i/>
          <w:iCs/>
        </w:rPr>
        <w:t>Roční cena bez DPH: 2.498,-Kč Kč;</w:t>
      </w:r>
    </w:p>
    <w:p>
      <w:pPr>
        <w:pStyle w:val="ListParagraph"/>
        <w:numPr>
          <w:ilvl w:val="0"/>
          <w:numId w:val="3"/>
        </w:numPr>
        <w:spacing w:lineRule="auto" w:line="276" w:before="0" w:after="0"/>
        <w:contextualSpacing/>
        <w:jc w:val="both"/>
        <w:rPr>
          <w:rFonts w:ascii="Times New Roman" w:hAnsi="Times New Roman" w:cs="Times New Roman"/>
          <w:i/>
          <w:i/>
          <w:iCs/>
        </w:rPr>
      </w:pPr>
      <w:r>
        <w:rPr>
          <w:rFonts w:cs="Times New Roman" w:ascii="Times New Roman" w:hAnsi="Times New Roman"/>
          <w:i/>
          <w:iCs/>
        </w:rPr>
        <w:t>Frekvence Svozu odpadu: 14ti denní;</w:t>
      </w:r>
    </w:p>
    <w:p>
      <w:pPr>
        <w:pStyle w:val="ListParagraph"/>
        <w:numPr>
          <w:ilvl w:val="0"/>
          <w:numId w:val="3"/>
        </w:numPr>
        <w:spacing w:lineRule="auto" w:line="276" w:before="0" w:after="0"/>
        <w:contextualSpacing/>
        <w:jc w:val="both"/>
        <w:rPr>
          <w:rFonts w:ascii="Times New Roman" w:hAnsi="Times New Roman" w:cs="Times New Roman"/>
          <w:i/>
          <w:i/>
          <w:iCs/>
        </w:rPr>
      </w:pPr>
      <w:r>
        <w:rPr>
          <w:rFonts w:cs="Times New Roman" w:ascii="Times New Roman" w:hAnsi="Times New Roman"/>
          <w:i/>
          <w:iCs/>
        </w:rPr>
        <w:t>Cena Sběrných nádob:1x 120l SKO….468,-Kč bez DPH 21%</w:t>
      </w:r>
    </w:p>
    <w:p>
      <w:pPr>
        <w:pStyle w:val="ListParagraph"/>
        <w:spacing w:lineRule="auto" w:line="276" w:before="0" w:after="0"/>
        <w:contextualSpacing/>
        <w:jc w:val="both"/>
        <w:rPr>
          <w:rFonts w:ascii="Times New Roman" w:hAnsi="Times New Roman" w:cs="Times New Roman"/>
          <w:i/>
          <w:i/>
          <w:iCs/>
        </w:rPr>
      </w:pPr>
      <w:r>
        <w:rPr>
          <w:rFonts w:cs="Times New Roman" w:ascii="Times New Roman" w:hAnsi="Times New Roman"/>
          <w:i/>
          <w:iCs/>
        </w:rPr>
      </w:r>
    </w:p>
    <w:p>
      <w:pPr>
        <w:pStyle w:val="ListParagraph"/>
        <w:spacing w:lineRule="auto" w:line="276" w:before="0" w:after="0"/>
        <w:contextualSpacing/>
        <w:jc w:val="both"/>
        <w:rPr>
          <w:rFonts w:ascii="Times New Roman" w:hAnsi="Times New Roman" w:cs="Times New Roman"/>
          <w:i/>
          <w:i/>
          <w:iCs/>
        </w:rPr>
      </w:pPr>
      <w:r>
        <w:rPr>
          <w:rFonts w:cs="Times New Roman" w:ascii="Times New Roman" w:hAnsi="Times New Roman"/>
          <w:i/>
          <w:iCs/>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V ostatním zůstává Smlouva nezměněna.</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0"/>
          <w:numId w:val="1"/>
        </w:numPr>
        <w:spacing w:lineRule="auto" w:line="276" w:before="0" w:after="0"/>
        <w:ind w:left="851" w:hanging="851"/>
        <w:contextualSpacing/>
        <w:jc w:val="both"/>
        <w:rPr>
          <w:rFonts w:ascii="Times New Roman" w:hAnsi="Times New Roman" w:cs="Times New Roman"/>
          <w:b/>
          <w:bCs/>
        </w:rPr>
      </w:pPr>
      <w:r>
        <w:rPr>
          <w:rFonts w:cs="Times New Roman" w:ascii="Times New Roman" w:hAnsi="Times New Roman"/>
          <w:b/>
          <w:bCs/>
        </w:rPr>
        <w:t>Ostatní a závěrečná ustanovení</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Objednatel bere na vědomí, že Dodavatel pro plnění svých zákonných povinností bude po nezbytnou dobu a ve stanoveném rozsahu zpracovávat osobní údaje Objednatele v souladu s příslušnými předpisy na ochranu osobních údajů.</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Objednatel prohlašuje, že veškeré údaje, které poskytl Dodavateli v souvislosti s uzavřením tohoto Dodatku, jsou pravdivé a aktuální.</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Objednatel bere na vědomí, že Dodavatel je povinným subjektem ve smyslu ust. § 2 odst. 1 zák. č. 106/1999 Sb., o svobodném přístupu k informacím, ve znění pozdějších předpisů, a že v důsledku tohoto svého postavení je povinen na žádost poskytnout informace o skutečnostech uvedených v tomto Dodatku, resp. o samotném jejím uzavření. Objednatel dále bere na vědomí, že tento Dodatek bude ve smyslu ustanovení zák. č. 340/2015 Sb., o registru smluv, ve znění pozdějších předpisů, zveřejněn v registru smluv. Pro tyto případy Objednatel výslovně prohlašuje, že žádný údaj uvedený v tomto Dodatku ani samotnou skutečnost, že byl uzavřen, nepokládá za své obchodní tajemství a uděluje tak souhlas s jejich zveřejněním v registru smluv.</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V otázkách neupravených tímto Dodatkem se použijí ustanovení obecně závazných právních předpisů České republiky, zejména občanského zákoníku.</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Všechny spory vznikající z tohoto Dodatku a v souvislosti s ním budou rozhodovány s konečnou platností příslušnými soudy v České republice. Strany sjednávají, že pro řešení sporů vycházejících z tohoto Dodatku je místně příslušným soudem v prvním stupni Okresní soud v Nymburce. V případě, že by byla dána věcná příslušnost krajského soudu jako soudu prvního stupně, potom tímto příslušným soudem bude Krajský soud v Praze.</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Stane-li se některé ustanovení tohoto Dodatku v budoucnu neplatným nebo bude příslušným způsobem prohlášeno za neplatné či neúčinné, nezakládá tato skutečnost neplatnost Dodatku jako celku. V takovém případě jsou Strany povinny nahradit neplatné či neúčinné ustanovení novým ustanovením odpovídající jejich vůli při uzavření tohoto Dodatku.</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Změny a doplnění tohoto Dodatku jsou možné pouze v písemné podobě a na základě vzájemné dohody obou Stran na základě vzestupně číslovaných dodatků.</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Práva a povinnosti z tohoto Dodatku nemůže Objednatel postoupit na třetí osobu bez předchozího písemného souhlasu Dodavatele a nepřecházejí na právního nástupce Objednatele.</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Jestliže kterákoli ze Stran neuplatní nárok nebo nevykoná právo podle tohoto Dodatku či Smlouvy nebo je vykoná se zpožděním či pouze částečně, nebude to znamenat vzdání se těchto nároků nebo práv. Vzdání se práva z titulu porušení tohoto Dodatku nebo práva na nápravu anebo jakéhokoliv jiného práva podle tohoto Dodatku musí být vyhotoveno písemně a podepsáno Stranou, která takové vzdání činí.</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 xml:space="preserve">Tento Dodatek byl vyhotoven ve dvou stejnopisech s platností originálu, z nichž jedno obdrží Objednatel a jedno Dodavatel. </w:t>
      </w:r>
      <w:bookmarkStart w:id="4" w:name="_Hlk125130766"/>
      <w:r>
        <w:rPr>
          <w:rFonts w:cs="Times New Roman" w:ascii="Times New Roman" w:hAnsi="Times New Roman"/>
        </w:rPr>
        <w:t>Změny a doplnění tohoto Dodatku jsou možné pouze v písemné podobě a na základě vzájemné dohody obou Stran.</w:t>
      </w:r>
      <w:bookmarkEnd w:id="4"/>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bookmarkStart w:id="5" w:name="_Hlk125130795"/>
      <w:bookmarkEnd w:id="5"/>
      <w:r>
        <w:rPr>
          <w:rFonts w:cs="Times New Roman" w:ascii="Times New Roman" w:hAnsi="Times New Roman"/>
        </w:rPr>
        <w:t>Tento Dodatek nabývá platnosti dnem podpisu oběma Stranami a účinnosti dnem jeho zveřejnění v registru smluv. V případě, že zveřejnění tohoto Dodatku není vyžadováno právními předpisy, nabývá účinnosti dnem jeho podpisu.</w:t>
      </w:r>
    </w:p>
    <w:p>
      <w:pPr>
        <w:pStyle w:val="ListParagraph"/>
        <w:rPr>
          <w:rFonts w:ascii="Times New Roman" w:hAnsi="Times New Roman" w:cs="Times New Roman"/>
        </w:rPr>
      </w:pPr>
      <w:r>
        <w:rPr>
          <w:rFonts w:cs="Times New Roman" w:ascii="Times New Roman" w:hAnsi="Times New Roman"/>
        </w:rPr>
      </w:r>
      <w:bookmarkStart w:id="6" w:name="_Hlk125130795_kopie_1"/>
      <w:bookmarkStart w:id="7" w:name="_Hlk125130795_kopie_1"/>
      <w:bookmarkEnd w:id="7"/>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Obě Strany podepisují Dodatek na důkaz souhlasu a jeho obsahem a prohlašují, že jeho obsahu zcela rozumí a že s ním bezvýhradně souhlasí.</w:t>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center"/>
        <w:rPr>
          <w:rFonts w:ascii="Times New Roman" w:hAnsi="Times New Roman" w:cs="Times New Roman"/>
          <w:i/>
          <w:i/>
          <w:iCs/>
        </w:rPr>
      </w:pPr>
      <w:r>
        <w:rPr>
          <w:rFonts w:cs="Times New Roman" w:ascii="Times New Roman" w:hAnsi="Times New Roman"/>
          <w:i/>
          <w:iCs/>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t xml:space="preserve">V Nymburce, dne </w:t>
      </w:r>
      <w:r>
        <w:rPr>
          <w:rFonts w:cs="Times New Roman" w:ascii="Times New Roman" w:hAnsi="Times New Roman"/>
        </w:rPr>
        <w:t>09.12.2025</w:t>
        <w:tab/>
      </w:r>
      <w:r>
        <w:rPr>
          <w:rFonts w:cs="Times New Roman" w:ascii="Times New Roman" w:hAnsi="Times New Roman"/>
        </w:rPr>
        <w:tab/>
        <w:tab/>
        <w:tab/>
        <w:t xml:space="preserve">V Nymburce, dne </w:t>
      </w:r>
      <w:r>
        <w:rPr>
          <w:rFonts w:cs="Times New Roman" w:ascii="Times New Roman" w:hAnsi="Times New Roman"/>
        </w:rPr>
        <w:t>08.12.2025</w:t>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bookmarkStart w:id="8" w:name="_GoBack"/>
      <w:bookmarkStart w:id="9" w:name="_GoBack"/>
      <w:bookmarkEnd w:id="9"/>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t>Dodavatel:</w:t>
        <w:tab/>
        <w:tab/>
        <w:tab/>
        <w:tab/>
        <w:tab/>
        <w:tab/>
        <w:t>Objednatel:</w:t>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t>_________________________________</w:t>
        <w:tab/>
        <w:tab/>
        <w:t>_________________________________</w:t>
      </w:r>
    </w:p>
    <w:p>
      <w:pPr>
        <w:pStyle w:val="Normal"/>
        <w:spacing w:lineRule="auto" w:line="276" w:before="0" w:after="0"/>
        <w:jc w:val="both"/>
        <w:rPr>
          <w:rFonts w:ascii="Times New Roman" w:hAnsi="Times New Roman" w:cs="Times New Roman"/>
        </w:rPr>
      </w:pPr>
      <w:r>
        <w:rPr>
          <w:rFonts w:cs="Times New Roman" w:ascii="Times New Roman" w:hAnsi="Times New Roman"/>
          <w:b/>
          <w:bCs/>
        </w:rPr>
        <w:t>Technické služby města Nymburka</w:t>
      </w:r>
      <w:r>
        <w:rPr>
          <w:rFonts w:cs="Times New Roman" w:ascii="Times New Roman" w:hAnsi="Times New Roman"/>
        </w:rPr>
        <w:tab/>
        <w:tab/>
        <w:tab/>
      </w:r>
    </w:p>
    <w:p>
      <w:pPr>
        <w:pStyle w:val="ListParagraph"/>
        <w:spacing w:lineRule="auto" w:line="276" w:before="0" w:after="0"/>
        <w:ind w:left="0" w:hanging="0"/>
        <w:contextualSpacing/>
        <w:jc w:val="both"/>
        <w:rPr>
          <w:rFonts w:ascii="Times New Roman" w:hAnsi="Times New Roman" w:cs="Times New Roman"/>
        </w:rPr>
      </w:pPr>
      <w:bookmarkStart w:id="10" w:name="_Hlk125130964"/>
      <w:r>
        <w:rPr>
          <w:rFonts w:cs="Times New Roman" w:ascii="Times New Roman" w:hAnsi="Times New Roman"/>
        </w:rPr>
        <w:t>zast. Bc. Josefem Kubišem, ředitelem</w:t>
      </w:r>
      <w:bookmarkEnd w:id="10"/>
      <w:r>
        <w:rPr>
          <w:rFonts w:cs="Times New Roman" w:ascii="Times New Roman" w:hAnsi="Times New Roman"/>
        </w:rPr>
        <w:tab/>
        <w:tab/>
        <w:tab/>
        <w:t xml:space="preserve">zast. </w:t>
      </w:r>
      <w:r>
        <w:rPr>
          <w:rFonts w:cs="Times New Roman" w:ascii="Times New Roman" w:hAnsi="Times New Roman"/>
          <w:b w:val="false"/>
          <w:bCs w:val="false"/>
        </w:rPr>
        <w:t>Danielem Tobiášem</w:t>
      </w:r>
    </w:p>
    <w:p>
      <w:pPr>
        <w:pStyle w:val="ListParagraph"/>
        <w:spacing w:lineRule="auto" w:line="276" w:before="0" w:after="0"/>
        <w:contextualSpacing/>
        <w:rPr>
          <w:rFonts w:ascii="Times New Roman" w:hAnsi="Times New Roman" w:cs="Times New Roman"/>
        </w:rPr>
      </w:pPr>
      <w:r>
        <w:rPr>
          <w:rFonts w:cs="Times New Roman" w:ascii="Times New Roman" w:hAnsi="Times New Roman"/>
        </w:rPr>
      </w:r>
    </w:p>
    <w:p>
      <w:pPr>
        <w:pStyle w:val="ListParagraph"/>
        <w:spacing w:lineRule="auto" w:line="276" w:before="0" w:after="0"/>
        <w:contextualSpacing/>
        <w:rPr>
          <w:rFonts w:ascii="Times New Roman" w:hAnsi="Times New Roman" w:cs="Times New Roman"/>
        </w:rPr>
      </w:pPr>
      <w:r>
        <w:rPr/>
      </w:r>
    </w:p>
    <w:sectPr>
      <w:footerReference w:type="default" r:id="rId2"/>
      <w:type w:val="nextPage"/>
      <w:pgSz w:w="11906" w:h="16838"/>
      <w:pgMar w:left="1417" w:right="1417" w:gutter="0" w:header="0" w:top="1276"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67017796"/>
    </w:sdtPr>
    <w:sdtContent>
      <w:p>
        <w:pPr>
          <w:pStyle w:val="Zpat"/>
          <w:jc w:val="center"/>
          <w:rPr/>
        </w:pPr>
        <w:r>
          <w:rPr/>
          <w:fldChar w:fldCharType="begin"/>
        </w:r>
        <w:r>
          <w:rPr/>
          <w:instrText xml:space="preserve"> PAGE </w:instrText>
        </w:r>
        <w:r>
          <w:rPr/>
          <w:fldChar w:fldCharType="separate"/>
        </w:r>
        <w:r>
          <w:rPr/>
          <w:t>3</w:t>
        </w:r>
        <w:r>
          <w:rPr/>
          <w:fldChar w:fldCharType="end"/>
        </w:r>
      </w:p>
    </w:sdtContent>
  </w:sdt>
  <w:p>
    <w:pPr>
      <w:pStyle w:val="Zpa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upperRoman"/>
      <w:lvlText w:val="%1."/>
      <w:lvlJc w:val="left"/>
      <w:pPr>
        <w:tabs>
          <w:tab w:val="num" w:pos="0"/>
        </w:tabs>
        <w:ind w:left="1419" w:hanging="720"/>
      </w:pPr>
      <w:rPr/>
    </w:lvl>
    <w:lvl w:ilvl="1">
      <w:start w:val="1"/>
      <w:numFmt w:val="lowerLetter"/>
      <w:lvlText w:val="%2."/>
      <w:lvlJc w:val="left"/>
      <w:pPr>
        <w:tabs>
          <w:tab w:val="num" w:pos="0"/>
        </w:tabs>
        <w:ind w:left="1779" w:hanging="360"/>
      </w:pPr>
      <w:rPr/>
    </w:lvl>
    <w:lvl w:ilvl="2">
      <w:start w:val="1"/>
      <w:numFmt w:val="lowerRoman"/>
      <w:lvlText w:val="%3."/>
      <w:lvlJc w:val="right"/>
      <w:pPr>
        <w:tabs>
          <w:tab w:val="num" w:pos="0"/>
        </w:tabs>
        <w:ind w:left="2499" w:hanging="180"/>
      </w:pPr>
      <w:rPr/>
    </w:lvl>
    <w:lvl w:ilvl="3">
      <w:start w:val="1"/>
      <w:numFmt w:val="decimal"/>
      <w:lvlText w:val="%4."/>
      <w:lvlJc w:val="left"/>
      <w:pPr>
        <w:tabs>
          <w:tab w:val="num" w:pos="0"/>
        </w:tabs>
        <w:ind w:left="3219" w:hanging="360"/>
      </w:pPr>
      <w:rPr/>
    </w:lvl>
    <w:lvl w:ilvl="4">
      <w:start w:val="1"/>
      <w:numFmt w:val="lowerLetter"/>
      <w:lvlText w:val="%5."/>
      <w:lvlJc w:val="left"/>
      <w:pPr>
        <w:tabs>
          <w:tab w:val="num" w:pos="0"/>
        </w:tabs>
        <w:ind w:left="3939" w:hanging="360"/>
      </w:pPr>
      <w:rPr/>
    </w:lvl>
    <w:lvl w:ilvl="5">
      <w:start w:val="1"/>
      <w:numFmt w:val="lowerRoman"/>
      <w:lvlText w:val="%6."/>
      <w:lvlJc w:val="right"/>
      <w:pPr>
        <w:tabs>
          <w:tab w:val="num" w:pos="0"/>
        </w:tabs>
        <w:ind w:left="4659" w:hanging="180"/>
      </w:pPr>
      <w:rPr/>
    </w:lvl>
    <w:lvl w:ilvl="6">
      <w:start w:val="1"/>
      <w:numFmt w:val="decimal"/>
      <w:lvlText w:val="%7."/>
      <w:lvlJc w:val="left"/>
      <w:pPr>
        <w:tabs>
          <w:tab w:val="num" w:pos="0"/>
        </w:tabs>
        <w:ind w:left="5379" w:hanging="360"/>
      </w:pPr>
      <w:rPr/>
    </w:lvl>
    <w:lvl w:ilvl="7">
      <w:start w:val="1"/>
      <w:numFmt w:val="lowerLetter"/>
      <w:lvlText w:val="%8."/>
      <w:lvlJc w:val="left"/>
      <w:pPr>
        <w:tabs>
          <w:tab w:val="num" w:pos="0"/>
        </w:tabs>
        <w:ind w:left="6099" w:hanging="360"/>
      </w:pPr>
      <w:rPr/>
    </w:lvl>
    <w:lvl w:ilvl="8">
      <w:start w:val="1"/>
      <w:numFmt w:val="lowerRoman"/>
      <w:lvlText w:val="%9."/>
      <w:lvlJc w:val="right"/>
      <w:pPr>
        <w:tabs>
          <w:tab w:val="num" w:pos="0"/>
        </w:tabs>
        <w:ind w:left="6819" w:hanging="180"/>
      </w:pPr>
      <w:rPr/>
    </w:lvl>
  </w:abstractNum>
  <w:abstractNum w:abstractNumId="3">
    <w:lvl w:ilvl="0">
      <w:start w:val="1"/>
      <w:numFmt w:val="lowerLetter"/>
      <w:lvlText w:val="%1)"/>
      <w:lvlJc w:val="left"/>
      <w:pPr>
        <w:tabs>
          <w:tab w:val="num" w:pos="0"/>
        </w:tabs>
        <w:ind w:left="1779" w:hanging="360"/>
      </w:pPr>
      <w:rPr/>
    </w:lvl>
    <w:lvl w:ilvl="1">
      <w:start w:val="1"/>
      <w:numFmt w:val="lowerLetter"/>
      <w:lvlText w:val="%2."/>
      <w:lvlJc w:val="left"/>
      <w:pPr>
        <w:tabs>
          <w:tab w:val="num" w:pos="0"/>
        </w:tabs>
        <w:ind w:left="2499" w:hanging="360"/>
      </w:pPr>
      <w:rPr/>
    </w:lvl>
    <w:lvl w:ilvl="2">
      <w:start w:val="1"/>
      <w:numFmt w:val="lowerRoman"/>
      <w:lvlText w:val="%3."/>
      <w:lvlJc w:val="right"/>
      <w:pPr>
        <w:tabs>
          <w:tab w:val="num" w:pos="0"/>
        </w:tabs>
        <w:ind w:left="3219" w:hanging="180"/>
      </w:pPr>
      <w:rPr/>
    </w:lvl>
    <w:lvl w:ilvl="3">
      <w:start w:val="1"/>
      <w:numFmt w:val="decimal"/>
      <w:lvlText w:val="%4."/>
      <w:lvlJc w:val="left"/>
      <w:pPr>
        <w:tabs>
          <w:tab w:val="num" w:pos="0"/>
        </w:tabs>
        <w:ind w:left="3939" w:hanging="360"/>
      </w:pPr>
      <w:rPr/>
    </w:lvl>
    <w:lvl w:ilvl="4">
      <w:start w:val="1"/>
      <w:numFmt w:val="lowerLetter"/>
      <w:lvlText w:val="%5."/>
      <w:lvlJc w:val="left"/>
      <w:pPr>
        <w:tabs>
          <w:tab w:val="num" w:pos="0"/>
        </w:tabs>
        <w:ind w:left="4659" w:hanging="360"/>
      </w:pPr>
      <w:rPr/>
    </w:lvl>
    <w:lvl w:ilvl="5">
      <w:start w:val="1"/>
      <w:numFmt w:val="lowerRoman"/>
      <w:lvlText w:val="%6."/>
      <w:lvlJc w:val="right"/>
      <w:pPr>
        <w:tabs>
          <w:tab w:val="num" w:pos="0"/>
        </w:tabs>
        <w:ind w:left="5379" w:hanging="180"/>
      </w:pPr>
      <w:rPr/>
    </w:lvl>
    <w:lvl w:ilvl="6">
      <w:start w:val="1"/>
      <w:numFmt w:val="decimal"/>
      <w:lvlText w:val="%7."/>
      <w:lvlJc w:val="left"/>
      <w:pPr>
        <w:tabs>
          <w:tab w:val="num" w:pos="0"/>
        </w:tabs>
        <w:ind w:left="6099" w:hanging="360"/>
      </w:pPr>
      <w:rPr/>
    </w:lvl>
    <w:lvl w:ilvl="7">
      <w:start w:val="1"/>
      <w:numFmt w:val="lowerLetter"/>
      <w:lvlText w:val="%8."/>
      <w:lvlJc w:val="left"/>
      <w:pPr>
        <w:tabs>
          <w:tab w:val="num" w:pos="0"/>
        </w:tabs>
        <w:ind w:left="6819" w:hanging="360"/>
      </w:pPr>
      <w:rPr/>
    </w:lvl>
    <w:lvl w:ilvl="8">
      <w:start w:val="1"/>
      <w:numFmt w:val="lowerRoman"/>
      <w:lvlText w:val="%9."/>
      <w:lvlJc w:val="right"/>
      <w:pPr>
        <w:tabs>
          <w:tab w:val="num" w:pos="0"/>
        </w:tabs>
        <w:ind w:left="7539"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f249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Internetovodkaz">
    <w:name w:val="Hyperlink"/>
    <w:basedOn w:val="DefaultParagraphFont"/>
    <w:uiPriority w:val="99"/>
    <w:unhideWhenUsed/>
    <w:rsid w:val="00b073b4"/>
    <w:rPr>
      <w:color w:val="0000FF"/>
      <w:u w:val="single"/>
    </w:rPr>
  </w:style>
  <w:style w:type="character" w:styleId="ZhlavChar" w:customStyle="1">
    <w:name w:val="Záhlaví Char"/>
    <w:basedOn w:val="DefaultParagraphFont"/>
    <w:uiPriority w:val="99"/>
    <w:qFormat/>
    <w:rsid w:val="00d8663e"/>
    <w:rPr/>
  </w:style>
  <w:style w:type="character" w:styleId="ZpatChar" w:customStyle="1">
    <w:name w:val="Zápatí Char"/>
    <w:basedOn w:val="DefaultParagraphFont"/>
    <w:uiPriority w:val="99"/>
    <w:qFormat/>
    <w:rsid w:val="00d8663e"/>
    <w:rPr/>
  </w:style>
  <w:style w:type="character" w:styleId="Annotationreference">
    <w:name w:val="annotation reference"/>
    <w:basedOn w:val="DefaultParagraphFont"/>
    <w:uiPriority w:val="99"/>
    <w:semiHidden/>
    <w:unhideWhenUsed/>
    <w:qFormat/>
    <w:rsid w:val="008b71a8"/>
    <w:rPr>
      <w:sz w:val="16"/>
      <w:szCs w:val="16"/>
    </w:rPr>
  </w:style>
  <w:style w:type="character" w:styleId="TextkomenteChar" w:customStyle="1">
    <w:name w:val="Text komentáře Char"/>
    <w:basedOn w:val="DefaultParagraphFont"/>
    <w:link w:val="Annotationtext"/>
    <w:uiPriority w:val="99"/>
    <w:semiHidden/>
    <w:qFormat/>
    <w:rsid w:val="008b71a8"/>
    <w:rPr>
      <w:sz w:val="20"/>
      <w:szCs w:val="20"/>
    </w:rPr>
  </w:style>
  <w:style w:type="character" w:styleId="PedmtkomenteChar" w:customStyle="1">
    <w:name w:val="Předmět komentáře Char"/>
    <w:basedOn w:val="TextkomenteChar"/>
    <w:link w:val="Annotationsubject"/>
    <w:uiPriority w:val="99"/>
    <w:semiHidden/>
    <w:qFormat/>
    <w:rsid w:val="008b71a8"/>
    <w:rPr>
      <w:b/>
      <w:bCs/>
      <w:sz w:val="20"/>
      <w:szCs w:val="20"/>
    </w:rPr>
  </w:style>
  <w:style w:type="character" w:styleId="UnresolvedMention" w:customStyle="1">
    <w:name w:val="Unresolved Mention"/>
    <w:basedOn w:val="DefaultParagraphFont"/>
    <w:uiPriority w:val="99"/>
    <w:semiHidden/>
    <w:unhideWhenUsed/>
    <w:qFormat/>
    <w:rsid w:val="006b5822"/>
    <w:rPr>
      <w:color w:val="605E5C"/>
      <w:shd w:fill="E1DFDD" w:val="clear"/>
    </w:rPr>
  </w:style>
  <w:style w:type="character" w:styleId="Fw-bold" w:customStyle="1">
    <w:name w:val="fw-bold"/>
    <w:basedOn w:val="DefaultParagraphFont"/>
    <w:qFormat/>
    <w:rsid w:val="004b4a75"/>
    <w:rPr/>
  </w:style>
  <w:style w:type="character" w:styleId="Aural" w:customStyle="1">
    <w:name w:val="aural"/>
    <w:basedOn w:val="DefaultParagraphFont"/>
    <w:qFormat/>
    <w:rsid w:val="004b4a75"/>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fb2728"/>
    <w:pPr>
      <w:spacing w:before="0" w:after="160"/>
      <w:ind w:left="720" w:hanging="0"/>
      <w:contextualSpacing/>
    </w:pPr>
    <w:rPr/>
  </w:style>
  <w:style w:type="paragraph" w:styleId="Zhlavazpat">
    <w:name w:val="Záhlaví a zápatí"/>
    <w:basedOn w:val="Normal"/>
    <w:qFormat/>
    <w:pPr/>
    <w:rPr/>
  </w:style>
  <w:style w:type="paragraph" w:styleId="Zhlav">
    <w:name w:val="Header"/>
    <w:basedOn w:val="Normal"/>
    <w:link w:val="ZhlavChar"/>
    <w:uiPriority w:val="99"/>
    <w:unhideWhenUsed/>
    <w:rsid w:val="00d8663e"/>
    <w:pPr>
      <w:tabs>
        <w:tab w:val="clear" w:pos="708"/>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d8663e"/>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xtkomenteChar"/>
    <w:uiPriority w:val="99"/>
    <w:semiHidden/>
    <w:unhideWhenUsed/>
    <w:qFormat/>
    <w:rsid w:val="008b71a8"/>
    <w:pPr>
      <w:spacing w:lineRule="auto" w:line="240"/>
    </w:pPr>
    <w:rPr>
      <w:sz w:val="20"/>
      <w:szCs w:val="20"/>
    </w:rPr>
  </w:style>
  <w:style w:type="paragraph" w:styleId="Annotationsubject">
    <w:name w:val="annotation subject"/>
    <w:basedOn w:val="Annotationtext"/>
    <w:next w:val="Annotationtext"/>
    <w:link w:val="PedmtkomenteChar"/>
    <w:uiPriority w:val="99"/>
    <w:semiHidden/>
    <w:unhideWhenUsed/>
    <w:qFormat/>
    <w:rsid w:val="008b71a8"/>
    <w:pPr/>
    <w:rPr>
      <w:b/>
      <w:bCs/>
    </w:rPr>
  </w:style>
  <w:style w:type="paragraph" w:styleId="NoSpacing">
    <w:name w:val="No Spacing"/>
    <w:uiPriority w:val="1"/>
    <w:qFormat/>
    <w:rsid w:val="005f2495"/>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Revision">
    <w:name w:val="Revision"/>
    <w:uiPriority w:val="99"/>
    <w:semiHidden/>
    <w:qFormat/>
    <w:rsid w:val="008506f8"/>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88BC2-DFD6-4B0A-8C12-E48FA230B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LibreOffice/7.5.4.2$Windows_X86_64 LibreOffice_project/36ccfdc35048b057fd9854c757a8b67ec53977b6</Application>
  <AppVersion>15.0000</AppVersion>
  <Pages>3</Pages>
  <Words>840</Words>
  <Characters>4869</Characters>
  <CharactersWithSpaces>5689</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2025-01-07T09:22:00Z</dcterms:created>
  <dc:creator>Barbora Benakova - OHBS</dc:creator>
  <dc:description/>
  <dc:language>cs-CZ</dc:language>
  <cp:lastModifiedBy/>
  <dcterms:modified xsi:type="dcterms:W3CDTF">2025-12-10T08:30:37Z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