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12FF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053479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3479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0025110297/1102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484F8B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25110297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978052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8052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484F8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  <w:ind w:left="40"/>
            </w:pPr>
            <w:r>
              <w:rPr>
                <w:b/>
              </w:rPr>
              <w:t>MEGABOOKS CZ, spol. s r.o.</w:t>
            </w:r>
            <w:r>
              <w:rPr>
                <w:b/>
              </w:rPr>
              <w:br/>
              <w:t>Třebohostická 2283/2</w:t>
            </w:r>
            <w:r>
              <w:rPr>
                <w:b/>
              </w:rPr>
              <w:br/>
              <w:t>100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484F8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rPr>
                <w:b/>
              </w:rPr>
              <w:t>48117196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rPr>
                <w:b/>
              </w:rPr>
              <w:t>CZ48117196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default10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08.12.2025</w:t>
            </w:r>
            <w:proofErr w:type="gramEnd"/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default10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default10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rPr>
                <w:b/>
              </w:rPr>
              <w:t>poštou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default10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12FF6" w:rsidRDefault="00484F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Cognitio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Historica</w:t>
            </w:r>
            <w:proofErr w:type="spellEnd"/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1 247,00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1 247,00 Kč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12FF6" w:rsidRDefault="00484F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Foundations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Modern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Scholarship</w:t>
            </w:r>
            <w:proofErr w:type="spellEnd"/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2 934,00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2 934,00 Kč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12FF6" w:rsidRDefault="00484F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Nuns</w:t>
            </w:r>
            <w:proofErr w:type="spellEnd"/>
            <w:r>
              <w:rPr>
                <w:sz w:val="18"/>
              </w:rPr>
              <w:t xml:space="preserve"> as </w:t>
            </w:r>
            <w:proofErr w:type="spellStart"/>
            <w:r>
              <w:rPr>
                <w:sz w:val="18"/>
              </w:rPr>
              <w:t>Historians</w:t>
            </w:r>
            <w:proofErr w:type="spellEnd"/>
            <w:r>
              <w:rPr>
                <w:sz w:val="18"/>
              </w:rPr>
              <w:t xml:space="preserve"> in Early </w:t>
            </w:r>
            <w:proofErr w:type="spellStart"/>
            <w:r>
              <w:rPr>
                <w:sz w:val="18"/>
              </w:rPr>
              <w:t>Modern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Germany</w:t>
            </w:r>
            <w:proofErr w:type="spellEnd"/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3 895,00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3 895,00 Kč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12FF6" w:rsidRDefault="00484F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Topica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Universalis</w:t>
            </w:r>
            <w:proofErr w:type="spellEnd"/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2 072,00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2 072,00 Kč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12FF6" w:rsidRDefault="00484F8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Venice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Defense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Republican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Liberty</w:t>
            </w:r>
            <w:proofErr w:type="spellEnd"/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C12FF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2 966,00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2 966,00 Kč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13 114,00 Kč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2FF6" w:rsidRDefault="00484F8B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24.11.2025</w:t>
            </w:r>
            <w:proofErr w:type="gramEnd"/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5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8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30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7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3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1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2FF6" w:rsidRDefault="00484F8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381102</w:t>
            </w:r>
            <w:proofErr w:type="gramEnd"/>
            <w:r>
              <w:rPr>
                <w:b/>
                <w:sz w:val="14"/>
              </w:rPr>
              <w:t xml:space="preserve"> \ 120 \ 345000 HRBEK 24-</w:t>
            </w:r>
            <w:proofErr w:type="spellStart"/>
            <w:r>
              <w:rPr>
                <w:b/>
                <w:sz w:val="14"/>
              </w:rPr>
              <w:t>10417S</w:t>
            </w:r>
            <w:proofErr w:type="spellEnd"/>
            <w:r>
              <w:rPr>
                <w:b/>
                <w:sz w:val="14"/>
              </w:rPr>
              <w:t xml:space="preserve"> \ 0301   Deník: 112 \ Praha KNIHOVNA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  <w:tr w:rsidR="00C12FF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FF6" w:rsidRDefault="00484F8B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260" w:type="dxa"/>
          </w:tcPr>
          <w:p w:rsidR="00C12FF6" w:rsidRDefault="00C12FF6">
            <w:pPr>
              <w:pStyle w:val="EMPTYCELLSTYLE"/>
            </w:pPr>
          </w:p>
        </w:tc>
        <w:tc>
          <w:tcPr>
            <w:tcW w:w="460" w:type="dxa"/>
          </w:tcPr>
          <w:p w:rsidR="00C12FF6" w:rsidRDefault="00C12FF6">
            <w:pPr>
              <w:pStyle w:val="EMPTYCELLSTYLE"/>
            </w:pPr>
          </w:p>
        </w:tc>
      </w:tr>
    </w:tbl>
    <w:p w:rsidR="00484F8B" w:rsidRDefault="00484F8B"/>
    <w:sectPr w:rsidR="00484F8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F6"/>
    <w:rsid w:val="00484F8B"/>
    <w:rsid w:val="007D6EEE"/>
    <w:rsid w:val="00C1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FB9A8-3D22-4058-99AC-FB42CB82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E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2025-12-09T11:06:00Z</cp:lastPrinted>
  <dcterms:created xsi:type="dcterms:W3CDTF">2025-12-09T11:06:00Z</dcterms:created>
  <dcterms:modified xsi:type="dcterms:W3CDTF">2025-12-09T11:06:00Z</dcterms:modified>
</cp:coreProperties>
</file>