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E89E" w14:textId="1A9A7993" w:rsidR="00DC1EAF" w:rsidRPr="00FD13A4" w:rsidRDefault="00EB73E9" w:rsidP="00DC1EAF">
      <w:pPr>
        <w:tabs>
          <w:tab w:val="left" w:pos="0"/>
          <w:tab w:val="left" w:pos="7371"/>
        </w:tabs>
        <w:ind w:left="7655" w:hanging="7655"/>
        <w:jc w:val="right"/>
        <w:rPr>
          <w:rFonts w:ascii="Arial" w:hAnsi="Arial" w:cs="Arial"/>
          <w:sz w:val="22"/>
          <w:szCs w:val="22"/>
        </w:rPr>
      </w:pPr>
      <w:bookmarkStart w:id="0" w:name="_Hlk156982156"/>
      <w:bookmarkEnd w:id="0"/>
      <w:r w:rsidRPr="00EB73E9">
        <w:rPr>
          <w:rFonts w:ascii="Arial" w:hAnsi="Arial" w:cs="Arial"/>
          <w:sz w:val="22"/>
          <w:szCs w:val="22"/>
        </w:rPr>
        <w:t>SPU 483196/2025/</w:t>
      </w:r>
      <w:proofErr w:type="spellStart"/>
      <w:r w:rsidRPr="00EB73E9">
        <w:rPr>
          <w:rFonts w:ascii="Arial" w:hAnsi="Arial" w:cs="Arial"/>
          <w:sz w:val="22"/>
          <w:szCs w:val="22"/>
        </w:rPr>
        <w:t>Pav</w:t>
      </w:r>
      <w:proofErr w:type="spellEnd"/>
    </w:p>
    <w:p w14:paraId="6030EEDB" w14:textId="3DDF25ED" w:rsidR="00DC1EAF" w:rsidRDefault="00DC1EAF" w:rsidP="00DC1EAF">
      <w:pPr>
        <w:jc w:val="right"/>
        <w:rPr>
          <w:rFonts w:ascii="Arial" w:hAnsi="Arial" w:cs="Arial"/>
          <w:sz w:val="22"/>
          <w:szCs w:val="22"/>
        </w:rPr>
      </w:pPr>
      <w:r w:rsidRPr="00FD13A4">
        <w:rPr>
          <w:rFonts w:ascii="Arial" w:hAnsi="Arial" w:cs="Arial"/>
          <w:sz w:val="22"/>
          <w:szCs w:val="22"/>
        </w:rPr>
        <w:tab/>
      </w:r>
      <w:r w:rsidRPr="00EB73E9">
        <w:rPr>
          <w:rFonts w:ascii="Arial" w:hAnsi="Arial" w:cs="Arial"/>
          <w:sz w:val="22"/>
          <w:szCs w:val="22"/>
        </w:rPr>
        <w:t>UID:</w:t>
      </w:r>
      <w:r w:rsidR="00EB73E9" w:rsidRPr="00EB73E9">
        <w:t xml:space="preserve"> </w:t>
      </w:r>
      <w:r w:rsidR="00EB73E9" w:rsidRPr="00EB73E9">
        <w:rPr>
          <w:rFonts w:ascii="Arial" w:hAnsi="Arial" w:cs="Arial"/>
          <w:sz w:val="22"/>
          <w:szCs w:val="22"/>
        </w:rPr>
        <w:t>spuess98051dd2</w:t>
      </w:r>
    </w:p>
    <w:p w14:paraId="50483255" w14:textId="77777777" w:rsidR="00DC1EAF" w:rsidRDefault="00DC1EAF" w:rsidP="00F3696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sidR="00163AF6">
        <w:rPr>
          <w:rFonts w:ascii="Arial" w:hAnsi="Arial" w:cs="Arial"/>
          <w:sz w:val="22"/>
        </w:rPr>
        <w:t xml:space="preserve">pro </w:t>
      </w:r>
      <w:r>
        <w:rPr>
          <w:rFonts w:ascii="Arial" w:hAnsi="Arial" w:cs="Arial"/>
          <w:sz w:val="22"/>
          <w:szCs w:val="22"/>
        </w:rPr>
        <w:t>Šumperk</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90018-3723001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0F37D4A1" w14:textId="26B13B26" w:rsidR="00C473C9" w:rsidRDefault="00931A3A" w:rsidP="00EB73E9">
      <w:r w:rsidRPr="00EB73E9">
        <w:rPr>
          <w:rFonts w:ascii="Arial" w:hAnsi="Arial" w:cs="Arial"/>
          <w:b/>
          <w:bCs/>
          <w:snapToGrid w:val="0"/>
          <w:color w:val="000000"/>
          <w:sz w:val="22"/>
          <w:szCs w:val="22"/>
        </w:rPr>
        <w:t>ÚSOVSKO FOOD a.s.</w:t>
      </w:r>
      <w:r w:rsidR="00C473C9" w:rsidRPr="00EB73E9">
        <w:rPr>
          <w:rFonts w:ascii="Arial" w:hAnsi="Arial" w:cs="Arial"/>
          <w:b/>
          <w:bCs/>
          <w:sz w:val="22"/>
          <w:szCs w:val="22"/>
        </w:rPr>
        <w:br/>
      </w:r>
      <w:r w:rsidR="00C473C9" w:rsidRPr="00EB73E9">
        <w:rPr>
          <w:rFonts w:ascii="Arial" w:hAnsi="Arial" w:cs="Arial"/>
          <w:b/>
          <w:bCs/>
          <w:iCs/>
          <w:sz w:val="22"/>
          <w:szCs w:val="22"/>
        </w:rPr>
        <w:t xml:space="preserve">sídlo: </w:t>
      </w:r>
      <w:r w:rsidRPr="00EB73E9">
        <w:rPr>
          <w:rFonts w:ascii="Arial" w:hAnsi="Arial" w:cs="Arial"/>
          <w:b/>
          <w:bCs/>
          <w:snapToGrid w:val="0"/>
          <w:color w:val="000000"/>
          <w:sz w:val="22"/>
          <w:szCs w:val="22"/>
        </w:rPr>
        <w:t>Klopina 33, 78973</w:t>
      </w:r>
      <w:r w:rsidR="00C473C9" w:rsidRPr="00EB73E9">
        <w:rPr>
          <w:rFonts w:ascii="Arial" w:hAnsi="Arial" w:cs="Arial"/>
          <w:b/>
          <w:bCs/>
          <w:sz w:val="22"/>
          <w:szCs w:val="22"/>
        </w:rPr>
        <w:br/>
        <w:t xml:space="preserve">IČO: </w:t>
      </w:r>
      <w:r w:rsidRPr="00EB73E9">
        <w:rPr>
          <w:rFonts w:ascii="Arial" w:hAnsi="Arial" w:cs="Arial"/>
          <w:b/>
          <w:bCs/>
          <w:snapToGrid w:val="0"/>
          <w:color w:val="000000"/>
          <w:sz w:val="22"/>
          <w:szCs w:val="22"/>
        </w:rPr>
        <w:t>60192011</w:t>
      </w:r>
      <w:r w:rsidR="00C473C9" w:rsidRPr="00EB73E9">
        <w:rPr>
          <w:rFonts w:ascii="Arial" w:hAnsi="Arial" w:cs="Arial"/>
          <w:b/>
          <w:bCs/>
          <w:sz w:val="22"/>
          <w:szCs w:val="22"/>
        </w:rPr>
        <w:br/>
      </w:r>
      <w:r w:rsidR="00C473C9" w:rsidRPr="00EB73E9">
        <w:rPr>
          <w:rFonts w:ascii="Arial" w:hAnsi="Arial" w:cs="Arial"/>
          <w:b/>
          <w:bCs/>
          <w:iCs/>
          <w:sz w:val="22"/>
          <w:szCs w:val="22"/>
        </w:rPr>
        <w:t xml:space="preserve">DIČ: </w:t>
      </w:r>
      <w:r w:rsidRPr="00EB73E9">
        <w:rPr>
          <w:rFonts w:ascii="Arial" w:hAnsi="Arial" w:cs="Arial"/>
          <w:b/>
          <w:bCs/>
          <w:snapToGrid w:val="0"/>
          <w:color w:val="000000"/>
          <w:sz w:val="22"/>
          <w:szCs w:val="22"/>
        </w:rPr>
        <w:t>CZ699000025</w:t>
      </w:r>
      <w:r w:rsidR="00C473C9" w:rsidRPr="00EB73E9">
        <w:rPr>
          <w:rFonts w:ascii="Arial" w:hAnsi="Arial" w:cs="Arial"/>
          <w:b/>
          <w:bCs/>
          <w:iCs/>
          <w:sz w:val="22"/>
          <w:szCs w:val="22"/>
        </w:rPr>
        <w:t xml:space="preserve"> </w:t>
      </w:r>
      <w:r w:rsidR="00C473C9" w:rsidRPr="00EB73E9">
        <w:rPr>
          <w:rFonts w:ascii="Arial" w:hAnsi="Arial" w:cs="Arial"/>
          <w:b/>
          <w:bCs/>
          <w:color w:val="00B050"/>
          <w:sz w:val="22"/>
          <w:szCs w:val="22"/>
        </w:rPr>
        <w:t xml:space="preserve"> </w:t>
      </w:r>
      <w:r w:rsidR="00C473C9">
        <w:rPr>
          <w:rFonts w:ascii="Arial" w:hAnsi="Arial" w:cs="Arial"/>
          <w:snapToGrid w:val="0"/>
          <w:color w:val="000000"/>
          <w:sz w:val="22"/>
          <w:szCs w:val="22"/>
        </w:rPr>
        <w:br/>
      </w:r>
      <w:r w:rsidR="00C473C9" w:rsidRPr="00EB73E9">
        <w:rPr>
          <w:rFonts w:ascii="Arial" w:hAnsi="Arial" w:cs="Arial"/>
          <w:sz w:val="22"/>
          <w:szCs w:val="22"/>
        </w:rPr>
        <w:t>zapsán</w:t>
      </w:r>
      <w:r w:rsidR="00EB73E9">
        <w:rPr>
          <w:rFonts w:ascii="Arial" w:hAnsi="Arial" w:cs="Arial"/>
          <w:i/>
          <w:iCs/>
          <w:sz w:val="22"/>
          <w:szCs w:val="22"/>
        </w:rPr>
        <w:t>a</w:t>
      </w:r>
      <w:r w:rsidR="00C473C9" w:rsidRPr="00EB73E9">
        <w:rPr>
          <w:rFonts w:ascii="Arial" w:hAnsi="Arial" w:cs="Arial"/>
          <w:sz w:val="22"/>
          <w:szCs w:val="22"/>
        </w:rPr>
        <w:t xml:space="preserve"> v obchodním rejstříku vedeném </w:t>
      </w:r>
      <w:r w:rsidR="00EB73E9" w:rsidRPr="00EB73E9">
        <w:rPr>
          <w:rFonts w:ascii="Arial" w:hAnsi="Arial" w:cs="Arial"/>
          <w:sz w:val="22"/>
          <w:szCs w:val="22"/>
        </w:rPr>
        <w:t>Krajským soudem v Ostravě oddíl B, vložka 10006,</w:t>
      </w:r>
      <w:r w:rsidR="00C473C9" w:rsidRPr="00EB73E9">
        <w:rPr>
          <w:rFonts w:ascii="Arial" w:hAnsi="Arial" w:cs="Arial"/>
          <w:i/>
          <w:iCs/>
          <w:sz w:val="22"/>
          <w:szCs w:val="22"/>
        </w:rPr>
        <w:t xml:space="preserve"> </w:t>
      </w:r>
      <w:r w:rsidR="00C473C9" w:rsidRPr="00EB73E9">
        <w:rPr>
          <w:rFonts w:ascii="Arial" w:hAnsi="Arial" w:cs="Arial"/>
          <w:sz w:val="22"/>
          <w:szCs w:val="22"/>
        </w:rPr>
        <w:t>osoba oprávněná jednat za právnickou osobu</w:t>
      </w:r>
      <w:r w:rsidR="00EB73E9">
        <w:rPr>
          <w:rFonts w:ascii="Arial" w:hAnsi="Arial" w:cs="Arial"/>
          <w:sz w:val="22"/>
          <w:szCs w:val="22"/>
        </w:rPr>
        <w:t>:</w:t>
      </w:r>
      <w:r w:rsidR="00EB73E9" w:rsidRPr="00EB73E9">
        <w:rPr>
          <w:rFonts w:ascii="Arial" w:hAnsi="Arial" w:cs="Arial"/>
          <w:sz w:val="22"/>
          <w:szCs w:val="22"/>
        </w:rPr>
        <w:t xml:space="preserve"> Ing. Martin Novák,</w:t>
      </w:r>
      <w:r w:rsidR="00EB73E9">
        <w:rPr>
          <w:rFonts w:ascii="Arial" w:hAnsi="Arial" w:cs="Arial"/>
          <w:sz w:val="22"/>
          <w:szCs w:val="22"/>
        </w:rPr>
        <w:t xml:space="preserve"> </w:t>
      </w:r>
      <w:r w:rsidR="00EB73E9" w:rsidRPr="00EB73E9">
        <w:rPr>
          <w:rFonts w:ascii="Arial" w:hAnsi="Arial" w:cs="Arial"/>
          <w:sz w:val="22"/>
          <w:szCs w:val="22"/>
        </w:rPr>
        <w:t>MBA</w:t>
      </w:r>
      <w:r w:rsidR="00EB73E9">
        <w:rPr>
          <w:rFonts w:ascii="Arial" w:hAnsi="Arial" w:cs="Arial"/>
          <w:sz w:val="22"/>
          <w:szCs w:val="22"/>
        </w:rPr>
        <w:t xml:space="preserve"> – předseda představenstva</w:t>
      </w:r>
      <w:r w:rsidR="00C473C9" w:rsidRPr="00E42448">
        <w:rPr>
          <w:rFonts w:ascii="Arial" w:hAnsi="Arial" w:cs="Arial"/>
          <w:sz w:val="22"/>
          <w:szCs w:val="22"/>
        </w:rPr>
        <w:br/>
      </w:r>
      <w:r w:rsidR="00C473C9">
        <w:rPr>
          <w:rFonts w:ascii="Arial" w:hAnsi="Arial" w:cs="Arial"/>
          <w:sz w:val="22"/>
          <w:szCs w:val="22"/>
        </w:rPr>
        <w:br/>
      </w:r>
    </w:p>
    <w:p w14:paraId="7BF7263E" w14:textId="77777777" w:rsidR="0007620B" w:rsidRPr="0087119A" w:rsidRDefault="0007620B" w:rsidP="0007620B">
      <w:pPr>
        <w:jc w:val="both"/>
        <w:rPr>
          <w:rFonts w:ascii="Arial" w:hAnsi="Arial" w:cs="Arial"/>
          <w:sz w:val="22"/>
          <w:szCs w:val="22"/>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535CB16D" w14:textId="77777777" w:rsidR="004F6D48" w:rsidRDefault="004F6D48" w:rsidP="00F36962">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152N25/63</w:t>
      </w:r>
    </w:p>
    <w:p w14:paraId="791EF870" w14:textId="77777777" w:rsidR="004F6D48" w:rsidRDefault="00691A33" w:rsidP="00691A33">
      <w:pPr>
        <w:tabs>
          <w:tab w:val="left" w:pos="3855"/>
        </w:tabs>
        <w:rPr>
          <w:rFonts w:ascii="Consolas" w:hAnsi="Consolas"/>
          <w:color w:val="000000"/>
          <w:sz w:val="21"/>
          <w:szCs w:val="21"/>
          <w:lang w:val="en-US" w:eastAsia="en-US"/>
        </w:rPr>
      </w:pPr>
      <w:r>
        <w:tab/>
      </w:r>
    </w:p>
    <w:p w14:paraId="342DEB28" w14:textId="77777777" w:rsidR="004F6D48" w:rsidRDefault="004F6D48" w:rsidP="00F36962">
      <w:pPr>
        <w:tabs>
          <w:tab w:val="left" w:pos="7005"/>
        </w:tabs>
        <w:rPr>
          <w:rFonts w:ascii="Arial" w:hAnsi="Arial" w:cs="Arial"/>
          <w:b/>
          <w:bCs/>
          <w:sz w:val="22"/>
          <w:szCs w:val="22"/>
        </w:rPr>
      </w:pPr>
      <w:r>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Šumperk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lastRenderedPageBreak/>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Hanušovice</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Hanušovice</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2072/1</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2 045</w:t>
            </w:r>
          </w:p>
        </w:tc>
        <w:tc>
          <w:tcPr>
            <w:tcW w:w="1275"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0A09A321" w14:textId="77777777" w:rsidTr="000258AF">
        <w:tc>
          <w:tcPr>
            <w:tcW w:w="1555" w:type="dxa"/>
            <w:vAlign w:val="center"/>
          </w:tcPr>
          <w:p w14:paraId="6A997DAB" w14:textId="77777777" w:rsidR="00CF6360" w:rsidRPr="00AA47AC" w:rsidRDefault="00CF6360" w:rsidP="001A0815">
            <w:pPr>
              <w:rPr>
                <w:rFonts w:ascii="Arial" w:hAnsi="Arial" w:cs="Arial"/>
                <w:sz w:val="20"/>
                <w:szCs w:val="22"/>
              </w:rPr>
            </w:pPr>
            <w:r>
              <w:rPr>
                <w:rFonts w:ascii="Arial" w:hAnsi="Arial" w:cs="Arial"/>
                <w:sz w:val="20"/>
                <w:szCs w:val="22"/>
              </w:rPr>
              <w:t>Hanušovice</w:t>
            </w:r>
          </w:p>
        </w:tc>
        <w:tc>
          <w:tcPr>
            <w:tcW w:w="1417" w:type="dxa"/>
            <w:vAlign w:val="center"/>
          </w:tcPr>
          <w:p w14:paraId="1D770A26" w14:textId="77777777" w:rsidR="00CF6360" w:rsidRPr="00AA47AC" w:rsidRDefault="00CF6360" w:rsidP="001A0815">
            <w:pPr>
              <w:rPr>
                <w:rFonts w:ascii="Arial" w:hAnsi="Arial" w:cs="Arial"/>
                <w:sz w:val="20"/>
                <w:szCs w:val="22"/>
              </w:rPr>
            </w:pPr>
            <w:r>
              <w:rPr>
                <w:rFonts w:ascii="Arial" w:hAnsi="Arial" w:cs="Arial"/>
                <w:sz w:val="20"/>
                <w:szCs w:val="22"/>
              </w:rPr>
              <w:t>Hanušovice</w:t>
            </w:r>
          </w:p>
        </w:tc>
        <w:tc>
          <w:tcPr>
            <w:tcW w:w="1559" w:type="dxa"/>
            <w:vAlign w:val="center"/>
          </w:tcPr>
          <w:p w14:paraId="7ACD256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B20B2D7" w14:textId="77777777" w:rsidR="00CF6360" w:rsidRPr="00AA47AC" w:rsidRDefault="00CF6360" w:rsidP="000258AF">
            <w:pPr>
              <w:jc w:val="center"/>
              <w:rPr>
                <w:rFonts w:ascii="Arial" w:hAnsi="Arial" w:cs="Arial"/>
                <w:sz w:val="20"/>
                <w:szCs w:val="22"/>
              </w:rPr>
            </w:pPr>
            <w:r>
              <w:rPr>
                <w:rFonts w:ascii="Arial" w:hAnsi="Arial" w:cs="Arial"/>
                <w:sz w:val="20"/>
                <w:szCs w:val="22"/>
              </w:rPr>
              <w:t>KN 2072/5</w:t>
            </w:r>
          </w:p>
        </w:tc>
        <w:tc>
          <w:tcPr>
            <w:tcW w:w="1134" w:type="dxa"/>
            <w:vAlign w:val="center"/>
          </w:tcPr>
          <w:p w14:paraId="2079B47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780C9184" w14:textId="77777777" w:rsidR="00CF6360" w:rsidRPr="00AA47AC" w:rsidRDefault="00CF6360" w:rsidP="000258AF">
            <w:pPr>
              <w:jc w:val="center"/>
              <w:rPr>
                <w:rFonts w:ascii="Arial" w:hAnsi="Arial" w:cs="Arial"/>
                <w:sz w:val="20"/>
                <w:szCs w:val="22"/>
              </w:rPr>
            </w:pPr>
            <w:r>
              <w:rPr>
                <w:rFonts w:ascii="Arial" w:hAnsi="Arial" w:cs="Arial"/>
                <w:sz w:val="20"/>
                <w:szCs w:val="22"/>
              </w:rPr>
              <w:t>1 852</w:t>
            </w:r>
          </w:p>
        </w:tc>
        <w:tc>
          <w:tcPr>
            <w:tcW w:w="1275" w:type="dxa"/>
            <w:vAlign w:val="center"/>
          </w:tcPr>
          <w:p w14:paraId="15376AD1"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bl>
    <w:p w14:paraId="3F7E008A" w14:textId="77777777" w:rsidR="0007620B" w:rsidRPr="0007620B" w:rsidRDefault="0007620B" w:rsidP="0007620B">
      <w:pPr>
        <w:rPr>
          <w:rFonts w:ascii="Arial" w:hAnsi="Arial" w:cs="Arial"/>
          <w:sz w:val="22"/>
          <w:szCs w:val="22"/>
        </w:rPr>
      </w:pPr>
    </w:p>
    <w:p w14:paraId="16B3070B" w14:textId="77777777" w:rsidR="0007620B" w:rsidRDefault="0007620B" w:rsidP="0007620B">
      <w:pPr>
        <w:tabs>
          <w:tab w:val="left" w:pos="3180"/>
        </w:tabs>
        <w:jc w:val="both"/>
        <w:rPr>
          <w:rFonts w:cstheme="minorHAnsi"/>
        </w:rPr>
      </w:pPr>
    </w:p>
    <w:p w14:paraId="68BDC91D" w14:textId="77777777" w:rsidR="00FD6FE7" w:rsidRPr="006E561D" w:rsidRDefault="00FD6FE7" w:rsidP="00FD6FE7">
      <w:pPr>
        <w:tabs>
          <w:tab w:val="left" w:pos="3180"/>
        </w:tabs>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17EB1054" w14:textId="77777777" w:rsidR="00EB73E9"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EB73E9">
        <w:rPr>
          <w:rFonts w:ascii="Arial" w:hAnsi="Arial" w:cs="Arial"/>
          <w:sz w:val="22"/>
          <w:szCs w:val="22"/>
        </w:rPr>
        <w:t>:</w:t>
      </w:r>
    </w:p>
    <w:p w14:paraId="2D943132" w14:textId="77777777" w:rsidR="00EB73E9" w:rsidRDefault="00EB73E9" w:rsidP="00F36962">
      <w:pPr>
        <w:pStyle w:val="Zkladntext"/>
        <w:rPr>
          <w:rFonts w:ascii="Arial" w:hAnsi="Arial" w:cs="Arial"/>
          <w:sz w:val="22"/>
          <w:szCs w:val="22"/>
        </w:rPr>
      </w:pPr>
      <w:r>
        <w:rPr>
          <w:rFonts w:ascii="Arial" w:hAnsi="Arial" w:cs="Arial"/>
          <w:sz w:val="22"/>
          <w:szCs w:val="22"/>
        </w:rPr>
        <w:t>- areál společnosti</w:t>
      </w:r>
    </w:p>
    <w:p w14:paraId="6C225FBE" w14:textId="77777777" w:rsidR="00EB73E9" w:rsidRDefault="00EB73E9" w:rsidP="00F36962">
      <w:pPr>
        <w:pStyle w:val="Zkladntext"/>
        <w:rPr>
          <w:rFonts w:ascii="Arial" w:hAnsi="Arial" w:cs="Arial"/>
          <w:sz w:val="22"/>
          <w:szCs w:val="22"/>
        </w:rPr>
      </w:pPr>
      <w:r>
        <w:rPr>
          <w:rFonts w:ascii="Arial" w:hAnsi="Arial" w:cs="Arial"/>
          <w:sz w:val="22"/>
          <w:szCs w:val="22"/>
        </w:rPr>
        <w:t xml:space="preserve">- údržba pozemku </w:t>
      </w:r>
    </w:p>
    <w:p w14:paraId="5D2FE759" w14:textId="6EC9A643" w:rsidR="00EB73E9" w:rsidRDefault="00EB73E9" w:rsidP="00F36962">
      <w:pPr>
        <w:pStyle w:val="Zkladntext"/>
        <w:rPr>
          <w:rFonts w:ascii="Arial" w:hAnsi="Arial" w:cs="Arial"/>
          <w:sz w:val="22"/>
          <w:szCs w:val="22"/>
        </w:rPr>
      </w:pPr>
      <w:r>
        <w:rPr>
          <w:rFonts w:ascii="Arial" w:hAnsi="Arial" w:cs="Arial"/>
          <w:sz w:val="22"/>
          <w:szCs w:val="22"/>
        </w:rPr>
        <w:t>- nemožnost skladování materiálu, pozemek ve svahu</w:t>
      </w:r>
    </w:p>
    <w:p w14:paraId="1477D615" w14:textId="545CA93D" w:rsidR="00EB73E9" w:rsidRDefault="00EB73E9" w:rsidP="00F36962">
      <w:pPr>
        <w:pStyle w:val="Zkladntext"/>
        <w:rPr>
          <w:rFonts w:ascii="Arial" w:hAnsi="Arial" w:cs="Arial"/>
          <w:sz w:val="22"/>
          <w:szCs w:val="22"/>
        </w:rPr>
      </w:pPr>
      <w:r>
        <w:rPr>
          <w:rFonts w:ascii="Arial" w:hAnsi="Arial" w:cs="Arial"/>
          <w:sz w:val="22"/>
          <w:szCs w:val="22"/>
        </w:rPr>
        <w:t>- předmět podnikání: výroba, obchod, pekařství, cukrářství</w:t>
      </w:r>
    </w:p>
    <w:p w14:paraId="01550029" w14:textId="7CBDF0B9" w:rsidR="00EB73E9" w:rsidRPr="0087119A" w:rsidRDefault="00EB73E9" w:rsidP="00F36962">
      <w:pPr>
        <w:pStyle w:val="Zkladntext"/>
        <w:rPr>
          <w:rFonts w:ascii="Arial" w:hAnsi="Arial" w:cs="Arial"/>
          <w:sz w:val="22"/>
          <w:szCs w:val="22"/>
        </w:rPr>
      </w:pPr>
      <w:r>
        <w:rPr>
          <w:rFonts w:ascii="Arial" w:hAnsi="Arial" w:cs="Arial"/>
          <w:sz w:val="22"/>
          <w:szCs w:val="22"/>
        </w:rPr>
        <w:t>- pozemek bude sloužit k podnikatelským účelům</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075DBB71"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r w:rsidRPr="00EB73E9">
        <w:rPr>
          <w:rFonts w:ascii="Arial" w:hAnsi="Arial" w:cs="Arial"/>
          <w:sz w:val="22"/>
          <w:szCs w:val="22"/>
        </w:rPr>
        <w:t>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48FC3C72"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0FA7AEAB"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120F1248"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6EEC75C8" w14:textId="77777777" w:rsidR="004F6D48" w:rsidRDefault="004F6D48" w:rsidP="00F36962"/>
    <w:p w14:paraId="006F7D29" w14:textId="77777777" w:rsidR="006167C6" w:rsidRDefault="006167C6" w:rsidP="00F36962"/>
    <w:p w14:paraId="2593B9AC" w14:textId="3C001F0C" w:rsidR="00267A1A" w:rsidRPr="004246AF" w:rsidRDefault="004F6D48" w:rsidP="004246AF">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02CF6891"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EB73E9" w:rsidRPr="00EB73E9">
        <w:rPr>
          <w:rFonts w:ascii="Arial" w:hAnsi="Arial" w:cs="Arial"/>
          <w:b/>
          <w:bCs/>
          <w:sz w:val="22"/>
          <w:szCs w:val="22"/>
        </w:rPr>
        <w:t>01.01.2026</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lastRenderedPageBreak/>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69EB4775"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E086CF3" w14:textId="77777777" w:rsidR="00267A1A" w:rsidRDefault="00267A1A" w:rsidP="00267A1A">
      <w:pPr>
        <w:jc w:val="both"/>
        <w:rPr>
          <w:rFonts w:ascii="Arial" w:hAnsi="Arial" w:cs="Arial"/>
          <w:i/>
          <w:sz w:val="22"/>
          <w:szCs w:val="22"/>
        </w:rPr>
      </w:pPr>
    </w:p>
    <w:p w14:paraId="04489AA5" w14:textId="521F803E"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EB73E9">
        <w:rPr>
          <w:rFonts w:ascii="Arial" w:hAnsi="Arial" w:cs="Arial"/>
          <w:sz w:val="22"/>
          <w:szCs w:val="22"/>
          <w:shd w:val="clear" w:color="auto" w:fill="FFFFFF"/>
        </w:rPr>
        <w:t>.</w:t>
      </w:r>
    </w:p>
    <w:p w14:paraId="706162C9" w14:textId="77777777" w:rsidR="00267A1A" w:rsidRDefault="00267A1A" w:rsidP="00267A1A">
      <w:pPr>
        <w:jc w:val="both"/>
        <w:rPr>
          <w:rFonts w:ascii="Arial" w:hAnsi="Arial" w:cs="Arial"/>
          <w:i/>
          <w:sz w:val="22"/>
          <w:szCs w:val="22"/>
        </w:rPr>
      </w:pP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11 691</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jedenáct tisíc šest set devadesát jedna koruna česká</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2026</w:t>
      </w:r>
      <w:r w:rsidRPr="002F32A7">
        <w:rPr>
          <w:rFonts w:ascii="Arial" w:hAnsi="Arial" w:cs="Arial"/>
          <w:bCs/>
          <w:sz w:val="22"/>
          <w:szCs w:val="22"/>
        </w:rPr>
        <w:t xml:space="preserve"> včetně činí </w:t>
      </w:r>
      <w:r w:rsidRPr="00EB73E9">
        <w:rPr>
          <w:rFonts w:ascii="Arial" w:hAnsi="Arial" w:cs="Arial"/>
          <w:b/>
          <w:bCs/>
          <w:sz w:val="22"/>
          <w:szCs w:val="22"/>
        </w:rPr>
        <w:t>8 744 Kč</w:t>
      </w:r>
      <w:r w:rsidRPr="002F32A7">
        <w:rPr>
          <w:rFonts w:ascii="Arial" w:hAnsi="Arial" w:cs="Arial"/>
          <w:bCs/>
          <w:sz w:val="22"/>
          <w:szCs w:val="22"/>
        </w:rPr>
        <w:t xml:space="preserve"> (slovy: </w:t>
      </w:r>
      <w:r>
        <w:rPr>
          <w:rFonts w:ascii="Arial" w:hAnsi="Arial" w:cs="Arial"/>
          <w:sz w:val="22"/>
          <w:szCs w:val="22"/>
        </w:rPr>
        <w:t>osm tisíc sedm set čtyřicet čtyři koruny české</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90018-3723001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15212563.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15212563.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EB73E9">
        <w:rPr>
          <w:rFonts w:ascii="Arial" w:hAnsi="Arial" w:cs="Arial"/>
          <w:b w:val="0"/>
          <w:sz w:val="22"/>
          <w:szCs w:val="22"/>
        </w:rPr>
        <w:t>11</w:t>
      </w:r>
      <w:r w:rsidR="004F6D48" w:rsidRPr="00EB73E9">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EB73E9">
        <w:rPr>
          <w:rFonts w:ascii="Arial" w:hAnsi="Arial" w:cs="Arial"/>
          <w:b w:val="0"/>
          <w:sz w:val="22"/>
          <w:szCs w:val="22"/>
        </w:rPr>
        <w:t xml:space="preserve">é </w:t>
      </w:r>
      <w:r w:rsidR="004F6D48" w:rsidRPr="00EB73E9">
        <w:rPr>
          <w:rFonts w:ascii="Arial" w:hAnsi="Arial" w:cs="Arial"/>
          <w:b w:val="0"/>
          <w:sz w:val="22"/>
          <w:szCs w:val="22"/>
        </w:rPr>
        <w:t>jsou předmětem nájmu dle této smlouvy, není zajištěn přístup.</w:t>
      </w:r>
    </w:p>
    <w:p w14:paraId="6F5CA52E" w14:textId="77777777" w:rsidR="004F6D48" w:rsidRPr="0087119A" w:rsidRDefault="004F6D48" w:rsidP="00F36962">
      <w:pPr>
        <w:jc w:val="both"/>
        <w:rPr>
          <w:rFonts w:ascii="Arial" w:hAnsi="Arial" w:cs="Arial"/>
          <w:sz w:val="22"/>
          <w:szCs w:val="22"/>
        </w:rPr>
      </w:pPr>
    </w:p>
    <w:p w14:paraId="5039D7C9"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EB73E9">
        <w:rPr>
          <w:rFonts w:ascii="Arial" w:hAnsi="Arial" w:cs="Arial"/>
          <w:sz w:val="22"/>
          <w:szCs w:val="22"/>
        </w:rPr>
        <w:t>2) Nájemce bere na vědomí a je srozuměn s tím, že k pozemk</w:t>
      </w:r>
      <w:r w:rsidR="00C74399" w:rsidRPr="00EB73E9">
        <w:rPr>
          <w:rFonts w:ascii="Arial" w:hAnsi="Arial" w:cs="Arial"/>
          <w:sz w:val="22"/>
          <w:szCs w:val="22"/>
        </w:rPr>
        <w:t>ům</w:t>
      </w:r>
      <w:r w:rsidRPr="00EB73E9">
        <w:rPr>
          <w:rFonts w:ascii="Arial" w:hAnsi="Arial" w:cs="Arial"/>
          <w:i/>
          <w:sz w:val="22"/>
          <w:szCs w:val="22"/>
        </w:rPr>
        <w:t>,</w:t>
      </w:r>
      <w:r w:rsidRPr="00EB73E9">
        <w:rPr>
          <w:rFonts w:ascii="Arial" w:hAnsi="Arial" w:cs="Arial"/>
          <w:sz w:val="22"/>
          <w:szCs w:val="22"/>
        </w:rPr>
        <w:t xml:space="preserve"> které</w:t>
      </w:r>
      <w:r w:rsidR="00C74399" w:rsidRPr="00EB73E9">
        <w:rPr>
          <w:rFonts w:ascii="Arial" w:hAnsi="Arial" w:cs="Arial"/>
          <w:sz w:val="22"/>
          <w:szCs w:val="22"/>
        </w:rPr>
        <w:t xml:space="preserve"> </w:t>
      </w:r>
      <w:r w:rsidRPr="00EB73E9">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87119A" w:rsidRDefault="004F6D48" w:rsidP="00F36962">
      <w:pPr>
        <w:jc w:val="both"/>
        <w:rPr>
          <w:rFonts w:ascii="Arial" w:hAnsi="Arial" w:cs="Arial"/>
          <w:sz w:val="22"/>
          <w:szCs w:val="22"/>
        </w:rPr>
      </w:pP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EB73E9">
        <w:rPr>
          <w:rFonts w:ascii="Arial" w:hAnsi="Arial" w:cs="Arial"/>
          <w:bCs/>
          <w:sz w:val="22"/>
          <w:szCs w:val="22"/>
        </w:rPr>
        <w:t>Pronajímatel</w:t>
      </w:r>
      <w:r w:rsidRPr="00EB73E9">
        <w:rPr>
          <w:rFonts w:ascii="Arial" w:hAnsi="Arial" w:cs="Arial"/>
          <w:i/>
          <w:sz w:val="22"/>
          <w:szCs w:val="22"/>
        </w:rPr>
        <w:t xml:space="preserve"> </w:t>
      </w:r>
      <w:r w:rsidRPr="00EB73E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EB73E9">
        <w:rPr>
          <w:rFonts w:ascii="Arial" w:hAnsi="Arial" w:cs="Arial"/>
          <w:bCs/>
          <w:sz w:val="22"/>
          <w:szCs w:val="22"/>
        </w:rPr>
        <w:t>pronajímatel</w:t>
      </w:r>
      <w:r w:rsidRPr="00EB73E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877E024" w14:textId="77777777" w:rsidR="00C74399" w:rsidRDefault="00C74399" w:rsidP="00C74399">
      <w:pPr>
        <w:pStyle w:val="Zkladntext2"/>
        <w:rPr>
          <w:rFonts w:ascii="Arial" w:hAnsi="Arial" w:cs="Arial"/>
          <w:sz w:val="22"/>
          <w:szCs w:val="22"/>
        </w:rPr>
      </w:pP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25F6B48" w14:textId="4374FA03" w:rsidR="004F6D48"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0B5734F" w14:textId="77777777" w:rsidR="004246AF" w:rsidRDefault="004246AF" w:rsidP="00F36962">
      <w:pPr>
        <w:jc w:val="both"/>
        <w:rPr>
          <w:rFonts w:ascii="Arial" w:hAnsi="Arial" w:cs="Arial"/>
          <w:sz w:val="22"/>
          <w:szCs w:val="22"/>
        </w:rPr>
      </w:pPr>
    </w:p>
    <w:p w14:paraId="611B9DE9" w14:textId="77777777" w:rsidR="004246AF" w:rsidRPr="0087119A" w:rsidRDefault="004246AF" w:rsidP="00F36962">
      <w:pPr>
        <w:jc w:val="both"/>
        <w:rPr>
          <w:rFonts w:ascii="Arial" w:hAnsi="Arial" w:cs="Arial"/>
          <w:sz w:val="22"/>
          <w:szCs w:val="22"/>
        </w:rPr>
      </w:pP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w:t>
      </w:r>
    </w:p>
    <w:p w14:paraId="15EDCE47" w14:textId="77777777" w:rsidR="004F6D48" w:rsidRPr="0087119A" w:rsidRDefault="004F6D48" w:rsidP="00F36962">
      <w:pPr>
        <w:jc w:val="center"/>
        <w:rPr>
          <w:rFonts w:ascii="Arial" w:hAnsi="Arial" w:cs="Arial"/>
          <w:sz w:val="22"/>
          <w:szCs w:val="22"/>
        </w:rPr>
      </w:pPr>
    </w:p>
    <w:p w14:paraId="5F0F3582" w14:textId="1240DCD2" w:rsidR="004F6D48" w:rsidRPr="0087119A" w:rsidRDefault="004F6D48" w:rsidP="00F36962">
      <w:pPr>
        <w:jc w:val="both"/>
        <w:rPr>
          <w:rFonts w:ascii="Arial" w:hAnsi="Arial" w:cs="Arial"/>
          <w:sz w:val="22"/>
          <w:szCs w:val="22"/>
        </w:rPr>
      </w:pPr>
      <w:r w:rsidRPr="00EB73E9">
        <w:rPr>
          <w:rFonts w:ascii="Arial" w:hAnsi="Arial" w:cs="Arial"/>
          <w:sz w:val="22"/>
          <w:szCs w:val="22"/>
        </w:rPr>
        <w:t xml:space="preserve">Tato smlouva je vyhotovena </w:t>
      </w:r>
      <w:r w:rsidR="00EB73E9" w:rsidRPr="00EB73E9">
        <w:rPr>
          <w:rFonts w:ascii="Arial" w:hAnsi="Arial" w:cs="Arial"/>
          <w:sz w:val="22"/>
          <w:szCs w:val="22"/>
        </w:rPr>
        <w:t>ve dvou stejnopisech</w:t>
      </w:r>
      <w:r w:rsidRPr="00EB73E9">
        <w:rPr>
          <w:rFonts w:ascii="Arial" w:hAnsi="Arial" w:cs="Arial"/>
          <w:sz w:val="22"/>
          <w:szCs w:val="22"/>
        </w:rPr>
        <w:t xml:space="preserve">, z nichž každý má platnost originálu. </w:t>
      </w:r>
      <w:r w:rsidR="00EB73E9" w:rsidRPr="00EB73E9">
        <w:rPr>
          <w:rFonts w:ascii="Arial" w:hAnsi="Arial" w:cs="Arial"/>
          <w:sz w:val="22"/>
          <w:szCs w:val="22"/>
        </w:rPr>
        <w:t xml:space="preserve">Jeden </w:t>
      </w:r>
      <w:r w:rsidRPr="00EB73E9">
        <w:rPr>
          <w:rFonts w:ascii="Arial" w:hAnsi="Arial" w:cs="Arial"/>
          <w:sz w:val="22"/>
          <w:szCs w:val="22"/>
        </w:rPr>
        <w:t>stejnopis</w:t>
      </w:r>
      <w:r w:rsidR="00EB73E9">
        <w:rPr>
          <w:rFonts w:ascii="Arial" w:hAnsi="Arial" w:cs="Arial"/>
          <w:i/>
          <w:iCs/>
          <w:sz w:val="22"/>
          <w:szCs w:val="22"/>
        </w:rPr>
        <w:t xml:space="preserve"> </w:t>
      </w:r>
      <w:r w:rsidRPr="0087119A">
        <w:rPr>
          <w:rFonts w:ascii="Arial" w:hAnsi="Arial" w:cs="Arial"/>
          <w:sz w:val="22"/>
          <w:szCs w:val="22"/>
        </w:rPr>
        <w:t>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45637C9B" w14:textId="77777777" w:rsidR="004F6D48" w:rsidRPr="00530E84" w:rsidRDefault="004F6D48" w:rsidP="00FC49A3">
      <w:pPr>
        <w:rPr>
          <w:rFonts w:ascii="Arial" w:hAnsi="Arial" w:cs="Arial"/>
          <w:sz w:val="22"/>
          <w:szCs w:val="22"/>
          <w:highlight w:val="yellow"/>
        </w:rPr>
      </w:pPr>
    </w:p>
    <w:p w14:paraId="469143AA" w14:textId="77777777" w:rsidR="004F6D48" w:rsidRPr="00EB73E9" w:rsidRDefault="004F6D48" w:rsidP="00F36962">
      <w:pPr>
        <w:pStyle w:val="para"/>
        <w:tabs>
          <w:tab w:val="clear" w:pos="709"/>
        </w:tabs>
        <w:jc w:val="both"/>
        <w:rPr>
          <w:rFonts w:ascii="Arial" w:hAnsi="Arial" w:cs="Arial"/>
          <w:b w:val="0"/>
          <w:sz w:val="22"/>
          <w:szCs w:val="22"/>
        </w:rPr>
      </w:pPr>
      <w:r w:rsidRPr="00EB73E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EB73E9">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675CCC7E"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Default="004F6D48" w:rsidP="00F36962">
      <w:pPr>
        <w:jc w:val="both"/>
        <w:rPr>
          <w:rFonts w:ascii="Arial" w:hAnsi="Arial" w:cs="Arial"/>
          <w:sz w:val="22"/>
          <w:szCs w:val="22"/>
        </w:rPr>
      </w:pPr>
    </w:p>
    <w:p w14:paraId="57C9D87A" w14:textId="77777777" w:rsidR="004246AF" w:rsidRDefault="004246AF" w:rsidP="00F36962">
      <w:pPr>
        <w:jc w:val="both"/>
        <w:rPr>
          <w:rFonts w:ascii="Arial" w:hAnsi="Arial" w:cs="Arial"/>
          <w:sz w:val="22"/>
          <w:szCs w:val="22"/>
        </w:rPr>
      </w:pPr>
    </w:p>
    <w:p w14:paraId="2E3E6A1F" w14:textId="77777777" w:rsidR="004246AF" w:rsidRPr="0087119A" w:rsidRDefault="004246AF"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bookmarkStart w:id="2" w:name="_Hlk214972982"/>
    </w:p>
    <w:p w14:paraId="76986422" w14:textId="64A1325E" w:rsidR="004F6D48" w:rsidRPr="0087119A" w:rsidRDefault="004F6D48" w:rsidP="00F36962">
      <w:pPr>
        <w:jc w:val="both"/>
        <w:rPr>
          <w:rFonts w:ascii="Arial" w:hAnsi="Arial" w:cs="Arial"/>
          <w:sz w:val="22"/>
          <w:szCs w:val="22"/>
        </w:rPr>
      </w:pPr>
      <w:r w:rsidRPr="00EB73E9">
        <w:rPr>
          <w:rFonts w:ascii="Arial" w:hAnsi="Arial" w:cs="Arial"/>
          <w:sz w:val="22"/>
          <w:szCs w:val="22"/>
        </w:rPr>
        <w:t xml:space="preserve">V </w:t>
      </w:r>
      <w:r w:rsidR="004C36EC">
        <w:rPr>
          <w:rFonts w:ascii="Arial" w:hAnsi="Arial" w:cs="Arial"/>
          <w:sz w:val="22"/>
          <w:szCs w:val="22"/>
        </w:rPr>
        <w:t>Šumperku</w:t>
      </w:r>
      <w:r w:rsidRPr="00EB73E9">
        <w:rPr>
          <w:rFonts w:ascii="Arial" w:hAnsi="Arial" w:cs="Arial"/>
          <w:sz w:val="22"/>
          <w:szCs w:val="22"/>
        </w:rPr>
        <w:t xml:space="preserve"> dne </w:t>
      </w:r>
      <w:r w:rsidR="004C36EC">
        <w:rPr>
          <w:rFonts w:ascii="Arial" w:hAnsi="Arial" w:cs="Arial"/>
          <w:sz w:val="22"/>
          <w:szCs w:val="22"/>
        </w:rPr>
        <w:t>09.12.2025</w:t>
      </w:r>
      <w:r w:rsidR="00EB73E9">
        <w:rPr>
          <w:rFonts w:ascii="Arial" w:hAnsi="Arial" w:cs="Arial"/>
          <w:sz w:val="22"/>
          <w:szCs w:val="22"/>
        </w:rPr>
        <w:t xml:space="preserve">                      </w:t>
      </w:r>
      <w:r w:rsidR="004C36EC">
        <w:rPr>
          <w:rFonts w:ascii="Arial" w:hAnsi="Arial" w:cs="Arial"/>
          <w:sz w:val="22"/>
          <w:szCs w:val="22"/>
        </w:rPr>
        <w:t xml:space="preserve">            </w:t>
      </w:r>
      <w:r w:rsidR="00EB73E9">
        <w:rPr>
          <w:rFonts w:ascii="Arial" w:hAnsi="Arial" w:cs="Arial"/>
          <w:sz w:val="22"/>
          <w:szCs w:val="22"/>
        </w:rPr>
        <w:t>V</w:t>
      </w:r>
      <w:r w:rsidR="004C36EC">
        <w:rPr>
          <w:rFonts w:ascii="Arial" w:hAnsi="Arial" w:cs="Arial"/>
          <w:sz w:val="22"/>
          <w:szCs w:val="22"/>
        </w:rPr>
        <w:t xml:space="preserve"> Klopině </w:t>
      </w:r>
      <w:r w:rsidR="00EB73E9">
        <w:rPr>
          <w:rFonts w:ascii="Arial" w:hAnsi="Arial" w:cs="Arial"/>
          <w:sz w:val="22"/>
          <w:szCs w:val="22"/>
        </w:rPr>
        <w:t>dne</w:t>
      </w:r>
      <w:r w:rsidR="004C36EC">
        <w:rPr>
          <w:rFonts w:ascii="Arial" w:hAnsi="Arial" w:cs="Arial"/>
          <w:sz w:val="22"/>
          <w:szCs w:val="22"/>
        </w:rPr>
        <w:t xml:space="preserve"> 09.12.2025</w:t>
      </w:r>
      <w:r w:rsidR="00EB73E9">
        <w:rPr>
          <w:rFonts w:ascii="Arial" w:hAnsi="Arial" w:cs="Arial"/>
          <w:sz w:val="22"/>
          <w:szCs w:val="22"/>
        </w:rPr>
        <w:t xml:space="preserve">                   </w:t>
      </w:r>
    </w:p>
    <w:bookmarkEnd w:id="2"/>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0C376894" w14:textId="2A1B0C1D"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EB73E9">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ÚSOVSKO FOOD a.s.</w:t>
      </w:r>
      <w:r w:rsidR="005565AE">
        <w:rPr>
          <w:rFonts w:ascii="Arial" w:hAnsi="Arial" w:cs="Arial"/>
          <w:sz w:val="22"/>
          <w:szCs w:val="22"/>
        </w:rPr>
        <w:br/>
      </w:r>
      <w:r w:rsidR="00E63E23">
        <w:rPr>
          <w:rFonts w:ascii="Arial" w:hAnsi="Arial" w:cs="Arial"/>
          <w:sz w:val="22"/>
          <w:szCs w:val="22"/>
        </w:rPr>
        <w:t xml:space="preserve"> </w:t>
      </w:r>
      <w:r w:rsidR="00EB73E9">
        <w:rPr>
          <w:rFonts w:ascii="Arial" w:hAnsi="Arial" w:cs="Arial"/>
          <w:color w:val="000000"/>
          <w:sz w:val="22"/>
          <w:szCs w:val="22"/>
        </w:rPr>
        <w:t>Ing. Martin Novák, MBA</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Pr="0087119A" w:rsidRDefault="004F6D48" w:rsidP="00B01F96">
      <w:pPr>
        <w:tabs>
          <w:tab w:val="left" w:pos="5670"/>
        </w:tabs>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Radka Pavlasová DiS.</w:t>
      </w:r>
      <w:r w:rsidRPr="00E24F49">
        <w:rPr>
          <w:rFonts w:ascii="Arial" w:hAnsi="Arial" w:cs="Arial"/>
          <w:sz w:val="22"/>
        </w:rPr>
        <w:t xml:space="preserve"> </w:t>
      </w:r>
    </w:p>
    <w:p w14:paraId="6C14E078" w14:textId="77777777" w:rsidR="004F6D48" w:rsidRPr="0087119A" w:rsidRDefault="004F6D48" w:rsidP="00F36962">
      <w:pPr>
        <w:pStyle w:val="Zkladntext21"/>
        <w:spacing w:before="120"/>
        <w:rPr>
          <w:rFonts w:ascii="Arial" w:hAnsi="Arial" w:cs="Arial"/>
          <w:b w:val="0"/>
          <w:bCs/>
          <w:sz w:val="20"/>
        </w:rPr>
      </w:pPr>
      <w:r w:rsidRPr="0087119A">
        <w:rPr>
          <w:rFonts w:ascii="Arial" w:hAnsi="Arial" w:cs="Arial"/>
          <w:b w:val="0"/>
          <w:bCs/>
          <w:sz w:val="20"/>
        </w:rPr>
        <w:t>…………………………..</w:t>
      </w:r>
    </w:p>
    <w:p w14:paraId="7327F8BB"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4C70B171" w14:textId="77777777" w:rsidR="004F6D48" w:rsidRPr="00FC49A3" w:rsidRDefault="004F6D48" w:rsidP="00F36962">
      <w:pPr>
        <w:jc w:val="both"/>
        <w:rPr>
          <w:rFonts w:ascii="Arial" w:hAnsi="Arial" w:cs="Arial"/>
          <w:sz w:val="22"/>
          <w:szCs w:val="22"/>
        </w:rPr>
      </w:pPr>
      <w:r w:rsidRPr="00FC49A3">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FC49A3" w:rsidRDefault="004F6D48" w:rsidP="00F36962">
      <w:pPr>
        <w:jc w:val="both"/>
        <w:rPr>
          <w:rFonts w:ascii="Arial" w:hAnsi="Arial" w:cs="Arial"/>
          <w:sz w:val="22"/>
          <w:szCs w:val="22"/>
        </w:rPr>
      </w:pPr>
    </w:p>
    <w:p w14:paraId="28260E80" w14:textId="04AF11D8" w:rsidR="004F6D48" w:rsidRPr="00FC49A3" w:rsidRDefault="004F6D48" w:rsidP="00F36962">
      <w:pPr>
        <w:jc w:val="both"/>
        <w:rPr>
          <w:rFonts w:ascii="Arial" w:hAnsi="Arial" w:cs="Arial"/>
          <w:sz w:val="22"/>
          <w:szCs w:val="22"/>
        </w:rPr>
      </w:pPr>
      <w:r w:rsidRPr="00FC49A3">
        <w:rPr>
          <w:rFonts w:ascii="Arial" w:hAnsi="Arial" w:cs="Arial"/>
          <w:sz w:val="22"/>
          <w:szCs w:val="22"/>
        </w:rPr>
        <w:t xml:space="preserve">Datum registrace: </w:t>
      </w:r>
      <w:r w:rsidR="00EB73E9" w:rsidRPr="00FC49A3">
        <w:rPr>
          <w:rFonts w:ascii="Arial" w:hAnsi="Arial" w:cs="Arial"/>
          <w:sz w:val="22"/>
          <w:szCs w:val="22"/>
        </w:rPr>
        <w:t>………</w:t>
      </w:r>
      <w:proofErr w:type="gramStart"/>
      <w:r w:rsidR="00EB73E9" w:rsidRPr="00FC49A3">
        <w:rPr>
          <w:rFonts w:ascii="Arial" w:hAnsi="Arial" w:cs="Arial"/>
          <w:sz w:val="22"/>
          <w:szCs w:val="22"/>
        </w:rPr>
        <w:t>…….</w:t>
      </w:r>
      <w:proofErr w:type="gramEnd"/>
      <w:r w:rsidR="00EB73E9" w:rsidRPr="00FC49A3">
        <w:rPr>
          <w:rFonts w:ascii="Arial" w:hAnsi="Arial" w:cs="Arial"/>
          <w:sz w:val="22"/>
          <w:szCs w:val="22"/>
        </w:rPr>
        <w:t>.</w:t>
      </w:r>
    </w:p>
    <w:p w14:paraId="57070C35" w14:textId="312373B0" w:rsidR="004F6D48" w:rsidRPr="00FC49A3" w:rsidRDefault="004F6D48" w:rsidP="00F36962">
      <w:pPr>
        <w:jc w:val="both"/>
        <w:rPr>
          <w:rFonts w:ascii="Arial" w:hAnsi="Arial" w:cs="Arial"/>
          <w:sz w:val="22"/>
          <w:szCs w:val="22"/>
        </w:rPr>
      </w:pPr>
      <w:r w:rsidRPr="00FC49A3">
        <w:rPr>
          <w:rFonts w:ascii="Arial" w:hAnsi="Arial" w:cs="Arial"/>
          <w:sz w:val="22"/>
          <w:szCs w:val="22"/>
        </w:rPr>
        <w:t xml:space="preserve">ID smlouvy: </w:t>
      </w:r>
      <w:r w:rsidR="00EB73E9" w:rsidRPr="00FC49A3">
        <w:rPr>
          <w:rFonts w:ascii="Arial" w:hAnsi="Arial" w:cs="Arial"/>
          <w:sz w:val="22"/>
          <w:szCs w:val="22"/>
        </w:rPr>
        <w:t>…………………….</w:t>
      </w:r>
    </w:p>
    <w:p w14:paraId="446C2093" w14:textId="5BD5F219" w:rsidR="004F6D48" w:rsidRPr="00FC49A3" w:rsidRDefault="004F6D48" w:rsidP="00F36962">
      <w:pPr>
        <w:jc w:val="both"/>
        <w:rPr>
          <w:rFonts w:ascii="Arial" w:hAnsi="Arial" w:cs="Arial"/>
          <w:sz w:val="22"/>
          <w:szCs w:val="22"/>
        </w:rPr>
      </w:pPr>
      <w:r w:rsidRPr="00FC49A3">
        <w:rPr>
          <w:rFonts w:ascii="Arial" w:hAnsi="Arial" w:cs="Arial"/>
          <w:sz w:val="22"/>
          <w:szCs w:val="22"/>
        </w:rPr>
        <w:t xml:space="preserve">ID </w:t>
      </w:r>
      <w:proofErr w:type="gramStart"/>
      <w:r w:rsidRPr="00FC49A3">
        <w:rPr>
          <w:rFonts w:ascii="Arial" w:hAnsi="Arial" w:cs="Arial"/>
          <w:sz w:val="22"/>
          <w:szCs w:val="22"/>
        </w:rPr>
        <w:t>verze:</w:t>
      </w:r>
      <w:r w:rsidR="00EB73E9" w:rsidRPr="00FC49A3">
        <w:rPr>
          <w:rFonts w:ascii="Arial" w:hAnsi="Arial" w:cs="Arial"/>
          <w:sz w:val="22"/>
          <w:szCs w:val="22"/>
        </w:rPr>
        <w:t>…</w:t>
      </w:r>
      <w:proofErr w:type="gramEnd"/>
      <w:r w:rsidR="00EB73E9" w:rsidRPr="00FC49A3">
        <w:rPr>
          <w:rFonts w:ascii="Arial" w:hAnsi="Arial" w:cs="Arial"/>
          <w:sz w:val="22"/>
          <w:szCs w:val="22"/>
        </w:rPr>
        <w:t>………………</w:t>
      </w:r>
      <w:proofErr w:type="gramStart"/>
      <w:r w:rsidR="00EB73E9" w:rsidRPr="00FC49A3">
        <w:rPr>
          <w:rFonts w:ascii="Arial" w:hAnsi="Arial" w:cs="Arial"/>
          <w:sz w:val="22"/>
          <w:szCs w:val="22"/>
        </w:rPr>
        <w:t>…….</w:t>
      </w:r>
      <w:proofErr w:type="gramEnd"/>
      <w:r w:rsidR="00EB73E9" w:rsidRPr="00FC49A3">
        <w:rPr>
          <w:rFonts w:ascii="Arial" w:hAnsi="Arial" w:cs="Arial"/>
          <w:sz w:val="22"/>
          <w:szCs w:val="22"/>
        </w:rPr>
        <w:t>.</w:t>
      </w:r>
      <w:r w:rsidRPr="00FC49A3">
        <w:rPr>
          <w:rFonts w:ascii="Arial" w:hAnsi="Arial" w:cs="Arial"/>
          <w:sz w:val="22"/>
          <w:szCs w:val="22"/>
        </w:rPr>
        <w:t xml:space="preserve"> </w:t>
      </w:r>
    </w:p>
    <w:p w14:paraId="032A80A5" w14:textId="28D16A84" w:rsidR="004F6D48" w:rsidRPr="00FC49A3" w:rsidRDefault="004F6D48" w:rsidP="00F36962">
      <w:pPr>
        <w:jc w:val="both"/>
        <w:rPr>
          <w:rFonts w:ascii="Arial" w:hAnsi="Arial" w:cs="Arial"/>
          <w:sz w:val="22"/>
          <w:szCs w:val="22"/>
        </w:rPr>
      </w:pPr>
      <w:r w:rsidRPr="00FC49A3">
        <w:rPr>
          <w:rFonts w:ascii="Arial" w:hAnsi="Arial" w:cs="Arial"/>
          <w:sz w:val="22"/>
          <w:szCs w:val="22"/>
        </w:rPr>
        <w:t xml:space="preserve">Registraci provedl: </w:t>
      </w:r>
      <w:r w:rsidR="00EB73E9" w:rsidRPr="00FC49A3">
        <w:rPr>
          <w:rFonts w:ascii="Arial" w:hAnsi="Arial" w:cs="Arial"/>
          <w:sz w:val="22"/>
          <w:szCs w:val="22"/>
        </w:rPr>
        <w:t>…………………………</w:t>
      </w:r>
    </w:p>
    <w:p w14:paraId="1095FA3C" w14:textId="77777777" w:rsidR="004F6D48" w:rsidRPr="00FC49A3" w:rsidRDefault="004F6D48" w:rsidP="00F36962">
      <w:pPr>
        <w:jc w:val="both"/>
        <w:rPr>
          <w:rFonts w:ascii="Arial" w:hAnsi="Arial" w:cs="Arial"/>
          <w:sz w:val="22"/>
          <w:szCs w:val="22"/>
        </w:rPr>
      </w:pPr>
    </w:p>
    <w:p w14:paraId="64AD7D6E" w14:textId="77777777" w:rsidR="004F6D48" w:rsidRPr="00FC49A3" w:rsidRDefault="004F6D48" w:rsidP="00F36962">
      <w:pPr>
        <w:jc w:val="both"/>
        <w:rPr>
          <w:rFonts w:ascii="Arial" w:hAnsi="Arial" w:cs="Arial"/>
          <w:sz w:val="22"/>
          <w:szCs w:val="22"/>
        </w:rPr>
      </w:pPr>
      <w:r w:rsidRPr="00FC49A3">
        <w:rPr>
          <w:rFonts w:ascii="Arial" w:hAnsi="Arial" w:cs="Arial"/>
          <w:sz w:val="22"/>
          <w:szCs w:val="22"/>
        </w:rPr>
        <w:t>V …………</w:t>
      </w:r>
      <w:proofErr w:type="gramStart"/>
      <w:r w:rsidRPr="00FC49A3">
        <w:rPr>
          <w:rFonts w:ascii="Arial" w:hAnsi="Arial" w:cs="Arial"/>
          <w:sz w:val="22"/>
          <w:szCs w:val="22"/>
        </w:rPr>
        <w:t>…….</w:t>
      </w:r>
      <w:proofErr w:type="gramEnd"/>
      <w:r w:rsidRPr="00FC49A3">
        <w:rPr>
          <w:rFonts w:ascii="Arial" w:hAnsi="Arial" w:cs="Arial"/>
          <w:sz w:val="22"/>
          <w:szCs w:val="22"/>
        </w:rPr>
        <w:t>. dne ………</w:t>
      </w:r>
      <w:proofErr w:type="gramStart"/>
      <w:r w:rsidRPr="00FC49A3">
        <w:rPr>
          <w:rFonts w:ascii="Arial" w:hAnsi="Arial" w:cs="Arial"/>
          <w:sz w:val="22"/>
          <w:szCs w:val="22"/>
        </w:rPr>
        <w:t>…….</w:t>
      </w:r>
      <w:proofErr w:type="gramEnd"/>
      <w:r w:rsidRPr="00FC49A3">
        <w:rPr>
          <w:rFonts w:ascii="Arial" w:hAnsi="Arial" w:cs="Arial"/>
          <w:sz w:val="22"/>
          <w:szCs w:val="22"/>
        </w:rPr>
        <w:t>.</w:t>
      </w:r>
      <w:r w:rsidRPr="00FC49A3">
        <w:rPr>
          <w:rFonts w:ascii="Arial" w:hAnsi="Arial" w:cs="Arial"/>
          <w:sz w:val="22"/>
          <w:szCs w:val="22"/>
        </w:rPr>
        <w:tab/>
      </w:r>
      <w:r w:rsidRPr="00FC49A3">
        <w:rPr>
          <w:rFonts w:ascii="Arial" w:hAnsi="Arial" w:cs="Arial"/>
          <w:sz w:val="22"/>
          <w:szCs w:val="22"/>
        </w:rPr>
        <w:tab/>
      </w:r>
      <w:r w:rsidRPr="00FC49A3">
        <w:rPr>
          <w:rFonts w:ascii="Arial" w:hAnsi="Arial" w:cs="Arial"/>
          <w:sz w:val="22"/>
          <w:szCs w:val="22"/>
        </w:rPr>
        <w:tab/>
        <w:t>…………………………………..</w:t>
      </w:r>
    </w:p>
    <w:p w14:paraId="140208BD" w14:textId="63264690" w:rsidR="001B41F5" w:rsidRPr="004246AF" w:rsidRDefault="004F6D48" w:rsidP="004246AF">
      <w:pPr>
        <w:tabs>
          <w:tab w:val="left" w:pos="4962"/>
        </w:tabs>
        <w:jc w:val="both"/>
        <w:rPr>
          <w:rFonts w:ascii="Arial" w:hAnsi="Arial" w:cs="Arial"/>
          <w:i/>
          <w:sz w:val="22"/>
          <w:szCs w:val="22"/>
        </w:rPr>
      </w:pPr>
      <w:r w:rsidRPr="00FC49A3">
        <w:rPr>
          <w:rFonts w:ascii="Arial" w:hAnsi="Arial" w:cs="Arial"/>
          <w:sz w:val="22"/>
          <w:szCs w:val="22"/>
        </w:rPr>
        <w:tab/>
      </w:r>
    </w:p>
    <w:sectPr w:rsidR="001B41F5" w:rsidRPr="004246AF"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04344">
    <w:abstractNumId w:val="0"/>
  </w:num>
  <w:num w:numId="2" w16cid:durableId="205692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36A71"/>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6AF"/>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36EC"/>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C4675"/>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25E"/>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B73E9"/>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49A3"/>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8583</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Pavlasová Radka DiS.</cp:lastModifiedBy>
  <cp:revision>2</cp:revision>
  <cp:lastPrinted>2025-11-25T13:24:00Z</cp:lastPrinted>
  <dcterms:created xsi:type="dcterms:W3CDTF">2025-12-09T08:39:00Z</dcterms:created>
  <dcterms:modified xsi:type="dcterms:W3CDTF">2025-12-09T08:39:00Z</dcterms:modified>
</cp:coreProperties>
</file>