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line="240" w:lineRule="auto"/>
        <w:ind w:left="0" w:right="0" w:firstLine="0"/>
        <w:jc w:val="center"/>
      </w:pPr>
      <w:r>
        <w:rPr>
          <w:color w:val="000000"/>
          <w:spacing w:val="0"/>
          <w:w w:val="100"/>
          <w:position w:val="0"/>
          <w:shd w:val="clear" w:color="auto" w:fill="auto"/>
          <w:lang w:val="cs-CZ" w:eastAsia="cs-CZ" w:bidi="cs-CZ"/>
        </w:rPr>
        <w:t>N Á J E M N Í S M L O U V A</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Číslo smlouvy pronajímatele: </w:t>
      </w:r>
      <w:r>
        <w:rPr>
          <w:b/>
          <w:bCs/>
          <w:color w:val="000000"/>
          <w:spacing w:val="0"/>
          <w:w w:val="100"/>
          <w:position w:val="0"/>
          <w:sz w:val="24"/>
          <w:szCs w:val="24"/>
          <w:shd w:val="clear" w:color="auto" w:fill="auto"/>
          <w:lang w:val="cs-CZ" w:eastAsia="cs-CZ" w:bidi="cs-CZ"/>
        </w:rPr>
        <w:t>1113/2025</w:t>
      </w:r>
    </w:p>
    <w:p>
      <w:pPr>
        <w:pStyle w:val="Style8"/>
        <w:keepNext w:val="0"/>
        <w:keepLines w:val="0"/>
        <w:widowControl w:val="0"/>
        <w:shd w:val="clear" w:color="auto" w:fill="auto"/>
        <w:bidi w:val="0"/>
        <w:spacing w:before="0" w:after="480" w:line="240" w:lineRule="auto"/>
        <w:ind w:left="0" w:right="0" w:firstLine="0"/>
        <w:jc w:val="left"/>
      </w:pPr>
      <w:r>
        <w:rPr>
          <w:color w:val="000000"/>
          <w:spacing w:val="0"/>
          <w:w w:val="100"/>
          <w:position w:val="0"/>
          <w:sz w:val="24"/>
          <w:szCs w:val="24"/>
          <w:shd w:val="clear" w:color="auto" w:fill="auto"/>
          <w:lang w:val="cs-CZ" w:eastAsia="cs-CZ" w:bidi="cs-CZ"/>
        </w:rPr>
        <w:t>Číslo smlouvy nájemce:</w:t>
      </w:r>
    </w:p>
    <w:p>
      <w:pPr>
        <w:pStyle w:val="Style8"/>
        <w:keepNext w:val="0"/>
        <w:keepLines w:val="0"/>
        <w:widowControl w:val="0"/>
        <w:numPr>
          <w:ilvl w:val="0"/>
          <w:numId w:val="1"/>
        </w:numPr>
        <w:shd w:val="clear" w:color="auto" w:fill="auto"/>
        <w:tabs>
          <w:tab w:pos="397" w:val="left"/>
        </w:tabs>
        <w:bidi w:val="0"/>
        <w:spacing w:before="0" w:after="200" w:line="240" w:lineRule="auto"/>
        <w:ind w:left="0" w:right="0" w:firstLine="0"/>
        <w:jc w:val="center"/>
      </w:pPr>
      <w:bookmarkStart w:id="0" w:name="bookmark0"/>
      <w:bookmarkEnd w:id="0"/>
      <w:r>
        <w:rPr>
          <w:b/>
          <w:bCs/>
          <w:color w:val="000000"/>
          <w:spacing w:val="0"/>
          <w:w w:val="100"/>
          <w:position w:val="0"/>
          <w:sz w:val="24"/>
          <w:szCs w:val="24"/>
          <w:shd w:val="clear" w:color="auto" w:fill="auto"/>
          <w:lang w:val="cs-CZ" w:eastAsia="cs-CZ" w:bidi="cs-CZ"/>
        </w:rPr>
        <w:t>Smluvní strany</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Povodí Ohře, státní podnik</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 Chomutov, Bezručova 4219, PSČ 430 03 statutární orgán:</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zastoupený ve věcech smluvních:</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 70889988</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 CZ70889988</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Zapsán v obchodním rejstříku u Krajského soudu v Ústí n. L., oddíl A, vložka 13052 Bankovní spojení:</w:t>
      </w:r>
    </w:p>
    <w:p>
      <w:pPr>
        <w:pStyle w:val="Style8"/>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Číslo účtu:</w:t>
      </w:r>
    </w:p>
    <w:p>
      <w:pPr>
        <w:pStyle w:val="Style8"/>
        <w:keepNext w:val="0"/>
        <w:keepLines w:val="0"/>
        <w:widowControl w:val="0"/>
        <w:shd w:val="clear" w:color="auto" w:fill="auto"/>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dále jen „pronajímatel“ na straně jedné</w:t>
      </w:r>
    </w:p>
    <w:p>
      <w:pPr>
        <w:pStyle w:val="Style8"/>
        <w:keepNext w:val="0"/>
        <w:keepLines w:val="0"/>
        <w:widowControl w:val="0"/>
        <w:shd w:val="clear" w:color="auto" w:fill="auto"/>
        <w:bidi w:val="0"/>
        <w:spacing w:before="0" w:after="0" w:line="480" w:lineRule="auto"/>
        <w:ind w:left="0" w:right="0" w:firstLine="4940"/>
        <w:jc w:val="both"/>
      </w:pPr>
      <w:r>
        <w:rPr>
          <w:color w:val="000000"/>
          <w:spacing w:val="0"/>
          <w:w w:val="100"/>
          <w:position w:val="0"/>
          <w:sz w:val="24"/>
          <w:szCs w:val="24"/>
          <w:shd w:val="clear" w:color="auto" w:fill="auto"/>
          <w:lang w:val="cs-CZ" w:eastAsia="cs-CZ" w:bidi="cs-CZ"/>
        </w:rPr>
        <w:t xml:space="preserve">a </w:t>
      </w:r>
      <w:r>
        <w:rPr>
          <w:b/>
          <w:bCs/>
          <w:color w:val="000000"/>
          <w:spacing w:val="0"/>
          <w:w w:val="100"/>
          <w:position w:val="0"/>
          <w:sz w:val="24"/>
          <w:szCs w:val="24"/>
          <w:shd w:val="clear" w:color="auto" w:fill="auto"/>
          <w:lang w:val="cs-CZ" w:eastAsia="cs-CZ" w:bidi="cs-CZ"/>
        </w:rPr>
        <w:t>Město Chodov</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 Komenského 1077, 357 35 Chodov zastoupené:</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 00259349</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 CZ00259349</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p>
      <w:pPr>
        <w:pStyle w:val="Style8"/>
        <w:keepNext w:val="0"/>
        <w:keepLines w:val="0"/>
        <w:widowControl w:val="0"/>
        <w:shd w:val="clear" w:color="auto" w:fill="auto"/>
        <w:bidi w:val="0"/>
        <w:spacing w:before="0" w:after="200" w:line="480" w:lineRule="auto"/>
        <w:ind w:left="0" w:right="0" w:firstLine="0"/>
        <w:jc w:val="left"/>
      </w:pPr>
      <w:r>
        <w:rPr>
          <w:color w:val="000000"/>
          <w:spacing w:val="0"/>
          <w:w w:val="100"/>
          <w:position w:val="0"/>
          <w:sz w:val="24"/>
          <w:szCs w:val="24"/>
          <w:shd w:val="clear" w:color="auto" w:fill="auto"/>
          <w:lang w:val="cs-CZ" w:eastAsia="cs-CZ" w:bidi="cs-CZ"/>
        </w:rPr>
        <w:t>Číslo účtu: dále jen „nájemce“ na straně druhé</w:t>
      </w:r>
    </w:p>
    <w:p>
      <w:pPr>
        <w:pStyle w:val="Style8"/>
        <w:keepNext w:val="0"/>
        <w:keepLines w:val="0"/>
        <w:widowControl w:val="0"/>
        <w:shd w:val="clear" w:color="auto" w:fill="auto"/>
        <w:bidi w:val="0"/>
        <w:spacing w:before="0" w:after="760" w:line="240" w:lineRule="auto"/>
        <w:ind w:left="0" w:right="0" w:firstLine="0"/>
        <w:jc w:val="center"/>
      </w:pPr>
      <w:r>
        <w:rPr>
          <w:color w:val="000000"/>
          <w:spacing w:val="0"/>
          <w:w w:val="100"/>
          <w:position w:val="0"/>
          <w:sz w:val="24"/>
          <w:szCs w:val="24"/>
          <w:shd w:val="clear" w:color="auto" w:fill="auto"/>
          <w:lang w:val="cs-CZ" w:eastAsia="cs-CZ" w:bidi="cs-CZ"/>
        </w:rPr>
        <w:t>uzavírají tuto nájemní smlouvu (dále jen „</w:t>
      </w:r>
      <w:r>
        <w:rPr>
          <w:i/>
          <w:iCs/>
          <w:color w:val="000000"/>
          <w:spacing w:val="0"/>
          <w:w w:val="100"/>
          <w:position w:val="0"/>
          <w:sz w:val="24"/>
          <w:szCs w:val="24"/>
          <w:shd w:val="clear" w:color="auto" w:fill="auto"/>
          <w:lang w:val="cs-CZ" w:eastAsia="cs-CZ" w:bidi="cs-CZ"/>
        </w:rPr>
        <w:t>smlouva</w:t>
      </w:r>
      <w:r>
        <w:rPr>
          <w:color w:val="000000"/>
          <w:spacing w:val="0"/>
          <w:w w:val="100"/>
          <w:position w:val="0"/>
          <w:sz w:val="24"/>
          <w:szCs w:val="24"/>
          <w:shd w:val="clear" w:color="auto" w:fill="auto"/>
          <w:lang w:val="cs-CZ" w:eastAsia="cs-CZ" w:bidi="cs-CZ"/>
        </w:rPr>
        <w:t>“).</w:t>
      </w:r>
    </w:p>
    <w:p>
      <w:pPr>
        <w:pStyle w:val="Style8"/>
        <w:keepNext w:val="0"/>
        <w:keepLines w:val="0"/>
        <w:widowControl w:val="0"/>
        <w:numPr>
          <w:ilvl w:val="0"/>
          <w:numId w:val="1"/>
        </w:numPr>
        <w:shd w:val="clear" w:color="auto" w:fill="auto"/>
        <w:tabs>
          <w:tab w:pos="3728" w:val="left"/>
        </w:tabs>
        <w:bidi w:val="0"/>
        <w:spacing w:before="0" w:after="200" w:line="266" w:lineRule="auto"/>
        <w:ind w:left="0" w:right="0" w:firstLine="3360"/>
        <w:jc w:val="left"/>
      </w:pPr>
      <w:bookmarkStart w:id="1" w:name="bookmark1"/>
      <w:bookmarkStart w:id="2" w:name="bookmark2"/>
      <w:bookmarkEnd w:id="1"/>
      <w:r>
        <w:rPr>
          <w:b/>
          <w:bCs/>
          <w:color w:val="000000"/>
          <w:spacing w:val="0"/>
          <w:w w:val="100"/>
          <w:position w:val="0"/>
          <w:sz w:val="24"/>
          <w:szCs w:val="24"/>
          <w:shd w:val="clear" w:color="auto" w:fill="auto"/>
          <w:lang w:val="cs-CZ" w:eastAsia="cs-CZ" w:bidi="cs-CZ"/>
        </w:rPr>
        <w:t xml:space="preserve">Úvodní ustanovení </w:t>
      </w:r>
      <w:r>
        <w:rPr>
          <w:color w:val="000000"/>
          <w:spacing w:val="0"/>
          <w:w w:val="100"/>
          <w:position w:val="0"/>
          <w:sz w:val="24"/>
          <w:szCs w:val="24"/>
          <w:shd w:val="clear" w:color="auto" w:fill="auto"/>
          <w:lang w:val="cs-CZ" w:eastAsia="cs-CZ" w:bidi="cs-CZ"/>
        </w:rPr>
        <w:t xml:space="preserve">Předmětem této smlouvy je úprava vzájemných vztahů pronajímatele nemovité věci a nájemce souvisejících s realizací stavby: </w:t>
      </w:r>
      <w:r>
        <w:rPr>
          <w:b/>
          <w:bCs/>
          <w:color w:val="000000"/>
          <w:spacing w:val="0"/>
          <w:w w:val="100"/>
          <w:position w:val="0"/>
          <w:sz w:val="24"/>
          <w:szCs w:val="24"/>
          <w:shd w:val="clear" w:color="auto" w:fill="auto"/>
          <w:lang w:val="cs-CZ" w:eastAsia="cs-CZ" w:bidi="cs-CZ"/>
        </w:rPr>
        <w:t>„Chodov, Bývalé sádky u Husovy ulice, k.ú. Dolní Chodov“</w:t>
      </w:r>
      <w:r>
        <w:rPr>
          <w:color w:val="000000"/>
          <w:spacing w:val="0"/>
          <w:w w:val="100"/>
          <w:position w:val="0"/>
          <w:sz w:val="24"/>
          <w:szCs w:val="24"/>
          <w:shd w:val="clear" w:color="auto" w:fill="auto"/>
          <w:lang w:val="cs-CZ" w:eastAsia="cs-CZ" w:bidi="cs-CZ"/>
        </w:rPr>
        <w:t>. Dále upravuje práva a povinnosti nájemce v souvislosti s umístěním stavby (vč. staveniště) na nemovité věci uvedené v této smlouvě.</w:t>
      </w:r>
      <w:bookmarkEnd w:id="2"/>
    </w:p>
    <w:p>
      <w:pPr>
        <w:pStyle w:val="Style8"/>
        <w:keepNext w:val="0"/>
        <w:keepLines w:val="0"/>
        <w:widowControl w:val="0"/>
        <w:numPr>
          <w:ilvl w:val="0"/>
          <w:numId w:val="1"/>
        </w:numPr>
        <w:shd w:val="clear" w:color="auto" w:fill="auto"/>
        <w:tabs>
          <w:tab w:pos="402" w:val="left"/>
        </w:tabs>
        <w:bidi w:val="0"/>
        <w:spacing w:before="0" w:after="40" w:line="240" w:lineRule="auto"/>
        <w:ind w:left="0" w:right="0" w:firstLine="0"/>
        <w:jc w:val="center"/>
      </w:pPr>
      <w:bookmarkStart w:id="3" w:name="bookmark3"/>
      <w:bookmarkEnd w:id="3"/>
      <w:r>
        <w:rPr>
          <w:b/>
          <w:bCs/>
          <w:color w:val="000000"/>
          <w:spacing w:val="0"/>
          <w:w w:val="100"/>
          <w:position w:val="0"/>
          <w:sz w:val="24"/>
          <w:szCs w:val="24"/>
          <w:shd w:val="clear" w:color="auto" w:fill="auto"/>
          <w:lang w:val="cs-CZ" w:eastAsia="cs-CZ" w:bidi="cs-CZ"/>
        </w:rPr>
        <w:t>Určení nemovité věci</w:t>
      </w:r>
    </w:p>
    <w:p>
      <w:pPr>
        <w:pStyle w:val="Style12"/>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Pronajímatel prohlašuje, že má právo hospodařit s majetkem státu, a to s pozemky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p. č. 2532/1 a 2532/2 v k. ú. Dolní Chodov, </w:t>
      </w:r>
      <w:r>
        <w:rPr>
          <w:rFonts w:ascii="Times New Roman" w:eastAsia="Times New Roman" w:hAnsi="Times New Roman" w:cs="Times New Roman"/>
          <w:color w:val="000000"/>
          <w:spacing w:val="0"/>
          <w:w w:val="100"/>
          <w:position w:val="0"/>
          <w:sz w:val="24"/>
          <w:szCs w:val="24"/>
          <w:shd w:val="clear" w:color="auto" w:fill="auto"/>
          <w:lang w:val="cs-CZ" w:eastAsia="cs-CZ" w:bidi="cs-CZ"/>
        </w:rPr>
        <w:t>obec Chodov, zapsanými na LV č. 2215 u Katastrálního úřadu pro Karlovarský kraj, Katastrální pracoviště Sokolov (dále jen „pozemek“ nebo „dotčená nemovitá věc“).</w:t>
      </w:r>
    </w:p>
    <w:p>
      <w:pPr>
        <w:pStyle w:val="Style8"/>
        <w:keepNext w:val="0"/>
        <w:keepLines w:val="0"/>
        <w:widowControl w:val="0"/>
        <w:numPr>
          <w:ilvl w:val="0"/>
          <w:numId w:val="1"/>
        </w:numPr>
        <w:shd w:val="clear" w:color="auto" w:fill="auto"/>
        <w:tabs>
          <w:tab w:pos="337" w:val="left"/>
        </w:tabs>
        <w:bidi w:val="0"/>
        <w:spacing w:before="0" w:after="40" w:line="240" w:lineRule="auto"/>
        <w:ind w:left="0" w:right="0" w:firstLine="0"/>
        <w:jc w:val="center"/>
      </w:pPr>
      <w:bookmarkStart w:id="4" w:name="bookmark4"/>
      <w:bookmarkEnd w:id="4"/>
      <w:r>
        <w:rPr>
          <w:b/>
          <w:bCs/>
          <w:color w:val="000000"/>
          <w:spacing w:val="0"/>
          <w:w w:val="100"/>
          <w:position w:val="0"/>
          <w:sz w:val="24"/>
          <w:szCs w:val="24"/>
          <w:shd w:val="clear" w:color="auto" w:fill="auto"/>
          <w:lang w:val="cs-CZ" w:eastAsia="cs-CZ" w:bidi="cs-CZ"/>
        </w:rPr>
        <w:t>Předmět smlouvy</w:t>
      </w:r>
    </w:p>
    <w:p>
      <w:pPr>
        <w:pStyle w:val="Style8"/>
        <w:keepNext w:val="0"/>
        <w:keepLines w:val="0"/>
        <w:widowControl w:val="0"/>
        <w:numPr>
          <w:ilvl w:val="1"/>
          <w:numId w:val="1"/>
        </w:numPr>
        <w:shd w:val="clear" w:color="auto" w:fill="auto"/>
        <w:tabs>
          <w:tab w:pos="561" w:val="left"/>
        </w:tabs>
        <w:bidi w:val="0"/>
        <w:spacing w:before="0" w:after="40" w:line="240" w:lineRule="auto"/>
        <w:ind w:left="560" w:right="0" w:hanging="560"/>
        <w:jc w:val="both"/>
      </w:pPr>
      <w:bookmarkStart w:id="5" w:name="bookmark5"/>
      <w:bookmarkEnd w:id="5"/>
      <w:r>
        <w:rPr>
          <w:color w:val="000000"/>
          <w:spacing w:val="0"/>
          <w:w w:val="100"/>
          <w:position w:val="0"/>
          <w:sz w:val="24"/>
          <w:szCs w:val="24"/>
          <w:shd w:val="clear" w:color="auto" w:fill="auto"/>
          <w:lang w:val="cs-CZ" w:eastAsia="cs-CZ" w:bidi="cs-CZ"/>
        </w:rPr>
        <w:t xml:space="preserve">Na základě této smlouvy se pronajímatel zavazuje umožnit nájemci provést stavbu: </w:t>
      </w:r>
      <w:r>
        <w:rPr>
          <w:b/>
          <w:bCs/>
          <w:color w:val="000000"/>
          <w:spacing w:val="0"/>
          <w:w w:val="100"/>
          <w:position w:val="0"/>
          <w:sz w:val="24"/>
          <w:szCs w:val="24"/>
          <w:shd w:val="clear" w:color="auto" w:fill="auto"/>
          <w:lang w:val="cs-CZ" w:eastAsia="cs-CZ" w:bidi="cs-CZ"/>
        </w:rPr>
        <w:t xml:space="preserve">„Chodov, Bývalé sádky u Husovy ulice, k.ú. Dolní Chodov“ </w:t>
      </w:r>
      <w:r>
        <w:rPr>
          <w:color w:val="000000"/>
          <w:spacing w:val="0"/>
          <w:w w:val="100"/>
          <w:position w:val="0"/>
          <w:sz w:val="24"/>
          <w:szCs w:val="24"/>
          <w:shd w:val="clear" w:color="auto" w:fill="auto"/>
          <w:lang w:val="cs-CZ" w:eastAsia="cs-CZ" w:bidi="cs-CZ"/>
        </w:rPr>
        <w:t xml:space="preserve">(dále jen </w:t>
      </w:r>
      <w:r>
        <w:rPr>
          <w:i/>
          <w:iCs/>
          <w:color w:val="000000"/>
          <w:spacing w:val="0"/>
          <w:w w:val="100"/>
          <w:position w:val="0"/>
          <w:sz w:val="24"/>
          <w:szCs w:val="24"/>
          <w:shd w:val="clear" w:color="auto" w:fill="auto"/>
          <w:lang w:val="cs-CZ" w:eastAsia="cs-CZ" w:bidi="cs-CZ"/>
        </w:rPr>
        <w:t>„</w:t>
      </w:r>
      <w:r>
        <w:rPr>
          <w:color w:val="000000"/>
          <w:spacing w:val="0"/>
          <w:w w:val="100"/>
          <w:position w:val="0"/>
          <w:sz w:val="24"/>
          <w:szCs w:val="24"/>
          <w:shd w:val="clear" w:color="auto" w:fill="auto"/>
          <w:lang w:val="cs-CZ" w:eastAsia="cs-CZ" w:bidi="cs-CZ"/>
        </w:rPr>
        <w:t>stavba“ nebo „akce“), a to v rozsahu dle čl. 5 této smlouvy.</w:t>
      </w:r>
    </w:p>
    <w:p>
      <w:pPr>
        <w:pStyle w:val="Style8"/>
        <w:keepNext w:val="0"/>
        <w:keepLines w:val="0"/>
        <w:widowControl w:val="0"/>
        <w:numPr>
          <w:ilvl w:val="1"/>
          <w:numId w:val="1"/>
        </w:numPr>
        <w:shd w:val="clear" w:color="auto" w:fill="auto"/>
        <w:tabs>
          <w:tab w:pos="561" w:val="left"/>
        </w:tabs>
        <w:bidi w:val="0"/>
        <w:spacing w:before="0" w:after="500" w:line="240" w:lineRule="auto"/>
        <w:ind w:left="560" w:right="0" w:hanging="560"/>
        <w:jc w:val="both"/>
      </w:pPr>
      <w:bookmarkStart w:id="6" w:name="bookmark6"/>
      <w:bookmarkEnd w:id="6"/>
      <w:r>
        <w:rPr>
          <w:color w:val="000000"/>
          <w:spacing w:val="0"/>
          <w:w w:val="100"/>
          <w:position w:val="0"/>
          <w:sz w:val="24"/>
          <w:szCs w:val="24"/>
          <w:shd w:val="clear" w:color="auto" w:fill="auto"/>
          <w:lang w:val="cs-CZ" w:eastAsia="cs-CZ" w:bidi="cs-CZ"/>
        </w:rPr>
        <w:t>Touto smlouvou smluvní strany sjednávají podmínky pro umístění stavby (vč. staveniště) a s ní souvisejících stavebních prací na dotčené nemovité věci.</w:t>
      </w:r>
    </w:p>
    <w:p>
      <w:pPr>
        <w:pStyle w:val="Style8"/>
        <w:keepNext w:val="0"/>
        <w:keepLines w:val="0"/>
        <w:widowControl w:val="0"/>
        <w:numPr>
          <w:ilvl w:val="0"/>
          <w:numId w:val="1"/>
        </w:numPr>
        <w:shd w:val="clear" w:color="auto" w:fill="auto"/>
        <w:tabs>
          <w:tab w:pos="342" w:val="left"/>
        </w:tabs>
        <w:bidi w:val="0"/>
        <w:spacing w:before="0" w:after="40" w:line="240" w:lineRule="auto"/>
        <w:ind w:left="0" w:right="0" w:firstLine="0"/>
        <w:jc w:val="center"/>
      </w:pPr>
      <w:bookmarkStart w:id="7" w:name="bookmark7"/>
      <w:bookmarkEnd w:id="7"/>
      <w:r>
        <w:rPr>
          <w:b/>
          <w:bCs/>
          <w:color w:val="000000"/>
          <w:spacing w:val="0"/>
          <w:w w:val="100"/>
          <w:position w:val="0"/>
          <w:sz w:val="24"/>
          <w:szCs w:val="24"/>
          <w:shd w:val="clear" w:color="auto" w:fill="auto"/>
          <w:lang w:val="cs-CZ" w:eastAsia="cs-CZ" w:bidi="cs-CZ"/>
        </w:rPr>
        <w:t>Rozsah stavby</w:t>
      </w:r>
    </w:p>
    <w:p>
      <w:pPr>
        <w:pStyle w:val="Style8"/>
        <w:keepNext w:val="0"/>
        <w:keepLines w:val="0"/>
        <w:widowControl w:val="0"/>
        <w:numPr>
          <w:ilvl w:val="1"/>
          <w:numId w:val="1"/>
        </w:numPr>
        <w:shd w:val="clear" w:color="auto" w:fill="auto"/>
        <w:tabs>
          <w:tab w:pos="561" w:val="left"/>
        </w:tabs>
        <w:bidi w:val="0"/>
        <w:spacing w:before="0" w:after="0" w:line="240" w:lineRule="auto"/>
        <w:ind w:left="560" w:right="0" w:hanging="560"/>
        <w:jc w:val="both"/>
      </w:pPr>
      <w:bookmarkStart w:id="8" w:name="bookmark8"/>
      <w:bookmarkEnd w:id="8"/>
      <w:r>
        <w:rPr>
          <w:color w:val="000000"/>
          <w:spacing w:val="0"/>
          <w:w w:val="100"/>
          <w:position w:val="0"/>
          <w:sz w:val="24"/>
          <w:szCs w:val="24"/>
          <w:shd w:val="clear" w:color="auto" w:fill="auto"/>
          <w:lang w:val="cs-CZ" w:eastAsia="cs-CZ" w:bidi="cs-CZ"/>
        </w:rPr>
        <w:t>Pro realizaci stavby byly z pozemku odděleny části pozemku s charakterem trvalého záboru určeného k pronájmu (dále jen „předmět nájmu“). Seznam stavebních objektů na předmětu nájmu vč. záboru je přílohou č. 1 této smlouvy (dále jen „stavební objekty“).</w:t>
      </w:r>
    </w:p>
    <w:tbl>
      <w:tblPr>
        <w:tblOverlap w:val="never"/>
        <w:jc w:val="center"/>
        <w:tblLayout w:type="fixed"/>
      </w:tblPr>
      <w:tblGrid>
        <w:gridCol w:w="1378"/>
        <w:gridCol w:w="1373"/>
        <w:gridCol w:w="816"/>
        <w:gridCol w:w="1085"/>
        <w:gridCol w:w="950"/>
        <w:gridCol w:w="950"/>
        <w:gridCol w:w="950"/>
        <w:gridCol w:w="970"/>
      </w:tblGrid>
      <w:tr>
        <w:trPr>
          <w:trHeight w:val="859" w:hRule="exact"/>
        </w:trPr>
        <w:tc>
          <w:tcPr>
            <w:tcBorders>
              <w:top w:val="single" w:sz="4"/>
              <w:left w:val="single" w:sz="4"/>
            </w:tcBorders>
            <w:shd w:val="clear" w:color="auto" w:fill="C0C0C0"/>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Obec</w:t>
            </w:r>
          </w:p>
        </w:tc>
        <w:tc>
          <w:tcPr>
            <w:tcBorders>
              <w:top w:val="single" w:sz="4"/>
              <w:left w:val="single" w:sz="4"/>
            </w:tcBorders>
            <w:shd w:val="clear" w:color="auto" w:fill="C0C0C0"/>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Katastrální území</w:t>
            </w:r>
          </w:p>
        </w:tc>
        <w:tc>
          <w:tcPr>
            <w:tcBorders>
              <w:top w:val="single" w:sz="4"/>
              <w:left w:val="single" w:sz="4"/>
            </w:tcBorders>
            <w:shd w:val="clear" w:color="auto" w:fill="C0C0C0"/>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p.p.č.</w:t>
            </w:r>
          </w:p>
        </w:tc>
        <w:tc>
          <w:tcPr>
            <w:tcBorders>
              <w:top w:val="single" w:sz="4"/>
              <w:left w:val="single" w:sz="4"/>
            </w:tcBorders>
            <w:shd w:val="clear" w:color="auto" w:fill="C0C0C0"/>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druh pozemku</w:t>
            </w:r>
          </w:p>
        </w:tc>
        <w:tc>
          <w:tcPr>
            <w:tcBorders>
              <w:top w:val="single" w:sz="4"/>
              <w:left w:val="single" w:sz="4"/>
            </w:tcBorders>
            <w:shd w:val="clear" w:color="auto" w:fill="C0C0C0"/>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celková výměra m</w:t>
            </w:r>
            <w:r>
              <w:rPr>
                <w:b/>
                <w:bCs/>
                <w:color w:val="000000"/>
                <w:spacing w:val="0"/>
                <w:w w:val="100"/>
                <w:position w:val="0"/>
                <w:sz w:val="18"/>
                <w:szCs w:val="18"/>
                <w:shd w:val="clear" w:color="auto" w:fill="auto"/>
                <w:vertAlign w:val="superscript"/>
                <w:lang w:val="cs-CZ" w:eastAsia="cs-CZ" w:bidi="cs-CZ"/>
              </w:rPr>
              <w:t>2</w:t>
            </w:r>
          </w:p>
        </w:tc>
        <w:tc>
          <w:tcPr>
            <w:tcBorders>
              <w:top w:val="single" w:sz="4"/>
              <w:left w:val="single" w:sz="4"/>
            </w:tcBorders>
            <w:shd w:val="clear" w:color="auto" w:fill="C0C0C0"/>
            <w:vAlign w:val="bottom"/>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trvalý</w:t>
            </w:r>
          </w:p>
          <w:p>
            <w:pPr>
              <w:pStyle w:val="Style1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zábor m</w:t>
            </w:r>
            <w:r>
              <w:rPr>
                <w:b/>
                <w:bCs/>
                <w:color w:val="000000"/>
                <w:spacing w:val="0"/>
                <w:w w:val="100"/>
                <w:position w:val="0"/>
                <w:sz w:val="18"/>
                <w:szCs w:val="18"/>
                <w:shd w:val="clear" w:color="auto" w:fill="auto"/>
                <w:vertAlign w:val="superscript"/>
                <w:lang w:val="cs-CZ" w:eastAsia="cs-CZ" w:bidi="cs-CZ"/>
              </w:rPr>
              <w:t xml:space="preserve">2 </w:t>
            </w:r>
            <w:r>
              <w:rPr>
                <w:b/>
                <w:bCs/>
                <w:color w:val="000000"/>
                <w:spacing w:val="0"/>
                <w:w w:val="100"/>
                <w:position w:val="0"/>
                <w:sz w:val="18"/>
                <w:szCs w:val="18"/>
                <w:shd w:val="clear" w:color="auto" w:fill="auto"/>
                <w:lang w:val="cs-CZ" w:eastAsia="cs-CZ" w:bidi="cs-CZ"/>
              </w:rPr>
              <w:t>(VB)</w:t>
            </w:r>
          </w:p>
        </w:tc>
        <w:tc>
          <w:tcPr>
            <w:tcBorders>
              <w:top w:val="single" w:sz="4"/>
              <w:left w:val="single" w:sz="4"/>
            </w:tcBorders>
            <w:shd w:val="clear" w:color="auto" w:fill="C0C0C0"/>
            <w:vAlign w:val="top"/>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cena</w:t>
            </w:r>
          </w:p>
          <w:p>
            <w:pPr>
              <w:pStyle w:val="Style1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Kč/m</w:t>
            </w:r>
            <w:r>
              <w:rPr>
                <w:b/>
                <w:bCs/>
                <w:color w:val="000000"/>
                <w:spacing w:val="0"/>
                <w:w w:val="100"/>
                <w:position w:val="0"/>
                <w:sz w:val="18"/>
                <w:szCs w:val="18"/>
                <w:shd w:val="clear" w:color="auto" w:fill="auto"/>
                <w:vertAlign w:val="superscript"/>
                <w:lang w:val="cs-CZ" w:eastAsia="cs-CZ" w:bidi="cs-CZ"/>
              </w:rPr>
              <w:t>2</w:t>
            </w:r>
            <w:r>
              <w:rPr>
                <w:b/>
                <w:bCs/>
                <w:color w:val="000000"/>
                <w:spacing w:val="0"/>
                <w:w w:val="100"/>
                <w:position w:val="0"/>
                <w:sz w:val="18"/>
                <w:szCs w:val="18"/>
                <w:shd w:val="clear" w:color="auto" w:fill="auto"/>
                <w:lang w:val="cs-CZ" w:eastAsia="cs-CZ" w:bidi="cs-CZ"/>
              </w:rPr>
              <w:t>/ro k</w:t>
            </w:r>
          </w:p>
        </w:tc>
        <w:tc>
          <w:tcPr>
            <w:tcBorders>
              <w:top w:val="single" w:sz="4"/>
              <w:left w:val="single" w:sz="4"/>
              <w:right w:val="single" w:sz="4"/>
            </w:tcBorders>
            <w:shd w:val="clear" w:color="auto" w:fill="C0C0C0"/>
            <w:vAlign w:val="center"/>
          </w:tcPr>
          <w:p>
            <w:pPr>
              <w:pStyle w:val="Style1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celkem</w:t>
            </w:r>
          </w:p>
          <w:p>
            <w:pPr>
              <w:pStyle w:val="Style1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Kč/rok</w:t>
            </w:r>
          </w:p>
        </w:tc>
      </w:tr>
      <w:tr>
        <w:trPr>
          <w:trHeight w:val="480"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20"/>
              <w:jc w:val="left"/>
              <w:rPr>
                <w:sz w:val="20"/>
                <w:szCs w:val="20"/>
              </w:rPr>
            </w:pPr>
            <w:r>
              <w:rPr>
                <w:b/>
                <w:bCs/>
                <w:color w:val="000000"/>
                <w:spacing w:val="0"/>
                <w:w w:val="100"/>
                <w:position w:val="0"/>
                <w:sz w:val="20"/>
                <w:szCs w:val="20"/>
                <w:shd w:val="clear" w:color="auto" w:fill="auto"/>
                <w:lang w:val="cs-CZ" w:eastAsia="cs-CZ" w:bidi="cs-CZ"/>
              </w:rPr>
              <w:t>Chodov</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Dolní</w:t>
            </w:r>
          </w:p>
          <w:p>
            <w:pPr>
              <w:pStyle w:val="Style1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Chodov</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2532/1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vodní plocha</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14222</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167,37</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2175,81</w:t>
            </w:r>
          </w:p>
        </w:tc>
      </w:tr>
      <w:tr>
        <w:trPr>
          <w:trHeight w:val="480"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20"/>
              <w:jc w:val="left"/>
              <w:rPr>
                <w:sz w:val="20"/>
                <w:szCs w:val="20"/>
              </w:rPr>
            </w:pPr>
            <w:r>
              <w:rPr>
                <w:b/>
                <w:bCs/>
                <w:color w:val="000000"/>
                <w:spacing w:val="0"/>
                <w:w w:val="100"/>
                <w:position w:val="0"/>
                <w:sz w:val="20"/>
                <w:szCs w:val="20"/>
                <w:shd w:val="clear" w:color="auto" w:fill="auto"/>
                <w:lang w:val="cs-CZ" w:eastAsia="cs-CZ" w:bidi="cs-CZ"/>
              </w:rPr>
              <w:t>Chodov</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Dolní</w:t>
            </w:r>
          </w:p>
          <w:p>
            <w:pPr>
              <w:pStyle w:val="Style1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Chodov</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2532/2</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vodní plocha</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7464</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173,65</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2257,45</w:t>
            </w:r>
          </w:p>
        </w:tc>
      </w:tr>
      <w:tr>
        <w:trPr>
          <w:trHeight w:val="413"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Celkem</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341,02</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4433,26</w:t>
            </w:r>
          </w:p>
        </w:tc>
      </w:tr>
    </w:tbl>
    <w:p>
      <w:pPr>
        <w:widowControl w:val="0"/>
        <w:spacing w:after="499" w:line="1" w:lineRule="exact"/>
      </w:pPr>
    </w:p>
    <w:p>
      <w:pPr>
        <w:pStyle w:val="Style8"/>
        <w:keepNext w:val="0"/>
        <w:keepLines w:val="0"/>
        <w:widowControl w:val="0"/>
        <w:numPr>
          <w:ilvl w:val="1"/>
          <w:numId w:val="1"/>
        </w:numPr>
        <w:shd w:val="clear" w:color="auto" w:fill="auto"/>
        <w:tabs>
          <w:tab w:pos="561" w:val="left"/>
        </w:tabs>
        <w:bidi w:val="0"/>
        <w:spacing w:before="0" w:after="220" w:line="240" w:lineRule="auto"/>
        <w:ind w:left="560" w:right="0" w:hanging="560"/>
        <w:jc w:val="both"/>
      </w:pPr>
      <w:bookmarkStart w:id="9" w:name="bookmark9"/>
      <w:bookmarkEnd w:id="9"/>
      <w:r>
        <w:rPr>
          <w:color w:val="000000"/>
          <w:spacing w:val="0"/>
          <w:w w:val="100"/>
          <w:position w:val="0"/>
          <w:sz w:val="24"/>
          <w:szCs w:val="24"/>
          <w:shd w:val="clear" w:color="auto" w:fill="auto"/>
          <w:lang w:val="cs-CZ" w:eastAsia="cs-CZ" w:bidi="cs-CZ"/>
        </w:rPr>
        <w:t>Dle koordinační situace, která je přílohou č. 2, stavba zahrnuje revitalizaci bývalých sádek a rybníka, prvky drobné architektury, pěší komunikaci, mobiliář, herní prvky a výsadbu zeleně. V rámci stavby bude vybudován nový odběr vody z Chodovského potoka. Dojde k částečnému rozšíření průtočného profilu a opevnění kamennou dlažbou do betonu. V levém břehu je 0,1 m nade dnem navrženo odběrné potrubí DN 250. V první šachtě za břehovou hranou je navrženo uzavíratelné stavítko. Potrubí dále podchází koryto z dosazovací nádrže. Křížení, jako celá trasa potrubí, je navrženo ve výkopu. Vzhledem ke sklonovým poměrům bude potrubí vedeno těsně pode dnem. Potrubí bude uloženo v plastové chráničce DN 400. Chránička bude uložena mezi dvěma šachtami. Dno koryta bude stabilizováno betonovým opevněním, které se naváže na stávající opevnění. Poté bude potrubí zaústěno do nové sedimentační šachty s čerpadlem o výkonu 10 l/s. Potrubí pokračuje východním směrem a přechází do otevřeného příkopu a dále do potrubí do jednotlivých vodních nádrží. Finální odtok je potrubím DN 300 zpět do Chodovského potoka. Levý břeh Chodovského potoka bude stabilizován kamennou rovnaninou tl. 250 mm. V ř. km 11,300 je přes koryto Chodovského potoka navržena pochozí lávka. Nosnou konstrukci tvoří ocelové I profily s dřevěnou mostovkou. Založení lávky je na pilotech za břehovými hranami. Délka lávky bude 10 m. Pěší cesty jsou v místech zvýšených náporů stabilizovány kamennou dlažbou včetně úseku u lávky. Dále předmět nájmu bude dotčen drobnými cestami (štěpka) a povalových chodníkem.</w:t>
      </w:r>
    </w:p>
    <w:p>
      <w:pPr>
        <w:pStyle w:val="Style8"/>
        <w:keepNext w:val="0"/>
        <w:keepLines w:val="0"/>
        <w:widowControl w:val="0"/>
        <w:numPr>
          <w:ilvl w:val="0"/>
          <w:numId w:val="1"/>
        </w:numPr>
        <w:shd w:val="clear" w:color="auto" w:fill="auto"/>
        <w:tabs>
          <w:tab w:pos="337" w:val="left"/>
        </w:tabs>
        <w:bidi w:val="0"/>
        <w:spacing w:before="0" w:after="40" w:line="240" w:lineRule="auto"/>
        <w:ind w:left="0" w:right="0" w:firstLine="0"/>
        <w:jc w:val="center"/>
      </w:pPr>
      <w:bookmarkStart w:id="10" w:name="bookmark10"/>
      <w:bookmarkEnd w:id="10"/>
      <w:r>
        <w:rPr>
          <w:b/>
          <w:bCs/>
          <w:color w:val="000000"/>
          <w:spacing w:val="0"/>
          <w:w w:val="100"/>
          <w:position w:val="0"/>
          <w:sz w:val="24"/>
          <w:szCs w:val="24"/>
          <w:shd w:val="clear" w:color="auto" w:fill="auto"/>
          <w:lang w:val="cs-CZ" w:eastAsia="cs-CZ" w:bidi="cs-CZ"/>
        </w:rPr>
        <w:t>Užívání pozemku k provádění stavby</w:t>
      </w:r>
    </w:p>
    <w:p>
      <w:pPr>
        <w:pStyle w:val="Style8"/>
        <w:keepNext w:val="0"/>
        <w:keepLines w:val="0"/>
        <w:widowControl w:val="0"/>
        <w:numPr>
          <w:ilvl w:val="1"/>
          <w:numId w:val="1"/>
        </w:numPr>
        <w:shd w:val="clear" w:color="auto" w:fill="auto"/>
        <w:tabs>
          <w:tab w:pos="561" w:val="left"/>
        </w:tabs>
        <w:bidi w:val="0"/>
        <w:spacing w:before="0" w:line="240" w:lineRule="auto"/>
        <w:ind w:left="560" w:right="0" w:hanging="560"/>
        <w:jc w:val="both"/>
      </w:pPr>
      <w:bookmarkStart w:id="11" w:name="bookmark11"/>
      <w:bookmarkEnd w:id="11"/>
      <w:r>
        <w:rPr>
          <w:color w:val="000000"/>
          <w:spacing w:val="0"/>
          <w:w w:val="100"/>
          <w:position w:val="0"/>
          <w:sz w:val="24"/>
          <w:szCs w:val="24"/>
          <w:shd w:val="clear" w:color="auto" w:fill="auto"/>
          <w:lang w:val="cs-CZ" w:eastAsia="cs-CZ" w:bidi="cs-CZ"/>
        </w:rPr>
        <w:t xml:space="preserve">Smlouva se sjednává na dobu určitou. Pronajímatel se zavazuje přenechat nájemci předmět nájmu k užívání, a to k účelu umístění stavby (vč. staveniště). Stavba by měla probíhat pravděpodobně v roce 2026-2027. Skutečná doba, na kterou se sjednává užívání předmětu nájmu, bude stanovena na základě </w:t>
      </w:r>
      <w:r>
        <w:rPr>
          <w:color w:val="000000"/>
          <w:spacing w:val="0"/>
          <w:w w:val="100"/>
          <w:position w:val="0"/>
          <w:sz w:val="24"/>
          <w:szCs w:val="24"/>
          <w:shd w:val="clear" w:color="auto" w:fill="auto"/>
          <w:lang w:val="cs-CZ" w:eastAsia="cs-CZ" w:bidi="cs-CZ"/>
        </w:rPr>
        <w:t>písemného protokolárního zápisu s uvedením data započetí a ukončení užívání předmětu nájmu, max. však na 5 let od protokolárního předání. Nájemní poměr bude pronajímatelem prodloužen o dalších 5 kalendářních roků, požádá-li o to nájemce pronajímatele nejméně 3 kalendářní měsíce před ukončením nájmu a při splnění podmínky řádného plnění smlouvy nájemcem, pokud se smluvní strany nedohodnou jinak. Nájemní poměr končí dnem vzniku právních účinků vkladu smlouvy o zřízení VB – služebnosti k části pozemku trvale zabraného stavbou do katastru nemovitostí.</w:t>
      </w:r>
    </w:p>
    <w:p>
      <w:pPr>
        <w:pStyle w:val="Style8"/>
        <w:keepNext w:val="0"/>
        <w:keepLines w:val="0"/>
        <w:widowControl w:val="0"/>
        <w:numPr>
          <w:ilvl w:val="1"/>
          <w:numId w:val="1"/>
        </w:numPr>
        <w:shd w:val="clear" w:color="auto" w:fill="auto"/>
        <w:tabs>
          <w:tab w:pos="566" w:val="left"/>
        </w:tabs>
        <w:bidi w:val="0"/>
        <w:spacing w:before="0" w:line="240" w:lineRule="auto"/>
        <w:ind w:left="560" w:right="0" w:hanging="560"/>
        <w:jc w:val="both"/>
      </w:pPr>
      <w:bookmarkStart w:id="12" w:name="bookmark12"/>
      <w:bookmarkEnd w:id="12"/>
      <w:r>
        <w:rPr>
          <w:color w:val="000000"/>
          <w:spacing w:val="0"/>
          <w:w w:val="100"/>
          <w:position w:val="0"/>
          <w:sz w:val="24"/>
          <w:szCs w:val="24"/>
          <w:shd w:val="clear" w:color="auto" w:fill="auto"/>
          <w:lang w:val="cs-CZ" w:eastAsia="cs-CZ" w:bidi="cs-CZ"/>
        </w:rPr>
        <w:t>Nájemce se zavazuje před zahájením a po následném ukončení prací vyzvat pronajímatele k předání a převzetí předmětu nájmu. Pokud nájemce uvedenou povinnost nesplní, zavazuje se uhradit pronajímateli smluvní pokutu ve výši 5.000,- Kč. Smluvní pokuta je splatná do 20 dnů ode dne doručení výzvy pronajímatele k úhradě smluvní pokuty nájemci.</w:t>
      </w:r>
    </w:p>
    <w:p>
      <w:pPr>
        <w:pStyle w:val="Style8"/>
        <w:keepNext w:val="0"/>
        <w:keepLines w:val="0"/>
        <w:widowControl w:val="0"/>
        <w:numPr>
          <w:ilvl w:val="0"/>
          <w:numId w:val="3"/>
        </w:numPr>
        <w:shd w:val="clear" w:color="auto" w:fill="auto"/>
        <w:tabs>
          <w:tab w:pos="566" w:val="left"/>
        </w:tabs>
        <w:bidi w:val="0"/>
        <w:spacing w:before="0" w:line="240" w:lineRule="auto"/>
        <w:ind w:left="560" w:right="0" w:hanging="560"/>
        <w:jc w:val="both"/>
      </w:pPr>
      <w:bookmarkStart w:id="13" w:name="bookmark13"/>
      <w:bookmarkEnd w:id="13"/>
      <w:r>
        <w:rPr>
          <w:color w:val="000000"/>
          <w:spacing w:val="0"/>
          <w:w w:val="100"/>
          <w:position w:val="0"/>
          <w:sz w:val="24"/>
          <w:szCs w:val="24"/>
          <w:shd w:val="clear" w:color="auto" w:fill="auto"/>
          <w:lang w:val="cs-CZ" w:eastAsia="cs-CZ" w:bidi="cs-CZ"/>
        </w:rPr>
        <w:t>Cena užívání shora uvedeného pozemku bude odvozena od doby skutečného záboru předmětu nájmu a je stanovena na základě zákona č. 526/1990 Sb., o cenách, v platném znění.</w:t>
      </w:r>
    </w:p>
    <w:p>
      <w:pPr>
        <w:pStyle w:val="Style20"/>
        <w:keepNext/>
        <w:keepLines/>
        <w:widowControl w:val="0"/>
        <w:numPr>
          <w:ilvl w:val="0"/>
          <w:numId w:val="5"/>
        </w:numPr>
        <w:shd w:val="clear" w:color="auto" w:fill="auto"/>
        <w:tabs>
          <w:tab w:pos="566" w:val="left"/>
        </w:tabs>
        <w:bidi w:val="0"/>
        <w:spacing w:before="0" w:after="60" w:line="240" w:lineRule="auto"/>
        <w:ind w:left="560" w:right="0" w:hanging="560"/>
        <w:jc w:val="both"/>
      </w:pPr>
      <w:bookmarkStart w:id="14" w:name="bookmark14"/>
      <w:bookmarkStart w:id="15" w:name="bookmark15"/>
      <w:bookmarkStart w:id="16" w:name="bookmark16"/>
      <w:bookmarkStart w:id="17" w:name="bookmark17"/>
      <w:bookmarkEnd w:id="16"/>
      <w:r>
        <w:rPr>
          <w:color w:val="000000"/>
          <w:spacing w:val="0"/>
          <w:w w:val="100"/>
          <w:position w:val="0"/>
          <w:sz w:val="24"/>
          <w:szCs w:val="24"/>
          <w:shd w:val="clear" w:color="auto" w:fill="auto"/>
          <w:lang w:val="cs-CZ" w:eastAsia="cs-CZ" w:bidi="cs-CZ"/>
        </w:rPr>
        <w:t>Výše nájemného za předmět nájmu o celkové výměře 341,02 m</w:t>
      </w:r>
      <w:r>
        <w:rPr>
          <w:color w:val="000000"/>
          <w:spacing w:val="0"/>
          <w:w w:val="100"/>
          <w:position w:val="0"/>
          <w:sz w:val="24"/>
          <w:szCs w:val="24"/>
          <w:shd w:val="clear" w:color="auto" w:fill="auto"/>
          <w:vertAlign w:val="superscript"/>
          <w:lang w:val="cs-CZ" w:eastAsia="cs-CZ" w:bidi="cs-CZ"/>
        </w:rPr>
        <w:t>2</w:t>
      </w:r>
      <w:r>
        <w:rPr>
          <w:color w:val="000000"/>
          <w:spacing w:val="0"/>
          <w:w w:val="100"/>
          <w:position w:val="0"/>
          <w:sz w:val="24"/>
          <w:szCs w:val="24"/>
          <w:shd w:val="clear" w:color="auto" w:fill="auto"/>
          <w:lang w:val="cs-CZ" w:eastAsia="cs-CZ" w:bidi="cs-CZ"/>
        </w:rPr>
        <w:t xml:space="preserve"> se stanovuje na 13 Kč/m</w:t>
      </w:r>
      <w:r>
        <w:rPr>
          <w:color w:val="000000"/>
          <w:spacing w:val="0"/>
          <w:w w:val="100"/>
          <w:position w:val="0"/>
          <w:sz w:val="24"/>
          <w:szCs w:val="24"/>
          <w:shd w:val="clear" w:color="auto" w:fill="auto"/>
          <w:vertAlign w:val="superscript"/>
          <w:lang w:val="cs-CZ" w:eastAsia="cs-CZ" w:bidi="cs-CZ"/>
        </w:rPr>
        <w:t>2</w:t>
      </w:r>
      <w:r>
        <w:rPr>
          <w:color w:val="000000"/>
          <w:spacing w:val="0"/>
          <w:w w:val="100"/>
          <w:position w:val="0"/>
          <w:sz w:val="24"/>
          <w:szCs w:val="24"/>
          <w:shd w:val="clear" w:color="auto" w:fill="auto"/>
          <w:lang w:val="cs-CZ" w:eastAsia="cs-CZ" w:bidi="cs-CZ"/>
        </w:rPr>
        <w:t xml:space="preserve">/rok. Celkové roční nájemné činí </w:t>
      </w:r>
      <w:r>
        <w:rPr>
          <w:b/>
          <w:bCs/>
          <w:color w:val="000000"/>
          <w:spacing w:val="0"/>
          <w:w w:val="100"/>
          <w:position w:val="0"/>
          <w:sz w:val="24"/>
          <w:szCs w:val="24"/>
          <w:shd w:val="clear" w:color="auto" w:fill="auto"/>
          <w:lang w:val="cs-CZ" w:eastAsia="cs-CZ" w:bidi="cs-CZ"/>
        </w:rPr>
        <w:t>4.433,26 Kč.</w:t>
      </w:r>
      <w:bookmarkEnd w:id="14"/>
      <w:bookmarkEnd w:id="15"/>
      <w:bookmarkEnd w:id="17"/>
    </w:p>
    <w:p>
      <w:pPr>
        <w:pStyle w:val="Style8"/>
        <w:keepNext w:val="0"/>
        <w:keepLines w:val="0"/>
        <w:widowControl w:val="0"/>
        <w:shd w:val="clear" w:color="auto" w:fill="auto"/>
        <w:bidi w:val="0"/>
        <w:spacing w:before="0" w:line="240" w:lineRule="auto"/>
        <w:ind w:left="560" w:right="0" w:firstLine="20"/>
        <w:jc w:val="both"/>
      </w:pPr>
      <w:r>
        <w:rPr>
          <w:color w:val="000000"/>
          <w:spacing w:val="0"/>
          <w:w w:val="100"/>
          <w:position w:val="0"/>
          <w:sz w:val="24"/>
          <w:szCs w:val="24"/>
          <w:shd w:val="clear" w:color="auto" w:fill="auto"/>
          <w:lang w:val="cs-CZ" w:eastAsia="cs-CZ" w:bidi="cs-CZ"/>
        </w:rPr>
        <w:t>Při kratším období činí nájemné 1/12 ročního nájemného i za každý započatý měsíc pronájmu příslušného roku, minimálně však 1.000,- Kč za celou dobu nájmu.</w:t>
      </w:r>
    </w:p>
    <w:p>
      <w:pPr>
        <w:pStyle w:val="Style8"/>
        <w:keepNext w:val="0"/>
        <w:keepLines w:val="0"/>
        <w:widowControl w:val="0"/>
        <w:numPr>
          <w:ilvl w:val="0"/>
          <w:numId w:val="5"/>
        </w:numPr>
        <w:shd w:val="clear" w:color="auto" w:fill="auto"/>
        <w:tabs>
          <w:tab w:pos="566" w:val="left"/>
        </w:tabs>
        <w:bidi w:val="0"/>
        <w:spacing w:before="0" w:after="0" w:line="240" w:lineRule="auto"/>
        <w:ind w:left="560" w:right="0" w:hanging="560"/>
        <w:jc w:val="both"/>
      </w:pPr>
      <w:bookmarkStart w:id="18" w:name="bookmark18"/>
      <w:bookmarkEnd w:id="18"/>
      <w:r>
        <w:rPr>
          <w:color w:val="000000"/>
          <w:spacing w:val="0"/>
          <w:w w:val="100"/>
          <w:position w:val="0"/>
          <w:sz w:val="24"/>
          <w:szCs w:val="24"/>
          <w:shd w:val="clear" w:color="auto" w:fill="auto"/>
          <w:lang w:val="cs-CZ" w:eastAsia="cs-CZ" w:bidi="cs-CZ"/>
        </w:rPr>
        <w:t>Nájemné za užívání uhradí nájemce jednou splátkou na účet pronajímatele na základě daňového dokladu vystaveného pronajímatelem do 15 dnů ode dne uskutečnění osvobozeného plnění se splatností 30 dnů od data vystavení. Datum uskutečnění osvobozeného plnění je pro první rok realizace stanoven na den vystavení daňového dokladu. V dalších letech je datum uskutečnění osvobozeného plnění stanoven na 31.12. kalendářního roku nebo na den doručení vyrozumění o provedení vkladu smlouvy o zřízení věcného břemene - služebnosti k části pozemku trvale zabraného stavbou do katastru nemovitostí, a to na den, který nastane dříve.</w:t>
      </w:r>
    </w:p>
    <w:p>
      <w:pPr>
        <w:pStyle w:val="Style8"/>
        <w:keepNext w:val="0"/>
        <w:keepLines w:val="0"/>
        <w:widowControl w:val="0"/>
        <w:shd w:val="clear" w:color="auto" w:fill="auto"/>
        <w:bidi w:val="0"/>
        <w:spacing w:before="0" w:line="240" w:lineRule="auto"/>
        <w:ind w:left="560" w:right="0" w:firstLine="20"/>
        <w:jc w:val="both"/>
      </w:pPr>
      <w:r>
        <w:rPr>
          <w:color w:val="000000"/>
          <w:spacing w:val="0"/>
          <w:w w:val="100"/>
          <w:position w:val="0"/>
          <w:sz w:val="24"/>
          <w:szCs w:val="24"/>
          <w:shd w:val="clear" w:color="auto" w:fill="auto"/>
          <w:lang w:val="cs-CZ" w:eastAsia="cs-CZ" w:bidi="cs-CZ"/>
        </w:rPr>
        <w:t>Neuhradí-li nájemce cenu shora sjednanou ve lhůtě splatnosti, bude mu účtován smluvní úrok ve výši 0,3 % z částky včas nezaplacené za každý den prodlení.</w:t>
      </w:r>
    </w:p>
    <w:p>
      <w:pPr>
        <w:pStyle w:val="Style8"/>
        <w:keepNext w:val="0"/>
        <w:keepLines w:val="0"/>
        <w:widowControl w:val="0"/>
        <w:numPr>
          <w:ilvl w:val="0"/>
          <w:numId w:val="5"/>
        </w:numPr>
        <w:shd w:val="clear" w:color="auto" w:fill="auto"/>
        <w:tabs>
          <w:tab w:pos="566" w:val="left"/>
        </w:tabs>
        <w:bidi w:val="0"/>
        <w:spacing w:before="0" w:line="240" w:lineRule="auto"/>
        <w:ind w:left="560" w:right="0" w:hanging="560"/>
        <w:jc w:val="both"/>
      </w:pPr>
      <w:bookmarkStart w:id="19" w:name="bookmark19"/>
      <w:bookmarkEnd w:id="19"/>
      <w:r>
        <w:rPr>
          <w:color w:val="000000"/>
          <w:spacing w:val="0"/>
          <w:w w:val="100"/>
          <w:position w:val="0"/>
          <w:sz w:val="24"/>
          <w:szCs w:val="24"/>
          <w:shd w:val="clear" w:color="auto" w:fill="auto"/>
          <w:lang w:val="cs-CZ" w:eastAsia="cs-CZ" w:bidi="cs-CZ"/>
        </w:rPr>
        <w:t>Po ukončení stavby bude dokončeno vzájemné majetkoprávní vypořádání podle skutečného výsledku stavebních činností.</w:t>
      </w:r>
    </w:p>
    <w:p>
      <w:pPr>
        <w:pStyle w:val="Style12"/>
        <w:keepNext w:val="0"/>
        <w:keepLines w:val="0"/>
        <w:widowControl w:val="0"/>
        <w:numPr>
          <w:ilvl w:val="0"/>
          <w:numId w:val="5"/>
        </w:numPr>
        <w:shd w:val="clear" w:color="auto" w:fill="auto"/>
        <w:tabs>
          <w:tab w:pos="566" w:val="left"/>
        </w:tabs>
        <w:bidi w:val="0"/>
        <w:spacing w:before="0" w:after="480" w:line="240" w:lineRule="auto"/>
        <w:ind w:right="0"/>
        <w:jc w:val="both"/>
      </w:pPr>
      <w:bookmarkStart w:id="20" w:name="bookmark20"/>
      <w:bookmarkEnd w:id="20"/>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se zavazuje, že v souvislosti s realizací stavby bude dodržovat podmínky stanovené ve vyjádření Povodí Ohře, s.p., č. j. POH/27029/2025-2/032100 ze dne 20.06.2025, které je přílohou č. 3 této smlouvy, do vlastnických práv a oprávněných zájmů pronajímatele bude zasahovat pouze v nezbytné míře a bude si počínat tak, aby na majetku pronajímatele nedocházelo ke škodám. Dojde-li přesto nájemcem, případně jím pověřenými třetími osobami k zásahu do dotčené nemovité věci nad smluvně sjednaný rámec, případně ke vzniku škody na majetku pronajímatele, zavazuje se nájemce pro takový případ k uvedení dotčené nemovité věci do původního stavu a v případě vzniku majetkové újmy k její úhradě, pokud nebude dohodnuto jinak.</w:t>
      </w:r>
    </w:p>
    <w:p>
      <w:pPr>
        <w:pStyle w:val="Style8"/>
        <w:keepNext w:val="0"/>
        <w:keepLines w:val="0"/>
        <w:widowControl w:val="0"/>
        <w:numPr>
          <w:ilvl w:val="0"/>
          <w:numId w:val="1"/>
        </w:numPr>
        <w:shd w:val="clear" w:color="auto" w:fill="auto"/>
        <w:tabs>
          <w:tab w:pos="342" w:val="left"/>
        </w:tabs>
        <w:bidi w:val="0"/>
        <w:spacing w:before="0" w:line="240" w:lineRule="auto"/>
        <w:ind w:left="0" w:right="0" w:firstLine="0"/>
        <w:jc w:val="center"/>
      </w:pPr>
      <w:bookmarkStart w:id="21" w:name="bookmark21"/>
      <w:bookmarkEnd w:id="21"/>
      <w:r>
        <w:rPr>
          <w:b/>
          <w:bCs/>
          <w:color w:val="000000"/>
          <w:spacing w:val="0"/>
          <w:w w:val="100"/>
          <w:position w:val="0"/>
          <w:sz w:val="24"/>
          <w:szCs w:val="24"/>
          <w:shd w:val="clear" w:color="auto" w:fill="auto"/>
          <w:lang w:val="cs-CZ" w:eastAsia="cs-CZ" w:bidi="cs-CZ"/>
        </w:rPr>
        <w:t>Ostatní ujednání</w:t>
      </w:r>
    </w:p>
    <w:p>
      <w:pPr>
        <w:pStyle w:val="Style8"/>
        <w:keepNext w:val="0"/>
        <w:keepLines w:val="0"/>
        <w:widowControl w:val="0"/>
        <w:numPr>
          <w:ilvl w:val="1"/>
          <w:numId w:val="1"/>
        </w:numPr>
        <w:shd w:val="clear" w:color="auto" w:fill="auto"/>
        <w:tabs>
          <w:tab w:pos="566" w:val="left"/>
        </w:tabs>
        <w:bidi w:val="0"/>
        <w:spacing w:before="0" w:line="240" w:lineRule="auto"/>
        <w:ind w:left="560" w:right="0" w:hanging="560"/>
        <w:jc w:val="both"/>
      </w:pPr>
      <w:bookmarkStart w:id="22" w:name="bookmark22"/>
      <w:bookmarkEnd w:id="22"/>
      <w:r>
        <w:rPr>
          <w:color w:val="000000"/>
          <w:spacing w:val="0"/>
          <w:w w:val="100"/>
          <w:position w:val="0"/>
          <w:sz w:val="24"/>
          <w:szCs w:val="24"/>
          <w:shd w:val="clear" w:color="auto" w:fill="auto"/>
          <w:lang w:val="cs-CZ" w:eastAsia="cs-CZ" w:bidi="cs-CZ"/>
        </w:rPr>
        <w:t xml:space="preserve">V případě změny vlastníka dotčené nemovité věci se pronajímatel zavazuje převést smlouvou závazky vyplývající z této smlouvy na nového vlastníka </w:t>
      </w:r>
      <w:r>
        <w:rPr>
          <w:color w:val="000000"/>
          <w:spacing w:val="0"/>
          <w:w w:val="100"/>
          <w:position w:val="0"/>
          <w:sz w:val="24"/>
          <w:szCs w:val="24"/>
          <w:shd w:val="clear" w:color="auto" w:fill="auto"/>
          <w:lang w:val="cs-CZ" w:eastAsia="cs-CZ" w:bidi="cs-CZ"/>
        </w:rPr>
        <w:t>nemovité věci. Změnu vlastnictví je původní vlastník povinen oznámit bez zbytečného odkladu nájemci.</w:t>
      </w:r>
    </w:p>
    <w:p>
      <w:pPr>
        <w:pStyle w:val="Style8"/>
        <w:keepNext w:val="0"/>
        <w:keepLines w:val="0"/>
        <w:widowControl w:val="0"/>
        <w:numPr>
          <w:ilvl w:val="1"/>
          <w:numId w:val="1"/>
        </w:numPr>
        <w:shd w:val="clear" w:color="auto" w:fill="auto"/>
        <w:tabs>
          <w:tab w:pos="558" w:val="left"/>
        </w:tabs>
        <w:bidi w:val="0"/>
        <w:spacing w:before="0" w:line="240" w:lineRule="auto"/>
        <w:ind w:left="560" w:right="0" w:hanging="560"/>
        <w:jc w:val="both"/>
      </w:pPr>
      <w:bookmarkStart w:id="23" w:name="bookmark23"/>
      <w:bookmarkEnd w:id="23"/>
      <w:r>
        <w:rPr>
          <w:color w:val="000000"/>
          <w:spacing w:val="0"/>
          <w:w w:val="100"/>
          <w:position w:val="0"/>
          <w:sz w:val="24"/>
          <w:szCs w:val="24"/>
          <w:shd w:val="clear" w:color="auto" w:fill="auto"/>
          <w:lang w:val="cs-CZ" w:eastAsia="cs-CZ" w:bidi="cs-CZ"/>
        </w:rPr>
        <w:t>Práva a povinnosti vyplývající z této smlouvy přecházejí i na právního nástupce nájemce.</w:t>
      </w:r>
    </w:p>
    <w:p>
      <w:pPr>
        <w:pStyle w:val="Style8"/>
        <w:keepNext w:val="0"/>
        <w:keepLines w:val="0"/>
        <w:widowControl w:val="0"/>
        <w:numPr>
          <w:ilvl w:val="1"/>
          <w:numId w:val="1"/>
        </w:numPr>
        <w:shd w:val="clear" w:color="auto" w:fill="auto"/>
        <w:tabs>
          <w:tab w:pos="558" w:val="left"/>
        </w:tabs>
        <w:bidi w:val="0"/>
        <w:spacing w:before="0" w:line="240" w:lineRule="auto"/>
        <w:ind w:left="560" w:right="0" w:hanging="560"/>
        <w:jc w:val="both"/>
      </w:pPr>
      <w:bookmarkStart w:id="24" w:name="bookmark24"/>
      <w:bookmarkEnd w:id="24"/>
      <w:r>
        <w:rPr>
          <w:color w:val="000000"/>
          <w:spacing w:val="0"/>
          <w:w w:val="100"/>
          <w:position w:val="0"/>
          <w:sz w:val="24"/>
          <w:szCs w:val="24"/>
          <w:shd w:val="clear" w:color="auto" w:fill="auto"/>
          <w:lang w:val="cs-CZ" w:eastAsia="cs-CZ" w:bidi="cs-CZ"/>
        </w:rPr>
        <w:t>Pronajímatel se zavazuje neprovádět na předmětu nájmu, popř. jeho částech, žádné následné změny, které by mohly mít vliv na přípravu stavby, resp. její celkový charakter bez předchozího projednání a případného souhlasu s realizací ze strany nájemce.</w:t>
      </w:r>
    </w:p>
    <w:p>
      <w:pPr>
        <w:pStyle w:val="Style8"/>
        <w:keepNext w:val="0"/>
        <w:keepLines w:val="0"/>
        <w:widowControl w:val="0"/>
        <w:numPr>
          <w:ilvl w:val="1"/>
          <w:numId w:val="1"/>
        </w:numPr>
        <w:shd w:val="clear" w:color="auto" w:fill="auto"/>
        <w:tabs>
          <w:tab w:pos="558" w:val="left"/>
        </w:tabs>
        <w:bidi w:val="0"/>
        <w:spacing w:before="0" w:line="240" w:lineRule="auto"/>
        <w:ind w:left="560" w:right="0" w:hanging="560"/>
        <w:jc w:val="both"/>
      </w:pPr>
      <w:bookmarkStart w:id="25" w:name="bookmark25"/>
      <w:bookmarkEnd w:id="25"/>
      <w:r>
        <w:rPr>
          <w:color w:val="000000"/>
          <w:spacing w:val="0"/>
          <w:w w:val="100"/>
          <w:position w:val="0"/>
          <w:sz w:val="24"/>
          <w:szCs w:val="24"/>
          <w:shd w:val="clear" w:color="auto" w:fill="auto"/>
          <w:lang w:val="cs-CZ" w:eastAsia="cs-CZ" w:bidi="cs-CZ"/>
        </w:rPr>
        <w:t>Pronajímatel prohlašuje, že tímto vydává nájemci souhlas s umístěním a zřízením stavby (vč. staveniště) na předmětu nájmu za účelem vydání příslušného stavebního povolení podle zákona č. 283/2021 Sb., stavební zákon, ve znění pozdějších předpisů.</w:t>
      </w:r>
    </w:p>
    <w:p>
      <w:pPr>
        <w:pStyle w:val="Style20"/>
        <w:keepNext/>
        <w:keepLines/>
        <w:widowControl w:val="0"/>
        <w:numPr>
          <w:ilvl w:val="1"/>
          <w:numId w:val="1"/>
        </w:numPr>
        <w:shd w:val="clear" w:color="auto" w:fill="auto"/>
        <w:tabs>
          <w:tab w:pos="558" w:val="left"/>
        </w:tabs>
        <w:bidi w:val="0"/>
        <w:spacing w:before="0" w:after="0" w:line="240" w:lineRule="auto"/>
        <w:ind w:left="0" w:right="0" w:firstLine="0"/>
        <w:jc w:val="both"/>
      </w:pPr>
      <w:bookmarkStart w:id="26" w:name="bookmark26"/>
      <w:bookmarkStart w:id="27" w:name="bookmark27"/>
      <w:bookmarkStart w:id="28" w:name="bookmark28"/>
      <w:bookmarkStart w:id="29" w:name="bookmark29"/>
      <w:bookmarkEnd w:id="28"/>
      <w:r>
        <w:rPr>
          <w:color w:val="000000"/>
          <w:spacing w:val="0"/>
          <w:w w:val="100"/>
          <w:position w:val="0"/>
          <w:sz w:val="24"/>
          <w:szCs w:val="24"/>
          <w:shd w:val="clear" w:color="auto" w:fill="auto"/>
          <w:lang w:val="cs-CZ" w:eastAsia="cs-CZ" w:bidi="cs-CZ"/>
        </w:rPr>
        <w:t>Pronajímatel může od nájemní smlouvy okamžitě odstoupit:</w:t>
      </w:r>
      <w:bookmarkEnd w:id="26"/>
      <w:bookmarkEnd w:id="27"/>
      <w:bookmarkEnd w:id="29"/>
    </w:p>
    <w:p>
      <w:pPr>
        <w:pStyle w:val="Style20"/>
        <w:keepNext/>
        <w:keepLines/>
        <w:widowControl w:val="0"/>
        <w:numPr>
          <w:ilvl w:val="0"/>
          <w:numId w:val="7"/>
        </w:numPr>
        <w:shd w:val="clear" w:color="auto" w:fill="auto"/>
        <w:tabs>
          <w:tab w:pos="1003" w:val="left"/>
        </w:tabs>
        <w:bidi w:val="0"/>
        <w:spacing w:before="0" w:after="0" w:line="240" w:lineRule="auto"/>
        <w:ind w:right="0"/>
        <w:jc w:val="both"/>
      </w:pPr>
      <w:bookmarkStart w:id="30" w:name="bookmark30"/>
      <w:bookmarkStart w:id="31" w:name="bookmark31"/>
      <w:bookmarkStart w:id="32" w:name="bookmark32"/>
      <w:bookmarkStart w:id="33" w:name="bookmark33"/>
      <w:bookmarkEnd w:id="32"/>
      <w:r>
        <w:rPr>
          <w:color w:val="000000"/>
          <w:spacing w:val="0"/>
          <w:w w:val="100"/>
          <w:position w:val="0"/>
          <w:sz w:val="24"/>
          <w:szCs w:val="24"/>
          <w:shd w:val="clear" w:color="auto" w:fill="auto"/>
          <w:lang w:val="cs-CZ" w:eastAsia="cs-CZ" w:bidi="cs-CZ"/>
        </w:rPr>
        <w:t>užívá-li nájemce přes písemnou výzvu předmět nájmu v rozporu se sjednaným účelem a podmínkami nájmu nebo jej užívá takovým způsobem, že pronajímateli vzniká škoda, nebo že mu hrozí škoda,</w:t>
      </w:r>
      <w:bookmarkEnd w:id="30"/>
      <w:bookmarkEnd w:id="31"/>
      <w:bookmarkEnd w:id="33"/>
    </w:p>
    <w:p>
      <w:pPr>
        <w:pStyle w:val="Style20"/>
        <w:keepNext/>
        <w:keepLines/>
        <w:widowControl w:val="0"/>
        <w:numPr>
          <w:ilvl w:val="0"/>
          <w:numId w:val="7"/>
        </w:numPr>
        <w:shd w:val="clear" w:color="auto" w:fill="auto"/>
        <w:tabs>
          <w:tab w:pos="1003" w:val="left"/>
        </w:tabs>
        <w:bidi w:val="0"/>
        <w:spacing w:before="0" w:after="220" w:line="240" w:lineRule="auto"/>
        <w:ind w:right="0"/>
        <w:jc w:val="both"/>
      </w:pPr>
      <w:bookmarkStart w:id="34" w:name="bookmark34"/>
      <w:bookmarkStart w:id="35" w:name="bookmark35"/>
      <w:bookmarkStart w:id="36" w:name="bookmark36"/>
      <w:bookmarkStart w:id="37" w:name="bookmark37"/>
      <w:bookmarkEnd w:id="36"/>
      <w:r>
        <w:rPr>
          <w:color w:val="000000"/>
          <w:spacing w:val="0"/>
          <w:w w:val="100"/>
          <w:position w:val="0"/>
          <w:sz w:val="24"/>
          <w:szCs w:val="24"/>
          <w:shd w:val="clear" w:color="auto" w:fill="auto"/>
          <w:lang w:val="cs-CZ" w:eastAsia="cs-CZ" w:bidi="cs-CZ"/>
        </w:rPr>
        <w:t>dojde-li k prodlení s úhradou nájemného o více jak 30 dnů po termínu splatnosti nájemného.</w:t>
      </w:r>
      <w:bookmarkEnd w:id="34"/>
      <w:bookmarkEnd w:id="35"/>
      <w:bookmarkEnd w:id="37"/>
    </w:p>
    <w:p>
      <w:pPr>
        <w:pStyle w:val="Style8"/>
        <w:keepNext w:val="0"/>
        <w:keepLines w:val="0"/>
        <w:widowControl w:val="0"/>
        <w:numPr>
          <w:ilvl w:val="0"/>
          <w:numId w:val="1"/>
        </w:numPr>
        <w:shd w:val="clear" w:color="auto" w:fill="auto"/>
        <w:tabs>
          <w:tab w:pos="361" w:val="left"/>
        </w:tabs>
        <w:bidi w:val="0"/>
        <w:spacing w:before="0" w:after="0" w:line="240" w:lineRule="auto"/>
        <w:ind w:left="0" w:right="0" w:firstLine="0"/>
        <w:jc w:val="center"/>
      </w:pPr>
      <w:bookmarkStart w:id="38" w:name="bookmark38"/>
      <w:bookmarkEnd w:id="38"/>
      <w:r>
        <w:rPr>
          <w:b/>
          <w:bCs/>
          <w:color w:val="000000"/>
          <w:spacing w:val="0"/>
          <w:w w:val="100"/>
          <w:position w:val="0"/>
          <w:sz w:val="24"/>
          <w:szCs w:val="24"/>
          <w:shd w:val="clear" w:color="auto" w:fill="auto"/>
          <w:lang w:val="cs-CZ" w:eastAsia="cs-CZ" w:bidi="cs-CZ"/>
        </w:rPr>
        <w:t>Budoucí majetkoprávní vypořádání</w:t>
      </w:r>
    </w:p>
    <w:p>
      <w:pPr>
        <w:pStyle w:val="Style8"/>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 smlouva o smlouvě budoucí o zřízení věcného břemene</w:t>
      </w:r>
    </w:p>
    <w:p>
      <w:pPr>
        <w:pStyle w:val="Style8"/>
        <w:keepNext w:val="0"/>
        <w:keepLines w:val="0"/>
        <w:widowControl w:val="0"/>
        <w:numPr>
          <w:ilvl w:val="1"/>
          <w:numId w:val="1"/>
        </w:numPr>
        <w:shd w:val="clear" w:color="auto" w:fill="auto"/>
        <w:tabs>
          <w:tab w:pos="558" w:val="left"/>
        </w:tabs>
        <w:bidi w:val="0"/>
        <w:spacing w:before="0" w:line="240" w:lineRule="auto"/>
        <w:ind w:left="300" w:right="0" w:hanging="300"/>
        <w:jc w:val="both"/>
      </w:pPr>
      <w:bookmarkStart w:id="39" w:name="bookmark39"/>
      <w:bookmarkEnd w:id="39"/>
      <w:r>
        <w:rPr>
          <w:color w:val="000000"/>
          <w:spacing w:val="0"/>
          <w:w w:val="100"/>
          <w:position w:val="0"/>
          <w:sz w:val="24"/>
          <w:szCs w:val="24"/>
          <w:shd w:val="clear" w:color="auto" w:fill="auto"/>
          <w:lang w:val="cs-CZ" w:eastAsia="cs-CZ" w:bidi="cs-CZ"/>
        </w:rPr>
        <w:t>Pronajímatel nebude přejímat do svého majetku žádné stavby ani objekty vybudované v rámci stavby.</w:t>
      </w:r>
    </w:p>
    <w:p>
      <w:pPr>
        <w:pStyle w:val="Style8"/>
        <w:keepNext w:val="0"/>
        <w:keepLines w:val="0"/>
        <w:widowControl w:val="0"/>
        <w:numPr>
          <w:ilvl w:val="1"/>
          <w:numId w:val="1"/>
        </w:numPr>
        <w:shd w:val="clear" w:color="auto" w:fill="auto"/>
        <w:tabs>
          <w:tab w:pos="558" w:val="left"/>
        </w:tabs>
        <w:bidi w:val="0"/>
        <w:spacing w:before="0" w:line="240" w:lineRule="auto"/>
        <w:ind w:left="560" w:right="0" w:hanging="560"/>
        <w:jc w:val="both"/>
      </w:pPr>
      <w:bookmarkStart w:id="40" w:name="bookmark40"/>
      <w:bookmarkEnd w:id="40"/>
      <w:r>
        <w:rPr>
          <w:color w:val="000000"/>
          <w:spacing w:val="0"/>
          <w:w w:val="100"/>
          <w:position w:val="0"/>
          <w:sz w:val="24"/>
          <w:szCs w:val="24"/>
          <w:shd w:val="clear" w:color="auto" w:fill="auto"/>
          <w:lang w:val="cs-CZ" w:eastAsia="cs-CZ" w:bidi="cs-CZ"/>
        </w:rPr>
        <w:t>Po dokončení stavby bude na náklady nájemce celá situace zaměřena geometrickým plánem a tím určena přesná výměra části pozemku, která bude předmětem smlouvy o zřízení VB – služebnosti.</w:t>
      </w:r>
    </w:p>
    <w:p>
      <w:pPr>
        <w:pStyle w:val="Style8"/>
        <w:keepNext w:val="0"/>
        <w:keepLines w:val="0"/>
        <w:widowControl w:val="0"/>
        <w:numPr>
          <w:ilvl w:val="1"/>
          <w:numId w:val="1"/>
        </w:numPr>
        <w:shd w:val="clear" w:color="auto" w:fill="auto"/>
        <w:tabs>
          <w:tab w:pos="558" w:val="left"/>
        </w:tabs>
        <w:bidi w:val="0"/>
        <w:spacing w:before="0" w:line="240" w:lineRule="auto"/>
        <w:ind w:left="560" w:right="0" w:hanging="560"/>
        <w:jc w:val="both"/>
      </w:pPr>
      <w:bookmarkStart w:id="41" w:name="bookmark41"/>
      <w:bookmarkEnd w:id="41"/>
      <w:r>
        <w:rPr>
          <w:color w:val="000000"/>
          <w:spacing w:val="0"/>
          <w:w w:val="100"/>
          <w:position w:val="0"/>
          <w:sz w:val="24"/>
          <w:szCs w:val="24"/>
          <w:shd w:val="clear" w:color="auto" w:fill="auto"/>
          <w:lang w:val="cs-CZ" w:eastAsia="cs-CZ" w:bidi="cs-CZ"/>
        </w:rPr>
        <w:t xml:space="preserve">Smluvní strany se dohodly, že nejpozději do 3 měsíců od data vydání příslušného kolaudačního souhlasu ke stavbě uzavřou smlouvu o zřízení věcného břemene - služebnosti, </w:t>
      </w:r>
      <w:r>
        <w:rPr>
          <w:b/>
          <w:bCs/>
          <w:color w:val="000000"/>
          <w:spacing w:val="0"/>
          <w:w w:val="100"/>
          <w:position w:val="0"/>
          <w:sz w:val="24"/>
          <w:szCs w:val="24"/>
          <w:shd w:val="clear" w:color="auto" w:fill="auto"/>
          <w:lang w:val="cs-CZ" w:eastAsia="cs-CZ" w:bidi="cs-CZ"/>
        </w:rPr>
        <w:t>a to na dobu životnosti stavby.</w:t>
      </w:r>
    </w:p>
    <w:p>
      <w:pPr>
        <w:pStyle w:val="Style12"/>
        <w:keepNext w:val="0"/>
        <w:keepLines w:val="0"/>
        <w:widowControl w:val="0"/>
        <w:numPr>
          <w:ilvl w:val="1"/>
          <w:numId w:val="1"/>
        </w:numPr>
        <w:shd w:val="clear" w:color="auto" w:fill="auto"/>
        <w:tabs>
          <w:tab w:pos="558" w:val="left"/>
        </w:tabs>
        <w:bidi w:val="0"/>
        <w:spacing w:before="0" w:after="60" w:line="240" w:lineRule="auto"/>
        <w:ind w:right="0"/>
        <w:jc w:val="both"/>
      </w:pPr>
      <w:bookmarkStart w:id="42" w:name="bookmark42"/>
      <w:bookmarkEnd w:id="42"/>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 se zavazuje, že do 30 dnů ode dne, kdy obdrží geometrický plán a návrh smlouvy o zřízení služebnosti ve smyslu ustanovení § 1274 a následných občanského zákoníku, uzavře s nájemcem smlouvu o zřízení služebnosti. Ve smlouvě o zřízení služebnosti zřídí pronajímatel nájemci na pozemku p. č. 2532/1 a 2532/2 v k. ú. Dolní Chodov služebnost spočívající v právu umístit stavební objekty uvedené v příloze č. 1 této smlouvy a v právu vstupu nájemce na tento pozemek v souvislosti se zřízením, provozem, opravami a údržbou stavebních objektů. Obsah práva služebnosti bude dále upřesněn v samotné smlouvě o zřízení služebnosti.</w:t>
      </w:r>
    </w:p>
    <w:p>
      <w:pPr>
        <w:pStyle w:val="Style8"/>
        <w:keepNext w:val="0"/>
        <w:keepLines w:val="0"/>
        <w:widowControl w:val="0"/>
        <w:numPr>
          <w:ilvl w:val="1"/>
          <w:numId w:val="1"/>
        </w:numPr>
        <w:shd w:val="clear" w:color="auto" w:fill="auto"/>
        <w:tabs>
          <w:tab w:pos="558" w:val="left"/>
        </w:tabs>
        <w:bidi w:val="0"/>
        <w:spacing w:before="0" w:line="240" w:lineRule="auto"/>
        <w:ind w:left="560" w:right="0" w:hanging="560"/>
        <w:jc w:val="both"/>
      </w:pPr>
      <w:bookmarkStart w:id="43" w:name="bookmark43"/>
      <w:bookmarkEnd w:id="43"/>
      <w:r>
        <w:rPr>
          <w:color w:val="000000"/>
          <w:spacing w:val="0"/>
          <w:w w:val="100"/>
          <w:position w:val="0"/>
          <w:sz w:val="24"/>
          <w:szCs w:val="24"/>
          <w:shd w:val="clear" w:color="auto" w:fill="auto"/>
          <w:lang w:val="cs-CZ" w:eastAsia="cs-CZ" w:bidi="cs-CZ"/>
        </w:rPr>
        <w:t xml:space="preserve">Věcné břemeno – služebnost bude zřízena za jednorázovou úplatu. Výše jednorázové úhrady za zřízení výše popsaných práv odpovídajících věcnému břemeni na předmětném pozemku, kterou se nájemce zavazuje uhradit, je stanovena dle předpokládaného rozsahu omezení uvedeného v odst. 5.1. čl. 5. Rozsah stavby na </w:t>
      </w:r>
      <w:r>
        <w:rPr>
          <w:b/>
          <w:bCs/>
          <w:color w:val="000000"/>
          <w:spacing w:val="0"/>
          <w:w w:val="100"/>
          <w:position w:val="0"/>
          <w:sz w:val="24"/>
          <w:szCs w:val="24"/>
          <w:shd w:val="clear" w:color="auto" w:fill="auto"/>
          <w:lang w:val="cs-CZ" w:eastAsia="cs-CZ" w:bidi="cs-CZ"/>
        </w:rPr>
        <w:t xml:space="preserve">34.102,- Kč + platná sazba DPH </w:t>
      </w:r>
      <w:r>
        <w:rPr>
          <w:color w:val="000000"/>
          <w:spacing w:val="0"/>
          <w:w w:val="100"/>
          <w:position w:val="0"/>
          <w:sz w:val="24"/>
          <w:szCs w:val="24"/>
          <w:shd w:val="clear" w:color="auto" w:fill="auto"/>
          <w:lang w:val="cs-CZ" w:eastAsia="cs-CZ" w:bidi="cs-CZ"/>
        </w:rPr>
        <w:t>(100,- Kč/m</w:t>
      </w:r>
      <w:r>
        <w:rPr>
          <w:color w:val="000000"/>
          <w:spacing w:val="0"/>
          <w:w w:val="100"/>
          <w:position w:val="0"/>
          <w:sz w:val="24"/>
          <w:szCs w:val="24"/>
          <w:shd w:val="clear" w:color="auto" w:fill="auto"/>
          <w:vertAlign w:val="superscript"/>
          <w:lang w:val="cs-CZ" w:eastAsia="cs-CZ" w:bidi="cs-CZ"/>
        </w:rPr>
        <w:t>2</w:t>
      </w:r>
      <w:r>
        <w:rPr>
          <w:color w:val="000000"/>
          <w:spacing w:val="0"/>
          <w:w w:val="100"/>
          <w:position w:val="0"/>
          <w:sz w:val="24"/>
          <w:szCs w:val="24"/>
          <w:shd w:val="clear" w:color="auto" w:fill="auto"/>
          <w:lang w:val="cs-CZ" w:eastAsia="cs-CZ" w:bidi="cs-CZ"/>
        </w:rPr>
        <w:t xml:space="preserve"> + platná sazba DPH). Výše konečné částky bude upřesněna dle skutečného zaměření stavby. Cena je stanovena jako cena smluvní.</w:t>
      </w:r>
    </w:p>
    <w:p>
      <w:pPr>
        <w:pStyle w:val="Style8"/>
        <w:keepNext w:val="0"/>
        <w:keepLines w:val="0"/>
        <w:widowControl w:val="0"/>
        <w:numPr>
          <w:ilvl w:val="1"/>
          <w:numId w:val="1"/>
        </w:numPr>
        <w:shd w:val="clear" w:color="auto" w:fill="auto"/>
        <w:tabs>
          <w:tab w:pos="558" w:val="left"/>
        </w:tabs>
        <w:bidi w:val="0"/>
        <w:spacing w:before="0" w:line="240" w:lineRule="auto"/>
        <w:ind w:left="560" w:right="0" w:hanging="560"/>
        <w:jc w:val="both"/>
      </w:pPr>
      <w:bookmarkStart w:id="44" w:name="bookmark44"/>
      <w:bookmarkEnd w:id="44"/>
      <w:r>
        <w:rPr>
          <w:color w:val="000000"/>
          <w:spacing w:val="0"/>
          <w:w w:val="100"/>
          <w:position w:val="0"/>
          <w:sz w:val="24"/>
          <w:szCs w:val="24"/>
          <w:shd w:val="clear" w:color="auto" w:fill="auto"/>
          <w:lang w:val="cs-CZ" w:eastAsia="cs-CZ" w:bidi="cs-CZ"/>
        </w:rPr>
        <w:t xml:space="preserve">Dohodnutá částka bude uhrazena na základě daňového dokladu, který pronajímatel vystaví nejpozději do 15 dnů ode dne vzniku věcného břemene. Dnem uskutečnění zdanitelného plnění je den poskytnutí služby, tj. den vzniku věcného břemene nebo den vystavení daňového dokladu podle toho, který den </w:t>
      </w:r>
      <w:r>
        <w:rPr>
          <w:color w:val="000000"/>
          <w:spacing w:val="0"/>
          <w:w w:val="100"/>
          <w:position w:val="0"/>
          <w:sz w:val="24"/>
          <w:szCs w:val="24"/>
          <w:shd w:val="clear" w:color="auto" w:fill="auto"/>
          <w:lang w:val="cs-CZ" w:eastAsia="cs-CZ" w:bidi="cs-CZ"/>
        </w:rPr>
        <w:t>nastane dříve. Splatnost bude stanovena na 30 dnů od data vystavení daňového dokladu. Neuhradí-li nájemce částku ve lhůtě splatnosti, bude mu účtován smluvní úrok ve výši 0,3 % z částky včas nezaplacené za každý den prodlení.</w:t>
      </w:r>
    </w:p>
    <w:p>
      <w:pPr>
        <w:pStyle w:val="Style8"/>
        <w:keepNext w:val="0"/>
        <w:keepLines w:val="0"/>
        <w:widowControl w:val="0"/>
        <w:numPr>
          <w:ilvl w:val="1"/>
          <w:numId w:val="1"/>
        </w:numPr>
        <w:shd w:val="clear" w:color="auto" w:fill="auto"/>
        <w:tabs>
          <w:tab w:pos="594" w:val="left"/>
        </w:tabs>
        <w:bidi w:val="0"/>
        <w:spacing w:before="0" w:after="560" w:line="240" w:lineRule="auto"/>
        <w:ind w:left="580" w:right="0" w:hanging="580"/>
        <w:jc w:val="both"/>
      </w:pPr>
      <w:bookmarkStart w:id="45" w:name="bookmark45"/>
      <w:bookmarkEnd w:id="45"/>
      <w:r>
        <w:rPr>
          <w:color w:val="000000"/>
          <w:spacing w:val="0"/>
          <w:w w:val="100"/>
          <w:position w:val="0"/>
          <w:sz w:val="24"/>
          <w:szCs w:val="24"/>
          <w:shd w:val="clear" w:color="auto" w:fill="auto"/>
          <w:lang w:val="cs-CZ" w:eastAsia="cs-CZ" w:bidi="cs-CZ"/>
        </w:rPr>
        <w:t>Nájemce se zavazuje odstranit na výzvu pronajímatele na své náklady stavební objekty v případě ukončení užívání, funkčnosti či ztráty účelu stavebních objektů, pro kterou bude služebnost zřízena. Při odstraňování stavebních objektů se zavazuje co nejvíce šetřit majetek pronajímatele a poskytne pronajímateli součinnost při výmazu věcného břemena – služebnosti z katastru nemovitostí.</w:t>
      </w:r>
    </w:p>
    <w:p>
      <w:pPr>
        <w:pStyle w:val="Style8"/>
        <w:keepNext w:val="0"/>
        <w:keepLines w:val="0"/>
        <w:widowControl w:val="0"/>
        <w:numPr>
          <w:ilvl w:val="0"/>
          <w:numId w:val="1"/>
        </w:numPr>
        <w:shd w:val="clear" w:color="auto" w:fill="auto"/>
        <w:tabs>
          <w:tab w:pos="342" w:val="left"/>
        </w:tabs>
        <w:bidi w:val="0"/>
        <w:spacing w:before="0" w:after="200" w:line="240" w:lineRule="auto"/>
        <w:ind w:left="0" w:right="0" w:firstLine="0"/>
        <w:jc w:val="center"/>
      </w:pPr>
      <w:bookmarkStart w:id="46" w:name="bookmark46"/>
      <w:bookmarkEnd w:id="46"/>
      <w:r>
        <w:rPr>
          <w:b/>
          <w:bCs/>
          <w:color w:val="000000"/>
          <w:spacing w:val="0"/>
          <w:w w:val="100"/>
          <w:position w:val="0"/>
          <w:sz w:val="24"/>
          <w:szCs w:val="24"/>
          <w:shd w:val="clear" w:color="auto" w:fill="auto"/>
          <w:lang w:val="cs-CZ" w:eastAsia="cs-CZ" w:bidi="cs-CZ"/>
        </w:rPr>
        <w:t>Compliance doložka</w:t>
      </w:r>
    </w:p>
    <w:p>
      <w:pPr>
        <w:pStyle w:val="Style8"/>
        <w:keepNext w:val="0"/>
        <w:keepLines w:val="0"/>
        <w:widowControl w:val="0"/>
        <w:numPr>
          <w:ilvl w:val="1"/>
          <w:numId w:val="1"/>
        </w:numPr>
        <w:shd w:val="clear" w:color="auto" w:fill="auto"/>
        <w:tabs>
          <w:tab w:pos="594" w:val="left"/>
        </w:tabs>
        <w:bidi w:val="0"/>
        <w:spacing w:before="0" w:line="240" w:lineRule="auto"/>
        <w:ind w:left="580" w:right="0" w:hanging="580"/>
        <w:jc w:val="both"/>
      </w:pPr>
      <w:bookmarkStart w:id="47" w:name="bookmark47"/>
      <w:bookmarkEnd w:id="47"/>
      <w:r>
        <w:rPr>
          <w:color w:val="000000"/>
          <w:spacing w:val="0"/>
          <w:w w:val="100"/>
          <w:position w:val="0"/>
          <w:sz w:val="24"/>
          <w:szCs w:val="24"/>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8"/>
        <w:keepNext w:val="0"/>
        <w:keepLines w:val="0"/>
        <w:widowControl w:val="0"/>
        <w:numPr>
          <w:ilvl w:val="1"/>
          <w:numId w:val="1"/>
        </w:numPr>
        <w:shd w:val="clear" w:color="auto" w:fill="auto"/>
        <w:tabs>
          <w:tab w:pos="594" w:val="left"/>
        </w:tabs>
        <w:bidi w:val="0"/>
        <w:spacing w:before="0" w:line="240" w:lineRule="auto"/>
        <w:ind w:left="580" w:right="0" w:hanging="580"/>
        <w:jc w:val="both"/>
      </w:pPr>
      <w:bookmarkStart w:id="48" w:name="bookmark48"/>
      <w:bookmarkEnd w:id="48"/>
      <w:r>
        <w:rPr>
          <w:color w:val="000000"/>
          <w:spacing w:val="0"/>
          <w:w w:val="100"/>
          <w:position w:val="0"/>
          <w:sz w:val="24"/>
          <w:szCs w:val="24"/>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8"/>
        <w:keepNext w:val="0"/>
        <w:keepLines w:val="0"/>
        <w:widowControl w:val="0"/>
        <w:numPr>
          <w:ilvl w:val="1"/>
          <w:numId w:val="1"/>
        </w:numPr>
        <w:shd w:val="clear" w:color="auto" w:fill="auto"/>
        <w:tabs>
          <w:tab w:pos="594" w:val="left"/>
        </w:tabs>
        <w:bidi w:val="0"/>
        <w:spacing w:before="0" w:line="240" w:lineRule="auto"/>
        <w:ind w:left="580" w:right="0" w:hanging="580"/>
        <w:jc w:val="both"/>
      </w:pPr>
      <w:bookmarkStart w:id="49" w:name="bookmark49"/>
      <w:bookmarkEnd w:id="49"/>
      <w:r>
        <w:rPr>
          <w:color w:val="000000"/>
          <w:spacing w:val="0"/>
          <w:w w:val="100"/>
          <w:position w:val="0"/>
          <w:sz w:val="24"/>
          <w:szCs w:val="24"/>
          <w:shd w:val="clear" w:color="auto" w:fill="auto"/>
          <w:lang w:val="cs-CZ" w:eastAsia="cs-CZ" w:bidi="cs-CZ"/>
        </w:rPr>
        <w:t>Nájemce prohlašuje, že se seznámili se zásadami, hodnotami a cíli Compliance programu Povodí Ohře, státní podnik (viz</w:t>
      </w:r>
      <w:r>
        <w:fldChar w:fldCharType="begin"/>
      </w:r>
      <w:r>
        <w:rPr/>
        <w:instrText> HYPERLINK "http://www.poh.cz/protikorupcni-a-compliance-program/d-1346/p1=1458" </w:instrText>
      </w:r>
      <w:r>
        <w:fldChar w:fldCharType="separate"/>
      </w:r>
      <w:r>
        <w:rPr>
          <w:color w:val="000000"/>
          <w:spacing w:val="0"/>
          <w:w w:val="100"/>
          <w:position w:val="0"/>
          <w:sz w:val="24"/>
          <w:szCs w:val="24"/>
          <w:shd w:val="clear" w:color="auto" w:fill="auto"/>
          <w:lang w:val="cs-CZ" w:eastAsia="cs-CZ" w:bidi="cs-CZ"/>
        </w:rPr>
        <w:t xml:space="preserve"> </w:t>
      </w:r>
      <w:r>
        <w:rPr>
          <w:color w:val="0000FF"/>
          <w:spacing w:val="0"/>
          <w:w w:val="100"/>
          <w:position w:val="0"/>
          <w:sz w:val="24"/>
          <w:szCs w:val="24"/>
          <w:shd w:val="clear" w:color="auto" w:fill="auto"/>
          <w:lang w:val="cs-CZ" w:eastAsia="cs-CZ" w:bidi="cs-CZ"/>
        </w:rPr>
        <w:t>http://www.poh.cz/protikorupcni-a-</w:t>
      </w:r>
      <w:r>
        <w:fldChar w:fldCharType="end"/>
      </w:r>
      <w:r>
        <w:rPr>
          <w:color w:val="0000FF"/>
          <w:spacing w:val="0"/>
          <w:w w:val="100"/>
          <w:position w:val="0"/>
          <w:sz w:val="24"/>
          <w:szCs w:val="24"/>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z w:val="24"/>
          <w:szCs w:val="24"/>
          <w:shd w:val="clear" w:color="auto" w:fill="auto"/>
          <w:lang w:val="cs-CZ" w:eastAsia="cs-CZ" w:bidi="cs-CZ"/>
        </w:rPr>
        <w:t>compliance-program/d-1346/p1=1458</w:t>
      </w:r>
      <w:r>
        <w:rPr>
          <w:color w:val="000000"/>
          <w:spacing w:val="0"/>
          <w:w w:val="100"/>
          <w:position w:val="0"/>
          <w:sz w:val="24"/>
          <w:szCs w:val="24"/>
          <w:shd w:val="clear" w:color="auto" w:fill="auto"/>
          <w:lang w:val="cs-CZ" w:eastAsia="cs-CZ" w:bidi="cs-CZ"/>
        </w:rPr>
        <w:t>)</w:t>
      </w:r>
      <w:r>
        <w:fldChar w:fldCharType="end"/>
      </w:r>
      <w:r>
        <w:rPr>
          <w:color w:val="000000"/>
          <w:spacing w:val="0"/>
          <w:w w:val="100"/>
          <w:position w:val="0"/>
          <w:sz w:val="24"/>
          <w:szCs w:val="24"/>
          <w:shd w:val="clear" w:color="auto" w:fill="auto"/>
          <w:lang w:val="cs-CZ" w:eastAsia="cs-CZ" w:bidi="cs-CZ"/>
        </w:rPr>
        <w:t>, dále s Etickým kodexem Povodí Ohře, státní podnik a Protikorupčním programem Povodí Ohře, státní podnik. Nájemce se při plnění této Smlouvy zavazují po celou dobu jejího trvání dodržovat zásady a hodnoty obsažené v uvedených dokumentech, pokud to jejich povaha umožňuje.</w:t>
      </w:r>
    </w:p>
    <w:p>
      <w:pPr>
        <w:pStyle w:val="Style8"/>
        <w:keepNext w:val="0"/>
        <w:keepLines w:val="0"/>
        <w:widowControl w:val="0"/>
        <w:numPr>
          <w:ilvl w:val="1"/>
          <w:numId w:val="1"/>
        </w:numPr>
        <w:shd w:val="clear" w:color="auto" w:fill="auto"/>
        <w:tabs>
          <w:tab w:pos="594" w:val="left"/>
        </w:tabs>
        <w:bidi w:val="0"/>
        <w:spacing w:before="0" w:after="480" w:line="240" w:lineRule="auto"/>
        <w:ind w:left="580" w:right="0" w:hanging="580"/>
        <w:jc w:val="both"/>
      </w:pPr>
      <w:bookmarkStart w:id="50" w:name="bookmark50"/>
      <w:bookmarkEnd w:id="50"/>
      <w:r>
        <w:rPr>
          <w:color w:val="000000"/>
          <w:spacing w:val="0"/>
          <w:w w:val="100"/>
          <w:position w:val="0"/>
          <w:sz w:val="24"/>
          <w:szCs w:val="24"/>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8"/>
        <w:keepNext w:val="0"/>
        <w:keepLines w:val="0"/>
        <w:widowControl w:val="0"/>
        <w:numPr>
          <w:ilvl w:val="0"/>
          <w:numId w:val="1"/>
        </w:numPr>
        <w:shd w:val="clear" w:color="auto" w:fill="auto"/>
        <w:tabs>
          <w:tab w:pos="471" w:val="left"/>
        </w:tabs>
        <w:bidi w:val="0"/>
        <w:spacing w:before="0" w:after="200" w:line="240" w:lineRule="auto"/>
        <w:ind w:left="0" w:right="0" w:firstLine="0"/>
        <w:jc w:val="center"/>
      </w:pPr>
      <w:bookmarkStart w:id="51" w:name="bookmark51"/>
      <w:bookmarkEnd w:id="51"/>
      <w:r>
        <w:rPr>
          <w:b/>
          <w:bCs/>
          <w:color w:val="000000"/>
          <w:spacing w:val="0"/>
          <w:w w:val="100"/>
          <w:position w:val="0"/>
          <w:sz w:val="24"/>
          <w:szCs w:val="24"/>
          <w:shd w:val="clear" w:color="auto" w:fill="auto"/>
          <w:lang w:val="cs-CZ" w:eastAsia="cs-CZ" w:bidi="cs-CZ"/>
        </w:rPr>
        <w:t>Ochrana a zpracování osobní údajů</w:t>
      </w:r>
    </w:p>
    <w:p>
      <w:pPr>
        <w:pStyle w:val="Style8"/>
        <w:keepNext w:val="0"/>
        <w:keepLines w:val="0"/>
        <w:widowControl w:val="0"/>
        <w:shd w:val="clear" w:color="auto" w:fill="auto"/>
        <w:bidi w:val="0"/>
        <w:spacing w:before="0" w:after="480" w:line="240" w:lineRule="auto"/>
        <w:ind w:left="0" w:right="0" w:firstLine="0"/>
        <w:jc w:val="both"/>
      </w:pPr>
      <w:r>
        <w:rPr>
          <w:color w:val="000000"/>
          <w:spacing w:val="0"/>
          <w:w w:val="100"/>
          <w:position w:val="0"/>
          <w:sz w:val="24"/>
          <w:szCs w:val="24"/>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w:t>
      </w:r>
      <w:r>
        <w:rPr>
          <w:color w:val="000000"/>
          <w:spacing w:val="0"/>
          <w:w w:val="100"/>
          <w:position w:val="0"/>
          <w:sz w:val="24"/>
          <w:szCs w:val="24"/>
          <w:shd w:val="clear" w:color="auto" w:fill="auto"/>
          <w:lang w:val="cs-CZ" w:eastAsia="cs-CZ" w:bidi="cs-CZ"/>
        </w:rPr>
        <w:t xml:space="preserve">zpracování osobních údajů, včetně účelu a důvodu zpracování, lze nalézt na </w:t>
      </w:r>
      <w:r>
        <w:fldChar w:fldCharType="begin"/>
      </w:r>
      <w:r>
        <w:rPr/>
        <w:instrText> HYPERLINK "http://www.poh.cz/informace-o-zpracovani-osobnich-udaju/d-1369/p1=1459" </w:instrText>
      </w:r>
      <w:r>
        <w:fldChar w:fldCharType="separate"/>
      </w:r>
      <w:r>
        <w:rPr>
          <w:color w:val="0000FF"/>
          <w:spacing w:val="0"/>
          <w:w w:val="100"/>
          <w:position w:val="0"/>
          <w:sz w:val="24"/>
          <w:szCs w:val="24"/>
          <w:shd w:val="clear" w:color="auto" w:fill="auto"/>
          <w:lang w:val="cs-CZ" w:eastAsia="cs-CZ" w:bidi="cs-CZ"/>
        </w:rPr>
        <w:t>http://www.poh.cz/informace-o-zpracovani-osobnich-udaju/d-1369/p1=1459</w:t>
      </w:r>
      <w:r>
        <w:rPr>
          <w:color w:val="000000"/>
          <w:spacing w:val="0"/>
          <w:w w:val="100"/>
          <w:position w:val="0"/>
          <w:sz w:val="24"/>
          <w:szCs w:val="24"/>
          <w:shd w:val="clear" w:color="auto" w:fill="auto"/>
          <w:lang w:val="cs-CZ" w:eastAsia="cs-CZ" w:bidi="cs-CZ"/>
        </w:rPr>
        <w:t>.</w:t>
      </w:r>
      <w:r>
        <w:fldChar w:fldCharType="end"/>
      </w:r>
    </w:p>
    <w:p>
      <w:pPr>
        <w:pStyle w:val="Style8"/>
        <w:keepNext w:val="0"/>
        <w:keepLines w:val="0"/>
        <w:widowControl w:val="0"/>
        <w:numPr>
          <w:ilvl w:val="0"/>
          <w:numId w:val="1"/>
        </w:numPr>
        <w:shd w:val="clear" w:color="auto" w:fill="auto"/>
        <w:tabs>
          <w:tab w:pos="553" w:val="left"/>
        </w:tabs>
        <w:bidi w:val="0"/>
        <w:spacing w:before="0" w:after="160" w:line="240" w:lineRule="auto"/>
        <w:ind w:left="0" w:right="0" w:firstLine="0"/>
        <w:jc w:val="center"/>
      </w:pPr>
      <w:bookmarkStart w:id="52" w:name="bookmark52"/>
      <w:bookmarkEnd w:id="52"/>
      <w:r>
        <w:rPr>
          <w:b/>
          <w:bCs/>
          <w:color w:val="000000"/>
          <w:spacing w:val="0"/>
          <w:w w:val="100"/>
          <w:position w:val="0"/>
          <w:sz w:val="24"/>
          <w:szCs w:val="24"/>
          <w:shd w:val="clear" w:color="auto" w:fill="auto"/>
          <w:lang w:val="cs-CZ" w:eastAsia="cs-CZ" w:bidi="cs-CZ"/>
        </w:rPr>
        <w:t>Závěrečná ustanovení</w:t>
      </w:r>
    </w:p>
    <w:p>
      <w:pPr>
        <w:pStyle w:val="Style8"/>
        <w:keepNext w:val="0"/>
        <w:keepLines w:val="0"/>
        <w:widowControl w:val="0"/>
        <w:numPr>
          <w:ilvl w:val="1"/>
          <w:numId w:val="1"/>
        </w:numPr>
        <w:shd w:val="clear" w:color="auto" w:fill="auto"/>
        <w:tabs>
          <w:tab w:pos="732" w:val="left"/>
        </w:tabs>
        <w:bidi w:val="0"/>
        <w:spacing w:before="0" w:line="240" w:lineRule="auto"/>
        <w:ind w:left="580" w:right="0" w:hanging="580"/>
        <w:jc w:val="both"/>
      </w:pPr>
      <w:bookmarkStart w:id="53" w:name="bookmark53"/>
      <w:bookmarkEnd w:id="53"/>
      <w:r>
        <w:rPr>
          <w:color w:val="000000"/>
          <w:spacing w:val="0"/>
          <w:w w:val="100"/>
          <w:position w:val="0"/>
          <w:sz w:val="24"/>
          <w:szCs w:val="24"/>
          <w:shd w:val="clear" w:color="auto" w:fill="auto"/>
          <w:lang w:val="cs-CZ" w:eastAsia="cs-CZ" w:bidi="cs-CZ"/>
        </w:rPr>
        <w:t>Tato smlouva byla uzavřena podle § 2201 a násl. zákona č. 89/2012 Sb., občanského zákoníku, ve znění pozdějších předpisů.</w:t>
      </w:r>
    </w:p>
    <w:p>
      <w:pPr>
        <w:pStyle w:val="Style8"/>
        <w:keepNext w:val="0"/>
        <w:keepLines w:val="0"/>
        <w:widowControl w:val="0"/>
        <w:numPr>
          <w:ilvl w:val="1"/>
          <w:numId w:val="1"/>
        </w:numPr>
        <w:shd w:val="clear" w:color="auto" w:fill="auto"/>
        <w:tabs>
          <w:tab w:pos="732" w:val="left"/>
        </w:tabs>
        <w:bidi w:val="0"/>
        <w:spacing w:before="0" w:line="240" w:lineRule="auto"/>
        <w:ind w:left="580" w:right="0" w:hanging="580"/>
        <w:jc w:val="both"/>
      </w:pPr>
      <w:bookmarkStart w:id="54" w:name="bookmark54"/>
      <w:bookmarkEnd w:id="54"/>
      <w:r>
        <w:rPr>
          <w:color w:val="000000"/>
          <w:spacing w:val="0"/>
          <w:w w:val="100"/>
          <w:position w:val="0"/>
          <w:sz w:val="24"/>
          <w:szCs w:val="24"/>
          <w:shd w:val="clear" w:color="auto" w:fill="auto"/>
          <w:lang w:val="cs-CZ" w:eastAsia="cs-CZ" w:bidi="cs-CZ"/>
        </w:rPr>
        <w:t>Tato smlouva je vyhotovena ve čtyřech (4) vyhotoveních, z nichž nájemce obdrží jedno (1) a pronajímatel tři (3) vyhotovení.</w:t>
      </w:r>
    </w:p>
    <w:p>
      <w:pPr>
        <w:pStyle w:val="Style8"/>
        <w:keepNext w:val="0"/>
        <w:keepLines w:val="0"/>
        <w:widowControl w:val="0"/>
        <w:numPr>
          <w:ilvl w:val="1"/>
          <w:numId w:val="1"/>
        </w:numPr>
        <w:shd w:val="clear" w:color="auto" w:fill="auto"/>
        <w:tabs>
          <w:tab w:pos="732" w:val="left"/>
        </w:tabs>
        <w:bidi w:val="0"/>
        <w:spacing w:before="0" w:after="320" w:line="240" w:lineRule="auto"/>
        <w:ind w:left="580" w:right="0" w:hanging="580"/>
        <w:jc w:val="both"/>
      </w:pPr>
      <w:bookmarkStart w:id="55" w:name="bookmark55"/>
      <w:bookmarkEnd w:id="55"/>
      <w:r>
        <w:rPr>
          <w:color w:val="000000"/>
          <w:spacing w:val="0"/>
          <w:w w:val="100"/>
          <w:position w:val="0"/>
          <w:sz w:val="24"/>
          <w:szCs w:val="24"/>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8"/>
        <w:keepNext w:val="0"/>
        <w:keepLines w:val="0"/>
        <w:widowControl w:val="0"/>
        <w:numPr>
          <w:ilvl w:val="1"/>
          <w:numId w:val="1"/>
        </w:numPr>
        <w:shd w:val="clear" w:color="auto" w:fill="auto"/>
        <w:tabs>
          <w:tab w:pos="732" w:val="left"/>
        </w:tabs>
        <w:bidi w:val="0"/>
        <w:spacing w:before="0" w:line="240" w:lineRule="auto"/>
        <w:ind w:left="580" w:right="0" w:hanging="580"/>
        <w:jc w:val="both"/>
      </w:pPr>
      <w:bookmarkStart w:id="56" w:name="bookmark56"/>
      <w:bookmarkEnd w:id="56"/>
      <w:r>
        <w:rPr>
          <w:color w:val="000000"/>
          <w:spacing w:val="0"/>
          <w:w w:val="100"/>
          <w:position w:val="0"/>
          <w:sz w:val="24"/>
          <w:szCs w:val="24"/>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8"/>
        <w:keepNext w:val="0"/>
        <w:keepLines w:val="0"/>
        <w:widowControl w:val="0"/>
        <w:numPr>
          <w:ilvl w:val="1"/>
          <w:numId w:val="1"/>
        </w:numPr>
        <w:shd w:val="clear" w:color="auto" w:fill="auto"/>
        <w:tabs>
          <w:tab w:pos="732" w:val="left"/>
        </w:tabs>
        <w:bidi w:val="0"/>
        <w:spacing w:before="0" w:line="240" w:lineRule="auto"/>
        <w:ind w:left="580" w:right="0" w:hanging="580"/>
        <w:jc w:val="both"/>
      </w:pPr>
      <w:bookmarkStart w:id="57" w:name="bookmark57"/>
      <w:bookmarkEnd w:id="57"/>
      <w:r>
        <w:rPr>
          <w:color w:val="000000"/>
          <w:spacing w:val="0"/>
          <w:w w:val="100"/>
          <w:position w:val="0"/>
          <w:sz w:val="24"/>
          <w:szCs w:val="24"/>
          <w:shd w:val="clear" w:color="auto" w:fill="auto"/>
          <w:lang w:val="cs-CZ" w:eastAsia="cs-CZ" w:bidi="cs-CZ"/>
        </w:rPr>
        <w:t>Dodatky a změny ke smlouvě musí být učiněny písemnou formou. Ústní ujednání jsou neplatná.</w:t>
      </w:r>
    </w:p>
    <w:p>
      <w:pPr>
        <w:pStyle w:val="Style8"/>
        <w:keepNext w:val="0"/>
        <w:keepLines w:val="0"/>
        <w:widowControl w:val="0"/>
        <w:numPr>
          <w:ilvl w:val="1"/>
          <w:numId w:val="1"/>
        </w:numPr>
        <w:shd w:val="clear" w:color="auto" w:fill="auto"/>
        <w:tabs>
          <w:tab w:pos="732" w:val="left"/>
        </w:tabs>
        <w:bidi w:val="0"/>
        <w:spacing w:before="0" w:line="240" w:lineRule="auto"/>
        <w:ind w:left="0" w:right="0" w:firstLine="0"/>
        <w:jc w:val="left"/>
      </w:pPr>
      <w:bookmarkStart w:id="58" w:name="bookmark58"/>
      <w:bookmarkEnd w:id="58"/>
      <w:r>
        <w:rPr>
          <w:color w:val="000000"/>
          <w:spacing w:val="0"/>
          <w:w w:val="100"/>
          <w:position w:val="0"/>
          <w:sz w:val="24"/>
          <w:szCs w:val="24"/>
          <w:shd w:val="clear" w:color="auto" w:fill="auto"/>
          <w:lang w:val="cs-CZ" w:eastAsia="cs-CZ" w:bidi="cs-CZ"/>
        </w:rPr>
        <w:t>Smluvní strany nepovažují žádné ustanovení smlouvy za obchodní tajemství.</w:t>
      </w:r>
    </w:p>
    <w:p>
      <w:pPr>
        <w:pStyle w:val="Style8"/>
        <w:keepNext w:val="0"/>
        <w:keepLines w:val="0"/>
        <w:widowControl w:val="0"/>
        <w:numPr>
          <w:ilvl w:val="1"/>
          <w:numId w:val="1"/>
        </w:numPr>
        <w:shd w:val="clear" w:color="auto" w:fill="auto"/>
        <w:tabs>
          <w:tab w:pos="732" w:val="left"/>
        </w:tabs>
        <w:bidi w:val="0"/>
        <w:spacing w:before="0" w:line="240" w:lineRule="auto"/>
        <w:ind w:left="580" w:right="0" w:hanging="580"/>
        <w:jc w:val="left"/>
      </w:pPr>
      <w:bookmarkStart w:id="59" w:name="bookmark59"/>
      <w:bookmarkEnd w:id="59"/>
      <w:r>
        <w:rPr>
          <w:color w:val="000000"/>
          <w:spacing w:val="0"/>
          <w:w w:val="100"/>
          <w:position w:val="0"/>
          <w:sz w:val="24"/>
          <w:szCs w:val="24"/>
          <w:shd w:val="clear" w:color="auto" w:fill="auto"/>
          <w:lang w:val="cs-CZ" w:eastAsia="cs-CZ" w:bidi="cs-CZ"/>
        </w:rPr>
        <w:t>Město Chodov ve smyslu ustanovení § 41 odst. 1 zákona č. 128/2000 Sb., o obcích (obecní zřízení), ve znění pozdějších předpisů, prohlašuje, že podmínky, které tento zákon stanoví pro platnost právního jednání byly splněny. Uzavření této smlouvy schválila Rada města Chodov dne 25.11.2025, č. usnesení 25R- 589-2025.</w:t>
      </w:r>
    </w:p>
    <w:p>
      <w:pPr>
        <w:pStyle w:val="Style8"/>
        <w:keepNext w:val="0"/>
        <w:keepLines w:val="0"/>
        <w:widowControl w:val="0"/>
        <w:numPr>
          <w:ilvl w:val="1"/>
          <w:numId w:val="1"/>
        </w:numPr>
        <w:shd w:val="clear" w:color="auto" w:fill="auto"/>
        <w:tabs>
          <w:tab w:pos="732" w:val="left"/>
        </w:tabs>
        <w:bidi w:val="0"/>
        <w:spacing w:before="0" w:after="480" w:line="240" w:lineRule="auto"/>
        <w:ind w:left="580" w:right="0" w:hanging="580"/>
        <w:jc w:val="both"/>
      </w:pPr>
      <w:bookmarkStart w:id="60" w:name="bookmark60"/>
      <w:bookmarkEnd w:id="60"/>
      <w:r>
        <w:rPr>
          <w:color w:val="000000"/>
          <w:spacing w:val="0"/>
          <w:w w:val="100"/>
          <w:position w:val="0"/>
          <w:sz w:val="24"/>
          <w:szCs w:val="24"/>
          <w:shd w:val="clear" w:color="auto" w:fill="auto"/>
          <w:lang w:val="cs-CZ" w:eastAsia="cs-CZ" w:bidi="cs-CZ"/>
        </w:rPr>
        <w:t>Účastníci této smlouvy prohlašují, že si text smlouvy důkladně přečetli, s obsahem souhlasí a že tato smlouva byla uzavřena podle jejich skutečné, svobodné a vážné vůle, nikoli v tísni a za nápadně nevýhodných podmínek a na důkaz toho pod ni připojují své podpisy.</w:t>
      </w:r>
    </w:p>
    <w:p>
      <w:pPr>
        <w:pStyle w:val="Style8"/>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Příloha č. 1 - Seznam stavebních objektů vč. záboru</w:t>
      </w:r>
    </w:p>
    <w:p>
      <w:pPr>
        <w:pStyle w:val="Style8"/>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Příloha č. 2 - Koordinační situace</w:t>
      </w:r>
    </w:p>
    <w:p>
      <w:pPr>
        <w:pStyle w:val="Style8"/>
        <w:keepNext w:val="0"/>
        <w:keepLines w:val="0"/>
        <w:widowControl w:val="0"/>
        <w:shd w:val="clear" w:color="auto" w:fill="auto"/>
        <w:bidi w:val="0"/>
        <w:spacing w:before="0" w:after="0" w:line="240" w:lineRule="auto"/>
        <w:ind w:left="0" w:right="0" w:firstLine="0"/>
        <w:jc w:val="left"/>
        <w:rPr>
          <w:sz w:val="22"/>
          <w:szCs w:val="22"/>
        </w:rPr>
        <w:sectPr>
          <w:footerReference w:type="default" r:id="rId5"/>
          <w:footnotePr>
            <w:pos w:val="pageBottom"/>
            <w:numFmt w:val="decimal"/>
            <w:numRestart w:val="continuous"/>
          </w:footnotePr>
          <w:pgSz w:w="11909" w:h="16838"/>
          <w:pgMar w:top="1080" w:left="1343" w:right="1310" w:bottom="894" w:header="652" w:footer="3" w:gutter="0"/>
          <w:pgNumType w:start="1"/>
          <w:cols w:space="720"/>
          <w:noEndnote/>
          <w:rtlGutter w:val="0"/>
          <w:docGrid w:linePitch="360"/>
        </w:sectPr>
      </w:pPr>
      <w:r>
        <w:rPr>
          <w:color w:val="000000"/>
          <w:spacing w:val="0"/>
          <w:w w:val="100"/>
          <w:position w:val="0"/>
          <w:sz w:val="22"/>
          <w:szCs w:val="22"/>
          <w:shd w:val="clear" w:color="auto" w:fill="auto"/>
          <w:lang w:val="cs-CZ" w:eastAsia="cs-CZ" w:bidi="cs-CZ"/>
        </w:rPr>
        <w:t>Příloha č. 3 - Vyjádření č.j. POH/27029/2025-2/032100</w:t>
      </w:r>
    </w:p>
    <w:p>
      <w:pPr>
        <w:widowControl w:val="0"/>
        <w:spacing w:line="240" w:lineRule="exact"/>
        <w:rPr>
          <w:sz w:val="19"/>
          <w:szCs w:val="19"/>
        </w:rPr>
      </w:pPr>
    </w:p>
    <w:p>
      <w:pPr>
        <w:widowControl w:val="0"/>
        <w:spacing w:before="84" w:after="8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69" w:header="0" w:footer="3" w:gutter="0"/>
          <w:cols w:space="720"/>
          <w:noEndnote/>
          <w:rtlGutter w:val="0"/>
          <w:docGrid w:linePitch="360"/>
        </w:sectPr>
      </w:pPr>
    </w:p>
    <w:p>
      <w:pPr>
        <w:pStyle w:val="Style8"/>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V Chomutově dne …………….……..</w:t>
      </w:r>
    </w:p>
    <w:p>
      <w:pPr>
        <w:pStyle w:val="Style8"/>
        <w:keepNext w:val="0"/>
        <w:keepLines w:val="0"/>
        <w:widowControl w:val="0"/>
        <w:shd w:val="clear" w:color="auto" w:fill="auto"/>
        <w:bidi w:val="0"/>
        <w:spacing w:before="0" w:after="0" w:line="240" w:lineRule="auto"/>
        <w:ind w:left="0" w:right="0" w:firstLine="0"/>
        <w:jc w:val="left"/>
        <w:rPr>
          <w:sz w:val="22"/>
          <w:szCs w:val="22"/>
        </w:rPr>
        <w:sectPr>
          <w:footnotePr>
            <w:pos w:val="pageBottom"/>
            <w:numFmt w:val="decimal"/>
            <w:numRestart w:val="continuous"/>
          </w:footnotePr>
          <w:type w:val="continuous"/>
          <w:pgSz w:w="11909" w:h="16838"/>
          <w:pgMar w:top="1080" w:left="1502" w:right="2198" w:bottom="1269" w:header="0" w:footer="3" w:gutter="0"/>
          <w:cols w:num="2" w:space="720" w:equalWidth="0">
            <w:col w:w="3605" w:space="1402"/>
            <w:col w:w="3202"/>
          </w:cols>
          <w:noEndnote/>
          <w:rtlGutter w:val="0"/>
          <w:docGrid w:linePitch="360"/>
        </w:sectPr>
      </w:pPr>
      <w:r>
        <w:rPr>
          <w:color w:val="000000"/>
          <w:spacing w:val="0"/>
          <w:w w:val="100"/>
          <w:position w:val="0"/>
          <w:sz w:val="22"/>
          <w:szCs w:val="22"/>
          <w:shd w:val="clear" w:color="auto" w:fill="auto"/>
          <w:lang w:val="cs-CZ" w:eastAsia="cs-CZ" w:bidi="cs-CZ"/>
        </w:rPr>
        <w:t>V Chodově dne ……………..…..</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2" w:after="10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080" w:header="0" w:footer="3" w:gutter="0"/>
          <w:cols w:space="720"/>
          <w:noEndnote/>
          <w:rtlGutter w:val="0"/>
          <w:docGrid w:linePitch="360"/>
        </w:sectPr>
      </w:pPr>
    </w:p>
    <w:p>
      <w:pPr>
        <w:pStyle w:val="Style8"/>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w:t>
        <w:br/>
      </w:r>
      <w:r>
        <w:rPr>
          <w:b/>
          <w:bCs/>
          <w:color w:val="000000"/>
          <w:spacing w:val="0"/>
          <w:w w:val="100"/>
          <w:position w:val="0"/>
          <w:sz w:val="22"/>
          <w:szCs w:val="22"/>
          <w:shd w:val="clear" w:color="auto" w:fill="auto"/>
          <w:lang w:val="cs-CZ" w:eastAsia="cs-CZ" w:bidi="cs-CZ"/>
        </w:rPr>
        <w:t>za pronajímatele</w:t>
      </w:r>
    </w:p>
    <w:p>
      <w:pPr>
        <w:pStyle w:val="Style8"/>
        <w:keepNext w:val="0"/>
        <w:keepLines w:val="0"/>
        <w:widowControl w:val="0"/>
        <w:shd w:val="clear" w:color="auto" w:fill="auto"/>
        <w:bidi w:val="0"/>
        <w:spacing w:before="0" w:after="0" w:line="240" w:lineRule="auto"/>
        <w:ind w:left="0" w:right="0" w:firstLine="0"/>
        <w:jc w:val="center"/>
        <w:rPr>
          <w:sz w:val="22"/>
          <w:szCs w:val="22"/>
        </w:rPr>
        <w:sectPr>
          <w:footnotePr>
            <w:pos w:val="pageBottom"/>
            <w:numFmt w:val="decimal"/>
            <w:numRestart w:val="continuous"/>
          </w:footnotePr>
          <w:type w:val="continuous"/>
          <w:pgSz w:w="11909" w:h="16838"/>
          <w:pgMar w:top="1080" w:left="2020" w:right="2068" w:bottom="1080" w:header="0" w:footer="3" w:gutter="0"/>
          <w:cols w:num="2" w:space="1982"/>
          <w:noEndnote/>
          <w:rtlGutter w:val="0"/>
          <w:docGrid w:linePitch="360"/>
        </w:sectPr>
      </w:pPr>
      <w:r>
        <w:rPr>
          <w:color w:val="000000"/>
          <w:spacing w:val="0"/>
          <w:w w:val="100"/>
          <w:position w:val="0"/>
          <w:sz w:val="22"/>
          <w:szCs w:val="22"/>
          <w:shd w:val="clear" w:color="auto" w:fill="auto"/>
          <w:lang w:val="cs-CZ" w:eastAsia="cs-CZ" w:bidi="cs-CZ"/>
        </w:rPr>
        <w:t>…………………………………</w:t>
        <w:br/>
      </w:r>
      <w:r>
        <w:rPr>
          <w:b/>
          <w:bCs/>
          <w:color w:val="000000"/>
          <w:spacing w:val="0"/>
          <w:w w:val="100"/>
          <w:position w:val="0"/>
          <w:sz w:val="22"/>
          <w:szCs w:val="22"/>
          <w:shd w:val="clear" w:color="auto" w:fill="auto"/>
          <w:lang w:val="cs-CZ" w:eastAsia="cs-CZ" w:bidi="cs-CZ"/>
        </w:rPr>
        <w:t>za nájemce</w:t>
      </w:r>
    </w:p>
    <w:p>
      <w:pPr>
        <w:rPr>
          <w:sz w:val="2"/>
          <w:szCs w:val="2"/>
        </w:rPr>
        <w:sectPr>
          <w:footnotePr>
            <w:pos w:val="pageBottom"/>
            <w:numFmt w:val="decimal"/>
            <w:numRestart w:val="continuous"/>
          </w:footnotePr>
          <w:type w:val="continuous"/>
          <w:pgSz w:w="11909" w:h="16838"/>
          <w:pgMar w:top="1080" w:left="2020" w:right="2068" w:bottom="1080" w:header="0" w:footer="3" w:gutter="0"/>
          <w:cols w:num="2" w:space="1982"/>
          <w:noEndnote/>
          <w:rtlGutter w:val="0"/>
          <w:docGrid w:linePitch="360"/>
        </w:sectPr>
      </w:pPr>
    </w:p>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4894580</wp:posOffset>
                </wp:positionH>
                <wp:positionV relativeFrom="paragraph">
                  <wp:posOffset>15240</wp:posOffset>
                </wp:positionV>
                <wp:extent cx="1017905" cy="243840"/>
                <wp:wrapSquare wrapText="bothSides"/>
                <wp:docPr id="3" name="Shape 3"/>
                <a:graphic xmlns:a="http://schemas.openxmlformats.org/drawingml/2006/main">
                  <a:graphicData uri="http://schemas.microsoft.com/office/word/2010/wordprocessingShape">
                    <wps:wsp>
                      <wps:cNvSpPr txBox="1"/>
                      <wps:spPr>
                        <a:xfrm>
                          <a:ext cx="1017905" cy="24384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Město Chodov</w:t>
                            </w:r>
                          </w:p>
                        </w:txbxContent>
                      </wps:txbx>
                      <wps:bodyPr wrap="none" lIns="0" tIns="0" rIns="0" bIns="0">
                        <a:noAutoFit/>
                      </wps:bodyPr>
                    </wps:wsp>
                  </a:graphicData>
                </a:graphic>
              </wp:anchor>
            </w:drawing>
          </mc:Choice>
          <mc:Fallback>
            <w:pict>
              <v:shape id="_x0000_s1029" type="#_x0000_t202" style="position:absolute;margin-left:385.40000000000003pt;margin-top:1.2pt;width:80.150000000000006pt;height:19.199999999999999pt;z-index:-125829375;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Město Chodov</w:t>
                      </w:r>
                    </w:p>
                  </w:txbxContent>
                </v:textbox>
                <w10:wrap type="square" anchorx="page"/>
              </v:shape>
            </w:pict>
          </mc:Fallback>
        </mc:AlternateContent>
      </w:r>
    </w:p>
    <w:p>
      <w:pPr>
        <w:pStyle w:val="Style8"/>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Povodí Ohře, státní podnik</w:t>
      </w:r>
    </w:p>
    <w:sectPr>
      <w:footnotePr>
        <w:pos w:val="pageBottom"/>
        <w:numFmt w:val="decimal"/>
        <w:numRestart w:val="continuous"/>
      </w:footnotePr>
      <w:pgSz w:w="11909" w:h="16838"/>
      <w:pgMar w:top="1334" w:left="2208" w:right="7037" w:bottom="1334" w:header="906"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5535930</wp:posOffset>
              </wp:positionH>
              <wp:positionV relativeFrom="page">
                <wp:posOffset>10207625</wp:posOffset>
              </wp:positionV>
              <wp:extent cx="1136650" cy="207010"/>
              <wp:wrapNone/>
              <wp:docPr id="1" name="Shape 1"/>
              <a:graphic xmlns:a="http://schemas.openxmlformats.org/drawingml/2006/main">
                <a:graphicData uri="http://schemas.microsoft.com/office/word/2010/wordprocessingShape">
                  <wps:wsp>
                    <wps:cNvSpPr txBox="1"/>
                    <wps:spPr>
                      <a:xfrm>
                        <a:ext cx="1136650" cy="2070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(celkem </w:t>
                          </w:r>
                          <w:r>
                            <w:rPr>
                              <w:rFonts w:ascii="Arial" w:eastAsia="Arial" w:hAnsi="Arial" w:cs="Arial"/>
                              <w:color w:val="000000"/>
                              <w:spacing w:val="0"/>
                              <w:w w:val="100"/>
                              <w:position w:val="0"/>
                              <w:sz w:val="24"/>
                              <w:szCs w:val="24"/>
                              <w:shd w:val="clear" w:color="auto" w:fill="auto"/>
                              <w:lang w:val="cs-CZ" w:eastAsia="cs-CZ" w:bidi="cs-CZ"/>
                            </w:rPr>
                            <w:t>7</w:t>
                          </w:r>
                          <w:r>
                            <w:rPr>
                              <w:rFonts w:ascii="Arial" w:eastAsia="Arial" w:hAnsi="Arial" w:cs="Arial"/>
                              <w:color w:val="000000"/>
                              <w:spacing w:val="0"/>
                              <w:w w:val="100"/>
                              <w:position w:val="0"/>
                              <w:shd w:val="clear" w:color="auto" w:fill="auto"/>
                              <w:lang w:val="cs-CZ" w:eastAsia="cs-CZ" w:bidi="cs-CZ"/>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35.90000000000003pt;margin-top:803.75pt;width:89.5pt;height:16.3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(celkem </w:t>
                    </w:r>
                    <w:r>
                      <w:rPr>
                        <w:rFonts w:ascii="Arial" w:eastAsia="Arial" w:hAnsi="Arial" w:cs="Arial"/>
                        <w:color w:val="000000"/>
                        <w:spacing w:val="0"/>
                        <w:w w:val="100"/>
                        <w:position w:val="0"/>
                        <w:sz w:val="24"/>
                        <w:szCs w:val="24"/>
                        <w:shd w:val="clear" w:color="auto" w:fill="auto"/>
                        <w:lang w:val="cs-CZ" w:eastAsia="cs-CZ" w:bidi="cs-CZ"/>
                      </w:rPr>
                      <w:t>7</w:t>
                    </w:r>
                    <w:r>
                      <w:rPr>
                        <w:rFonts w:ascii="Arial" w:eastAsia="Arial" w:hAnsi="Arial" w:cs="Arial"/>
                        <w:color w:val="000000"/>
                        <w:spacing w:val="0"/>
                        <w:w w:val="100"/>
                        <w:position w:val="0"/>
                        <w:shd w:val="clear" w:color="auto" w:fill="auto"/>
                        <w:lang w:val="cs-CZ" w:eastAsia="cs-CZ" w:bidi="cs-CZ"/>
                      </w:rPr>
                      <w:t>)</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4"/>
      <w:numFmt w:val="decimal"/>
      <w:lvlText w:val="6.%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2"/>
      <w:szCs w:val="32"/>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u w:val="none"/>
    </w:rPr>
  </w:style>
  <w:style w:type="character" w:customStyle="1" w:styleId="CharStyle13">
    <w:name w:val="Char Style 13"/>
    <w:basedOn w:val="DefaultParagraphFont"/>
    <w:link w:val="Style12"/>
    <w:rPr>
      <w:b w:val="0"/>
      <w:bCs w:val="0"/>
      <w:i w:val="0"/>
      <w:iCs w:val="0"/>
      <w:smallCaps w:val="0"/>
      <w:strike w:val="0"/>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u w:val="none"/>
    </w:rPr>
  </w:style>
  <w:style w:type="paragraph" w:customStyle="1" w:styleId="Style2">
    <w:name w:val="Style 2"/>
    <w:basedOn w:val="Normal"/>
    <w:link w:val="CharStyle3"/>
    <w:pPr>
      <w:widowControl w:val="0"/>
      <w:shd w:val="clear" w:color="auto" w:fill="FFFFFF"/>
      <w:spacing w:before="380" w:after="280"/>
      <w:jc w:val="center"/>
    </w:pPr>
    <w:rPr>
      <w:rFonts w:ascii="Arial" w:eastAsia="Arial" w:hAnsi="Arial" w:cs="Arial"/>
      <w:b/>
      <w:bCs/>
      <w:i w:val="0"/>
      <w:iCs w:val="0"/>
      <w:smallCaps w:val="0"/>
      <w:strike w:val="0"/>
      <w:sz w:val="32"/>
      <w:szCs w:val="32"/>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u w:val="none"/>
    </w:rPr>
  </w:style>
  <w:style w:type="paragraph" w:customStyle="1" w:styleId="Style12">
    <w:name w:val="Style 12"/>
    <w:basedOn w:val="Normal"/>
    <w:link w:val="CharStyle13"/>
    <w:pPr>
      <w:widowControl w:val="0"/>
      <w:shd w:val="clear" w:color="auto" w:fill="FFFFFF"/>
      <w:spacing w:after="200"/>
      <w:ind w:left="560" w:hanging="560"/>
    </w:pPr>
    <w:rPr>
      <w:b w:val="0"/>
      <w:bCs w:val="0"/>
      <w:i w:val="0"/>
      <w:iCs w:val="0"/>
      <w:smallCaps w:val="0"/>
      <w:strike w:val="0"/>
      <w:u w:val="none"/>
    </w:rPr>
  </w:style>
  <w:style w:type="paragraph" w:customStyle="1" w:styleId="Style15">
    <w:name w:val="Style 15"/>
    <w:basedOn w:val="Normal"/>
    <w:link w:val="CharStyle16"/>
    <w:pPr>
      <w:widowControl w:val="0"/>
      <w:shd w:val="clear" w:color="auto" w:fill="FFFFFF"/>
      <w:spacing w:after="60"/>
    </w:pPr>
    <w:rPr>
      <w:rFonts w:ascii="Arial" w:eastAsia="Arial" w:hAnsi="Arial" w:cs="Arial"/>
      <w:b w:val="0"/>
      <w:bCs w:val="0"/>
      <w:i w:val="0"/>
      <w:iCs w:val="0"/>
      <w:smallCaps w:val="0"/>
      <w:strike w:val="0"/>
      <w:u w:val="none"/>
    </w:rPr>
  </w:style>
  <w:style w:type="paragraph" w:customStyle="1" w:styleId="Style20">
    <w:name w:val="Style 20"/>
    <w:basedOn w:val="Normal"/>
    <w:link w:val="CharStyle21"/>
    <w:pPr>
      <w:widowControl w:val="0"/>
      <w:shd w:val="clear" w:color="auto" w:fill="FFFFFF"/>
      <w:spacing w:after="30"/>
      <w:ind w:left="1020" w:hanging="300"/>
      <w:outlineLvl w:val="0"/>
    </w:pPr>
    <w:rPr>
      <w:rFonts w:ascii="Arial" w:eastAsia="Arial" w:hAnsi="Arial" w:cs="Arial"/>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K U P N Í    S M L O U V A</dc:title>
  <dc:subject/>
  <dc:creator>OEM Installed</dc:creator>
  <cp:keywords/>
</cp:coreProperties>
</file>