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č.1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K PŘÍKAZNÍ SMLOUVĚ č. 14/2024</w:t>
      </w:r>
      <w:bookmarkEnd w:id="3"/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Technická pomoc na stabilizaci provozu u akcí</w:t>
        <w:br/>
        <w:t>„HC Nechranice – generální oprava TG 1 a TG 2“</w:t>
        <w:br/>
        <w:t>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346" w:lineRule="auto"/>
        <w:ind w:left="0" w:right="0" w:firstLine="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SMLUVNÍ STRAN Y: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„MVE Kadaň – generální oprava“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008" w:val="left"/>
        </w:tabs>
        <w:bidi w:val="0"/>
        <w:spacing w:before="0" w:after="0" w:line="37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L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U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zc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NÍ STRAN Y: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smluvních: zástupce ve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0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sídlo: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věcech technických: technický dozor investora: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0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statutární orgán: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40" w:line="37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„příkazce“)</w:t>
      </w:r>
    </w:p>
    <w:p>
      <w:pPr>
        <w:pStyle w:val="Style11"/>
        <w:keepNext/>
        <w:keepLines/>
        <w:widowControl w:val="0"/>
        <w:shd w:val="clear" w:color="auto" w:fill="auto"/>
        <w:tabs>
          <w:tab w:pos="3965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Příkazník</w:t>
        <w:tab/>
        <w:t>Ing. Alois Krejčí</w:t>
      </w:r>
      <w:bookmarkEnd w:id="6"/>
      <w:bookmarkEnd w:id="7"/>
      <w:bookmarkEnd w:id="8"/>
    </w:p>
    <w:p>
      <w:pPr>
        <w:pStyle w:val="Style5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Štěchovice, Vltavská 223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doručovací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smluvních: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46434569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plátce DPH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držitel živnostenského oprávnění vydaného Městských úřadem Jílové (dále jen „příkazník“)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Předmět dodatku</w:t>
      </w:r>
      <w:bookmarkEnd w:id="10"/>
      <w:bookmarkEnd w:id="11"/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je změna 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l. II. Doba plnění Příkazní smlouvy č. 14/2024 na technickou pomoc z důvodu nevhodných hydrologických podmínek, které byly podmíněny provedením kompletního garančního měření v rozsahu uzavřené SOD č. 574/2023 v daném termínu u plnění II. Etapy - Optimalizace vazeb. Tato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319" w:lineRule="auto"/>
        <w:ind w:left="0" w:right="0" w:firstLine="734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Dodatek č.1 k Příkazní smlouvě Akce č. 217 675 a 216 673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skutečnost neumožnila Příkazníkovi vykonat činnosti dle Čl. I, odst. 3., písm. c), v rozsahu uzavřené Příkazní smlouvy č. 14/2024 v daném termínu.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Doba plnění: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Příkazník je povinen vykonávat činnosti při technické pomoci na stabilizaci provozu za podmínek sjednaných v této smlouvě ode dne nabytí účinnosti této smlouvy až do dne uplynutí záručních dob na technologické části uvedených staveb, případně vyřešení uplatněných reklamací, nejpozději však do 31.12.2025.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Příkazník je povinen vykonávat činnosti při technické pomoci na stabilizaci provozu za podmínek sjednaných v této smlouvě ode dne nabytí účinnosti této smlouvy až do dne uplynutí záručních dob na technologické části uvedených staveb, případně vyřešení uplatněných reklamací, nejpozději však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30.06.2026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Závěrečná ujednání</w:t>
      </w:r>
      <w:bookmarkEnd w:id="12"/>
      <w:bookmarkEnd w:id="13"/>
      <w:bookmarkEnd w:id="1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nedílnou součástí příkazní smlouvy na technickou pomoc č. 14/2024 ze dne 05.02.2024. Ostatní ustanovení příkazní smlouvy se nemění.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dodatku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dodatku a metadat v registru smluv zajistí Povodí Ohře, státní podnik, který má právo tento dodatek zveřejnit rovněž v pochybnostech o tom, zda tento dodatek zveřejnění podléhá či nikoliv.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595" w:left="1083" w:right="1076" w:bottom="1278" w:header="167" w:footer="85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Štěchovicích</w:t>
      </w:r>
    </w:p>
    <w:p>
      <w:pPr>
        <w:widowControl w:val="0"/>
        <w:spacing w:line="167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9" w:left="0" w:right="0" w:bottom="6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…………………………………….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09" w:left="1084" w:right="1895" w:bottom="609" w:header="0" w:footer="3" w:gutter="0"/>
      <w:cols w:num="2" w:space="2534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Zbyněk Pochmon</dc:creator>
  <cp:keywords/>
</cp:coreProperties>
</file>