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32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531/2024</w:t>
      </w:r>
      <w:bookmarkEnd w:id="3"/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“PVN I a II - kalníkové, vzdušníkové a revizní šachty”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9"/>
    </w:p>
    <w:tbl>
      <w:tblPr>
        <w:tblOverlap w:val="never"/>
        <w:jc w:val="left"/>
        <w:tblLayout w:type="fixed"/>
      </w:tblPr>
      <w:tblGrid>
        <w:gridCol w:w="2837"/>
        <w:gridCol w:w="3509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0"/>
    </w:p>
    <w:p>
      <w:pPr>
        <w:widowControl w:val="0"/>
        <w:spacing w:after="4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11"/>
      <w:bookmarkEnd w:id="12"/>
      <w:bookmarkEnd w:id="13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4"/>
      <w:bookmarkEnd w:id="15"/>
      <w:bookmarkEnd w:id="16"/>
    </w:p>
    <w:p>
      <w:pPr>
        <w:pStyle w:val="Style8"/>
        <w:keepNext/>
        <w:keepLines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TEBA MONTÁŽE s.r.o.</w:t>
      </w:r>
      <w:bookmarkEnd w:id="14"/>
      <w:bookmarkEnd w:id="15"/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</w:t>
        <w:tab/>
        <w:t>Javorová 1814, 432 01 Kadaň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02475600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CZ02475600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33659 tel.:</w:t>
        <w:tab/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7"/>
      <w:bookmarkEnd w:id="1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předmětu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24.07.2025,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termínu dokončení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dokončení díla z nutnosti úprav původního rozsahu plnění, které vyplynuly z dodatečných zjištění v průběhu realizace díla. Při realizaci oprav na šachtách PVN I a PVN II byly zjištěny technické nesrovnalosti, které nebyly v plném rozsahu patrné při zpracování projektové dokumentace nebo při zahájení akce. Změny byly řádně projednány a odsouhlaseny zástupci smluvních stran na mimořádném kontrolním dnu stavby 28. 04. 2025,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prací. Tyto změny jsou obsahem Přílohy č. 1. Tato změna závazku ze smlouvy v souvislosti se zadáním dalších prací nemění celkovou povahu veřejné zakázky.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2" w:name="bookmark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mění v rozsahu přílohy tohoto dodatku – Oceněného soupisu prací změn závazku ze dne 24.07.2025, který se tímto stává nedílnou součástí smlouvy,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plnění, odst. 1. písm. c) předání a převzetí dokončeného díla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Nejpozději do 30.06.2025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08.12.2025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bod 4. Objednatel souhlasí s tím, že proplatí zhotoviteli jako protihodnotu za provedení a dokončení díla částku: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je stanovena součtem cen za jednotlivé objekty,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tzn. „20 SO 20 Šachta č.32 PVN 1“ + „21 SO 21 Šachta č.33 PVN 1“ + „22 SO 22 Šachta č.33A PVN 2“ + „23 SO 23 Šachta č.34 PVN 2“ + „24 SO 24 Šachta č.36 PVN 1“ + „VRN – Vedlejší a ostatní náklady“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(za šest objektů)</w:t>
        <w:tab/>
        <w:t>2 926 319,14 Kč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(za šest objektů) 3 362 403, 78 Kč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27" w:left="1396" w:right="1386" w:bottom="1081" w:header="59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24.07.2025</w:t>
      </w:r>
    </w:p>
    <w:p>
      <w:pPr>
        <w:widowControl w:val="0"/>
        <w:spacing w:line="143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0" w:right="0" w:bottom="106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Kadani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1396" w:right="2332" w:bottom="10643" w:header="0" w:footer="3" w:gutter="0"/>
          <w:cols w:num="2" w:space="179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0" w:right="0" w:bottom="20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25"/>
      <w:bookmarkEnd w:id="26"/>
      <w:bookmarkEnd w:id="27"/>
      <w:bookmarkEnd w:id="2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29"/>
      <w:bookmarkEnd w:id="3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1396" w:right="3177" w:bottom="2093" w:header="0" w:footer="3" w:gutter="0"/>
          <w:cols w:num="2" w:space="720" w:equalWidth="0">
            <w:col w:w="2659" w:space="2357"/>
            <w:col w:w="231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TEBA MONTÁŽE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093" w:left="1396" w:right="3177" w:bottom="2093" w:header="0" w:footer="3" w:gutter="0"/>
      <w:cols w:num="2" w:space="720" w:equalWidth="0">
        <w:col w:w="2659" w:space="2357"/>
        <w:col w:w="231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5906770</wp:posOffset>
              </wp:positionH>
              <wp:positionV relativeFrom="page">
                <wp:posOffset>10069195</wp:posOffset>
              </wp:positionV>
              <wp:extent cx="758825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5882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10000000000002pt;margin-top:792.85000000000002pt;width:59.75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before="660"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