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Dodatek č. 2 ke</w:t>
      </w:r>
    </w:p>
    <w:p>
      <w:pPr>
        <w:pStyle w:val="Style4"/>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SMLOUVĚ O DÍLO</w:t>
      </w:r>
    </w:p>
    <w:p>
      <w:pPr>
        <w:pStyle w:val="Style10"/>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uzavřené v souladu s § 2586 a násl. zákona č. 89/2012 Sb., občanský zákoník, ve znění pozdějších předpisů (dále jen „OZ“), (dále jen „dodatek“)</w:t>
      </w:r>
      <w:bookmarkEnd w:id="0"/>
      <w:bookmarkEnd w:id="1"/>
      <w:bookmarkEnd w:id="2"/>
    </w:p>
    <w:p>
      <w:pPr>
        <w:pStyle w:val="Style10"/>
        <w:keepNext/>
        <w:keepLines/>
        <w:widowControl w:val="0"/>
        <w:shd w:val="clear" w:color="auto" w:fill="auto"/>
        <w:tabs>
          <w:tab w:pos="3468" w:val="left"/>
        </w:tabs>
        <w:bidi w:val="0"/>
        <w:spacing w:before="0" w:after="0" w:line="221" w:lineRule="auto"/>
        <w:ind w:left="0" w:right="0" w:firstLine="0"/>
        <w:jc w:val="center"/>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Číslo smlouvy objednatele:</w:t>
        <w:tab/>
        <w:t>230/2025</w:t>
      </w:r>
      <w:bookmarkEnd w:id="3"/>
      <w:bookmarkEnd w:id="4"/>
      <w:bookmarkEnd w:id="5"/>
    </w:p>
    <w:p>
      <w:pPr>
        <w:pStyle w:val="Style10"/>
        <w:keepNext/>
        <w:keepLines/>
        <w:widowControl w:val="0"/>
        <w:shd w:val="clear" w:color="auto" w:fill="auto"/>
        <w:tabs>
          <w:tab w:pos="3468" w:val="left"/>
        </w:tabs>
        <w:bidi w:val="0"/>
        <w:spacing w:before="0" w:line="221" w:lineRule="auto"/>
        <w:ind w:left="0" w:right="0" w:firstLine="0"/>
        <w:jc w:val="cente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Číslo smlouvy zhotovitele:</w:t>
        <w:tab/>
        <w:t>7024011</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00" w:line="221" w:lineRule="auto"/>
        <w:ind w:left="0" w:right="0" w:firstLine="0"/>
        <w:jc w:val="center"/>
      </w:pPr>
      <w:r>
        <w:rPr>
          <w:b/>
          <w:bCs/>
          <w:color w:val="000000"/>
          <w:spacing w:val="0"/>
          <w:w w:val="100"/>
          <w:position w:val="0"/>
          <w:sz w:val="24"/>
          <w:szCs w:val="24"/>
          <w:shd w:val="clear" w:color="auto" w:fill="auto"/>
          <w:lang w:val="cs-CZ" w:eastAsia="cs-CZ" w:bidi="cs-CZ"/>
        </w:rPr>
        <w:t xml:space="preserve">“MVE Fláje </w:t>
      </w:r>
      <w:r>
        <w:rPr>
          <w:b/>
          <w:bCs/>
          <w:color w:val="000000"/>
          <w:spacing w:val="0"/>
          <w:w w:val="100"/>
          <w:position w:val="0"/>
          <w:shd w:val="clear" w:color="auto" w:fill="auto"/>
          <w:lang w:val="cs-CZ" w:eastAsia="cs-CZ" w:bidi="cs-CZ"/>
        </w:rPr>
        <w:t>– modernizace soustrojí”</w:t>
      </w:r>
    </w:p>
    <w:p>
      <w:pPr>
        <w:pStyle w:val="Style10"/>
        <w:keepNext/>
        <w:keepLines/>
        <w:widowControl w:val="0"/>
        <w:shd w:val="clear" w:color="auto" w:fill="auto"/>
        <w:bidi w:val="0"/>
        <w:spacing w:before="0" w:line="240" w:lineRule="auto"/>
        <w:ind w:left="0" w:right="0" w:firstLine="0"/>
        <w:jc w:val="left"/>
        <w:rPr>
          <w:sz w:val="22"/>
          <w:szCs w:val="22"/>
        </w:rPr>
      </w:pPr>
      <w:bookmarkStart w:id="10" w:name="bookmark10"/>
      <w:bookmarkStart w:id="11" w:name="bookmark11"/>
      <w:bookmarkStart w:id="9" w:name="bookmark9"/>
      <w:r>
        <w:rPr>
          <w:b/>
          <w:bCs/>
          <w:color w:val="000000"/>
          <w:spacing w:val="0"/>
          <w:w w:val="100"/>
          <w:position w:val="0"/>
          <w:sz w:val="22"/>
          <w:szCs w:val="22"/>
          <w:shd w:val="clear" w:color="auto" w:fill="auto"/>
          <w:lang w:val="cs-CZ" w:eastAsia="cs-CZ" w:bidi="cs-CZ"/>
        </w:rPr>
        <w:t>Smluvní strany:</w:t>
      </w:r>
      <w:bookmarkEnd w:id="10"/>
      <w:bookmarkEnd w:id="11"/>
      <w:bookmarkEnd w:id="9"/>
    </w:p>
    <w:p>
      <w:pPr>
        <w:pStyle w:val="Style10"/>
        <w:keepNext/>
        <w:keepLines/>
        <w:widowControl w:val="0"/>
        <w:shd w:val="clear" w:color="auto" w:fill="auto"/>
        <w:tabs>
          <w:tab w:pos="2802" w:val="left"/>
        </w:tabs>
        <w:bidi w:val="0"/>
        <w:spacing w:before="0" w:after="0" w:line="240" w:lineRule="auto"/>
        <w:ind w:left="0" w:right="0" w:firstLine="0"/>
        <w:jc w:val="left"/>
        <w:rPr>
          <w:sz w:val="22"/>
          <w:szCs w:val="22"/>
        </w:rPr>
      </w:pPr>
      <w:bookmarkStart w:id="10" w:name="bookmark10"/>
      <w:bookmarkStart w:id="9" w:name="bookmark9"/>
      <w:r>
        <w:rPr>
          <w:b/>
          <w:bCs/>
          <w:color w:val="000000"/>
          <w:spacing w:val="0"/>
          <w:w w:val="100"/>
          <w:position w:val="0"/>
          <w:sz w:val="22"/>
          <w:szCs w:val="22"/>
          <w:shd w:val="clear" w:color="auto" w:fill="auto"/>
          <w:lang w:val="cs-CZ" w:eastAsia="cs-CZ" w:bidi="cs-CZ"/>
        </w:rPr>
        <w:t>objednatel:</w:t>
        <w:tab/>
        <w:t>Povodí Ohře, státní podnik</w:t>
      </w:r>
      <w:bookmarkEnd w:id="10"/>
      <w:bookmarkEnd w:id="9"/>
    </w:p>
    <w:p>
      <w:pPr>
        <w:pStyle w:val="Style2"/>
        <w:keepNext w:val="0"/>
        <w:keepLines w:val="0"/>
        <w:widowControl w:val="0"/>
        <w:shd w:val="clear" w:color="auto" w:fill="auto"/>
        <w:tabs>
          <w:tab w:pos="2802"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0"/>
        <w:keepNext/>
        <w:keepLines/>
        <w:widowControl w:val="0"/>
        <w:shd w:val="clear" w:color="auto" w:fill="auto"/>
        <w:bidi w:val="0"/>
        <w:spacing w:before="0" w:after="0" w:line="240" w:lineRule="auto"/>
        <w:ind w:left="0" w:right="0" w:firstLine="0"/>
        <w:jc w:val="left"/>
        <w:rPr>
          <w:sz w:val="22"/>
          <w:szCs w:val="22"/>
        </w:rPr>
      </w:pPr>
      <w:bookmarkStart w:id="12" w:name="bookmark12"/>
      <w:bookmarkStart w:id="13" w:name="bookmark13"/>
      <w:bookmarkStart w:id="14" w:name="bookmark14"/>
      <w:r>
        <w:rPr>
          <w:color w:val="000000"/>
          <w:spacing w:val="0"/>
          <w:w w:val="100"/>
          <w:position w:val="0"/>
          <w:sz w:val="22"/>
          <w:szCs w:val="22"/>
          <w:shd w:val="clear" w:color="auto" w:fill="auto"/>
          <w:lang w:val="cs-CZ" w:eastAsia="cs-CZ" w:bidi="cs-CZ"/>
        </w:rPr>
        <w:t>oprávněn k podpisu smlouvy</w:t>
      </w:r>
      <w:bookmarkEnd w:id="12"/>
      <w:bookmarkEnd w:id="13"/>
      <w:bookmarkEnd w:id="1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technický dozor objednatele:</w:t>
      </w:r>
    </w:p>
    <w:p>
      <w:pPr>
        <w:pStyle w:val="Style2"/>
        <w:keepNext w:val="0"/>
        <w:keepLines w:val="0"/>
        <w:widowControl w:val="0"/>
        <w:shd w:val="clear" w:color="auto" w:fill="auto"/>
        <w:tabs>
          <w:tab w:pos="280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80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10"/>
        <w:keepNext/>
        <w:keepLines/>
        <w:widowControl w:val="0"/>
        <w:shd w:val="clear" w:color="auto" w:fill="auto"/>
        <w:bidi w:val="0"/>
        <w:spacing w:before="0" w:line="240" w:lineRule="auto"/>
        <w:ind w:left="0" w:right="0" w:firstLine="0"/>
        <w:jc w:val="left"/>
        <w:rPr>
          <w:sz w:val="22"/>
          <w:szCs w:val="22"/>
        </w:rPr>
      </w:pPr>
      <w:bookmarkStart w:id="15" w:name="bookmark15"/>
      <w:bookmarkStart w:id="16" w:name="bookmark16"/>
      <w:bookmarkStart w:id="17" w:name="bookmark17"/>
      <w:r>
        <w:rPr>
          <w:color w:val="000000"/>
          <w:spacing w:val="0"/>
          <w:w w:val="100"/>
          <w:position w:val="0"/>
          <w:sz w:val="22"/>
          <w:szCs w:val="22"/>
          <w:shd w:val="clear" w:color="auto" w:fill="auto"/>
          <w:lang w:val="cs-CZ" w:eastAsia="cs-CZ" w:bidi="cs-CZ"/>
        </w:rPr>
        <w:t>(dále jen „objednatel“)</w:t>
      </w:r>
      <w:bookmarkEnd w:id="15"/>
      <w:bookmarkEnd w:id="16"/>
      <w:bookmarkEnd w:id="17"/>
    </w:p>
    <w:p>
      <w:pPr>
        <w:pStyle w:val="Style10"/>
        <w:keepNext/>
        <w:keepLines/>
        <w:widowControl w:val="0"/>
        <w:shd w:val="clear" w:color="auto" w:fill="auto"/>
        <w:bidi w:val="0"/>
        <w:spacing w:before="0" w:line="240" w:lineRule="auto"/>
        <w:ind w:left="0" w:right="0" w:firstLine="0"/>
        <w:jc w:val="left"/>
        <w:rPr>
          <w:sz w:val="22"/>
          <w:szCs w:val="22"/>
        </w:rPr>
      </w:pPr>
      <w:bookmarkStart w:id="18" w:name="bookmark18"/>
      <w:bookmarkStart w:id="19" w:name="bookmark19"/>
      <w:bookmarkStart w:id="20" w:name="bookmark20"/>
      <w:r>
        <w:rPr>
          <w:b/>
          <w:bCs/>
          <w:color w:val="000000"/>
          <w:spacing w:val="0"/>
          <w:w w:val="100"/>
          <w:position w:val="0"/>
          <w:sz w:val="22"/>
          <w:szCs w:val="22"/>
          <w:shd w:val="clear" w:color="auto" w:fill="auto"/>
          <w:lang w:val="cs-CZ" w:eastAsia="cs-CZ" w:bidi="cs-CZ"/>
        </w:rPr>
        <w:t>a</w:t>
      </w:r>
      <w:bookmarkEnd w:id="18"/>
      <w:bookmarkEnd w:id="19"/>
      <w:bookmarkEnd w:id="20"/>
    </w:p>
    <w:p>
      <w:pPr>
        <w:pStyle w:val="Style10"/>
        <w:keepNext/>
        <w:keepLines/>
        <w:widowControl w:val="0"/>
        <w:shd w:val="clear" w:color="auto" w:fill="auto"/>
        <w:tabs>
          <w:tab w:pos="2802" w:val="left"/>
        </w:tabs>
        <w:bidi w:val="0"/>
        <w:spacing w:before="0" w:after="0" w:line="240" w:lineRule="auto"/>
        <w:ind w:left="0" w:right="0" w:firstLine="0"/>
        <w:jc w:val="left"/>
        <w:rPr>
          <w:sz w:val="22"/>
          <w:szCs w:val="22"/>
        </w:rPr>
      </w:pPr>
      <w:bookmarkStart w:id="18" w:name="bookmark18"/>
      <w:bookmarkStart w:id="19" w:name="bookmark19"/>
      <w:r>
        <w:rPr>
          <w:b/>
          <w:bCs/>
          <w:color w:val="000000"/>
          <w:spacing w:val="0"/>
          <w:w w:val="100"/>
          <w:position w:val="0"/>
          <w:sz w:val="22"/>
          <w:szCs w:val="22"/>
          <w:shd w:val="clear" w:color="auto" w:fill="auto"/>
          <w:lang w:val="cs-CZ" w:eastAsia="cs-CZ" w:bidi="cs-CZ"/>
        </w:rPr>
        <w:t>zhotovitel:</w:t>
        <w:tab/>
        <w:t>Stream s.r.o.</w:t>
      </w:r>
      <w:bookmarkEnd w:id="18"/>
      <w:bookmarkEnd w:id="19"/>
    </w:p>
    <w:p>
      <w:pPr>
        <w:pStyle w:val="Style2"/>
        <w:keepNext w:val="0"/>
        <w:keepLines w:val="0"/>
        <w:widowControl w:val="0"/>
        <w:shd w:val="clear" w:color="auto" w:fill="auto"/>
        <w:tabs>
          <w:tab w:pos="2802"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Pod Vilami 30, Nusle, 140 00 Praha 4</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stavbyvedoucí: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stavby:</w:t>
      </w:r>
    </w:p>
    <w:p>
      <w:pPr>
        <w:pStyle w:val="Style2"/>
        <w:keepNext w:val="0"/>
        <w:keepLines w:val="0"/>
        <w:widowControl w:val="0"/>
        <w:shd w:val="clear" w:color="auto" w:fill="auto"/>
        <w:tabs>
          <w:tab w:pos="2802"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24719943</w:t>
      </w:r>
    </w:p>
    <w:p>
      <w:pPr>
        <w:pStyle w:val="Style2"/>
        <w:keepNext w:val="0"/>
        <w:keepLines w:val="0"/>
        <w:widowControl w:val="0"/>
        <w:shd w:val="clear" w:color="auto" w:fill="auto"/>
        <w:tabs>
          <w:tab w:pos="2802"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CZ24719943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C 168651 vedená u Městského soudu v Praze</w:t>
      </w:r>
    </w:p>
    <w:p>
      <w:pPr>
        <w:pStyle w:val="Style10"/>
        <w:keepNext/>
        <w:keepLines/>
        <w:widowControl w:val="0"/>
        <w:shd w:val="clear" w:color="auto" w:fill="auto"/>
        <w:tabs>
          <w:tab w:pos="2802" w:val="left"/>
        </w:tabs>
        <w:bidi w:val="0"/>
        <w:spacing w:before="0" w:after="0" w:line="240" w:lineRule="auto"/>
        <w:ind w:left="0" w:right="0" w:firstLine="0"/>
        <w:jc w:val="left"/>
        <w:rPr>
          <w:sz w:val="22"/>
          <w:szCs w:val="22"/>
        </w:rPr>
      </w:pPr>
      <w:bookmarkStart w:id="21" w:name="bookmark21"/>
      <w:bookmarkStart w:id="22" w:name="bookmark22"/>
      <w:bookmarkStart w:id="23" w:name="bookmark23"/>
      <w:r>
        <w:rPr>
          <w:color w:val="000000"/>
          <w:spacing w:val="0"/>
          <w:w w:val="100"/>
          <w:position w:val="0"/>
          <w:sz w:val="22"/>
          <w:szCs w:val="22"/>
          <w:shd w:val="clear" w:color="auto" w:fill="auto"/>
          <w:lang w:val="cs-CZ" w:eastAsia="cs-CZ" w:bidi="cs-CZ"/>
        </w:rPr>
        <w:t>tel.:</w:t>
        <w:tab/>
        <w:t>e-mail:</w:t>
      </w:r>
      <w:bookmarkEnd w:id="21"/>
      <w:bookmarkEnd w:id="22"/>
      <w:bookmarkEnd w:id="23"/>
    </w:p>
    <w:p>
      <w:pPr>
        <w:pStyle w:val="Style10"/>
        <w:keepNext/>
        <w:keepLines/>
        <w:widowControl w:val="0"/>
        <w:shd w:val="clear" w:color="auto" w:fill="auto"/>
        <w:bidi w:val="0"/>
        <w:spacing w:before="0" w:line="240" w:lineRule="auto"/>
        <w:ind w:left="0" w:right="0" w:firstLine="0"/>
        <w:jc w:val="left"/>
        <w:rPr>
          <w:sz w:val="22"/>
          <w:szCs w:val="22"/>
        </w:rPr>
      </w:pPr>
      <w:bookmarkStart w:id="24" w:name="bookmark24"/>
      <w:bookmarkStart w:id="25" w:name="bookmark25"/>
      <w:bookmarkStart w:id="26" w:name="bookmark26"/>
      <w:r>
        <w:rPr>
          <w:color w:val="000000"/>
          <w:spacing w:val="0"/>
          <w:w w:val="100"/>
          <w:position w:val="0"/>
          <w:sz w:val="22"/>
          <w:szCs w:val="22"/>
          <w:shd w:val="clear" w:color="auto" w:fill="auto"/>
          <w:lang w:val="cs-CZ" w:eastAsia="cs-CZ" w:bidi="cs-CZ"/>
        </w:rPr>
        <w:t>(dále jen „zhotovitel“)</w:t>
      </w:r>
      <w:bookmarkEnd w:id="24"/>
      <w:bookmarkEnd w:id="25"/>
      <w:bookmarkEnd w:id="26"/>
    </w:p>
    <w:p>
      <w:pPr>
        <w:pStyle w:val="Style2"/>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realizace,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2"/>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27" w:name="bookmark27"/>
      <w:bookmarkEnd w:id="27"/>
      <w:r>
        <w:rPr>
          <w:b/>
          <w:bCs/>
          <w:color w:val="000000"/>
          <w:spacing w:val="0"/>
          <w:w w:val="100"/>
          <w:position w:val="0"/>
          <w:shd w:val="clear" w:color="auto" w:fill="auto"/>
          <w:lang w:val="cs-CZ" w:eastAsia="cs-CZ" w:bidi="cs-CZ"/>
        </w:rPr>
        <w:t>změnu předmětu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w:t>
      </w:r>
    </w:p>
    <w:p>
      <w:pPr>
        <w:pStyle w:val="Style2"/>
        <w:keepNext w:val="0"/>
        <w:keepLines w:val="0"/>
        <w:widowControl w:val="0"/>
        <w:shd w:val="clear" w:color="auto" w:fill="auto"/>
        <w:bidi w:val="0"/>
        <w:spacing w:before="0" w:after="0" w:line="240" w:lineRule="auto"/>
        <w:ind w:left="0" w:right="0" w:firstLine="0"/>
        <w:jc w:val="both"/>
      </w:pPr>
      <w:bookmarkStart w:id="28" w:name="bookmark28"/>
      <w:r>
        <w:rPr>
          <w:color w:val="000000"/>
          <w:spacing w:val="0"/>
          <w:w w:val="100"/>
          <w:position w:val="0"/>
          <w:shd w:val="clear" w:color="auto" w:fill="auto"/>
          <w:lang w:val="cs-CZ" w:eastAsia="cs-CZ" w:bidi="cs-CZ"/>
        </w:rPr>
        <w:t>2</w:t>
      </w:r>
      <w:bookmarkEnd w:id="28"/>
      <w:r>
        <w:rPr>
          <w:color w:val="000000"/>
          <w:spacing w:val="0"/>
          <w:w w:val="100"/>
          <w:position w:val="0"/>
          <w:shd w:val="clear" w:color="auto" w:fill="auto"/>
          <w:lang w:val="cs-CZ" w:eastAsia="cs-CZ" w:bidi="cs-CZ"/>
        </w:rPr>
        <w:t>1.11.2025,</w:t>
      </w:r>
    </w:p>
    <w:p>
      <w:pPr>
        <w:pStyle w:val="Style2"/>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29" w:name="bookmark29"/>
      <w:bookmarkEnd w:id="29"/>
      <w:r>
        <w:rPr>
          <w:b/>
          <w:bCs/>
          <w:color w:val="000000"/>
          <w:spacing w:val="0"/>
          <w:w w:val="100"/>
          <w:position w:val="0"/>
          <w:shd w:val="clear" w:color="auto" w:fill="auto"/>
          <w:lang w:val="cs-CZ" w:eastAsia="cs-CZ" w:bidi="cs-CZ"/>
        </w:rPr>
        <w:t>změnu ceny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Tyto změny jsou obsahem Přílohy č. 1 Oceněného soupisu prací změn závazku ze dne</w:t>
      </w:r>
    </w:p>
    <w:p>
      <w:pPr>
        <w:pStyle w:val="Style2"/>
        <w:keepNext w:val="0"/>
        <w:keepLines w:val="0"/>
        <w:widowControl w:val="0"/>
        <w:numPr>
          <w:ilvl w:val="0"/>
          <w:numId w:val="3"/>
        </w:numPr>
        <w:shd w:val="clear" w:color="auto" w:fill="auto"/>
        <w:tabs>
          <w:tab w:pos="1362" w:val="left"/>
        </w:tabs>
        <w:bidi w:val="0"/>
        <w:spacing w:before="0" w:after="20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5"/>
        </w:numPr>
        <w:shd w:val="clear" w:color="auto" w:fill="auto"/>
        <w:tabs>
          <w:tab w:pos="397" w:val="left"/>
        </w:tabs>
        <w:bidi w:val="0"/>
        <w:spacing w:before="0" w:after="0" w:line="240" w:lineRule="auto"/>
        <w:ind w:left="0" w:right="0" w:firstLine="0"/>
        <w:jc w:val="both"/>
      </w:pPr>
      <w:bookmarkStart w:id="31" w:name="bookmark31"/>
      <w:bookmarkEnd w:id="31"/>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 předmět díla v rozsahu přílohy tohoto dodatku – Oceněného soupisu prací změn závazku ze dne 21.11.2025, který se tímto stává nedílnou součástí smlouvy,</w:t>
      </w:r>
    </w:p>
    <w:p>
      <w:pPr>
        <w:pStyle w:val="Style2"/>
        <w:keepNext w:val="0"/>
        <w:keepLines w:val="0"/>
        <w:widowControl w:val="0"/>
        <w:numPr>
          <w:ilvl w:val="0"/>
          <w:numId w:val="5"/>
        </w:numPr>
        <w:shd w:val="clear" w:color="auto" w:fill="auto"/>
        <w:tabs>
          <w:tab w:pos="406" w:val="left"/>
        </w:tabs>
        <w:bidi w:val="0"/>
        <w:spacing w:before="0" w:after="0" w:line="240" w:lineRule="auto"/>
        <w:ind w:left="0" w:right="0" w:firstLine="0"/>
        <w:jc w:val="both"/>
      </w:pPr>
      <w:bookmarkStart w:id="32" w:name="bookmark32"/>
      <w:bookmarkEnd w:id="32"/>
      <w:r>
        <w:rPr>
          <w:b/>
          <w:bCs/>
          <w:color w:val="000000"/>
          <w:spacing w:val="0"/>
          <w:w w:val="100"/>
          <w:position w:val="0"/>
          <w:shd w:val="clear" w:color="auto" w:fill="auto"/>
          <w:lang w:val="cs-CZ" w:eastAsia="cs-CZ" w:bidi="cs-CZ"/>
        </w:rPr>
        <w:t>Čl. III. Cenové platební podmínky, bod 1.</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MVE Fláje – modernizace soustrojí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01 SO 01 MVE - stavební část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02 PS 01 MVE - technologická část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03 PS 02 MVE technologická část elektro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04 PS 03 Doplnění ovládacího rozvaděče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05 PS 01 Potrubí MZP PSV</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06 Ostatní a vedlejší náklady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tabs>
          <w:tab w:pos="5659" w:val="left"/>
        </w:tabs>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 za předmět díla:</w:t>
        <w:tab/>
        <w:t>11 995 876 Kč</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(slovy: jedenáct miliónů devět set devadesát pět tisíc osm set sedmdesát šest korun českých)</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tabs>
          <w:tab w:pos="5659"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Celková smluvní cena bez DPH za předmět díla:</w:t>
        <w:tab/>
        <w:t>12 211 936 Kč</w:t>
      </w:r>
    </w:p>
    <w:p>
      <w:pPr>
        <w:pStyle w:val="Style2"/>
        <w:keepNext w:val="0"/>
        <w:keepLines w:val="0"/>
        <w:widowControl w:val="0"/>
        <w:shd w:val="clear" w:color="auto" w:fill="auto"/>
        <w:bidi w:val="0"/>
        <w:spacing w:before="0" w:after="200" w:line="240" w:lineRule="auto"/>
        <w:ind w:left="0" w:right="0" w:firstLine="0"/>
        <w:jc w:val="both"/>
      </w:pPr>
      <w:r>
        <w:rPr>
          <w:b/>
          <w:bCs/>
          <w:color w:val="000000"/>
          <w:spacing w:val="0"/>
          <w:w w:val="100"/>
          <w:position w:val="0"/>
          <w:shd w:val="clear" w:color="auto" w:fill="auto"/>
          <w:lang w:val="cs-CZ" w:eastAsia="cs-CZ" w:bidi="cs-CZ"/>
        </w:rPr>
        <w:t>(slovy: dvanáct miliónů dvěstě jedenáct tisíc devět set třicet šest korun českých)</w:t>
        <w:br w:type="page"/>
      </w: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val="0"/>
        <w:keepLines w:val="0"/>
        <w:widowControl w:val="0"/>
        <w:shd w:val="clear" w:color="auto" w:fill="auto"/>
        <w:bidi w:val="0"/>
        <w:spacing w:before="0" w:after="960" w:line="240" w:lineRule="auto"/>
        <w:ind w:left="0" w:right="0" w:firstLine="0"/>
        <w:jc w:val="both"/>
      </w:pPr>
      <w:r>
        <w:rPr>
          <w:color w:val="000000"/>
          <w:spacing w:val="0"/>
          <w:w w:val="100"/>
          <w:position w:val="0"/>
          <w:shd w:val="clear" w:color="auto" w:fill="auto"/>
          <w:lang w:val="cs-CZ" w:eastAsia="cs-CZ" w:bidi="cs-CZ"/>
        </w:rPr>
        <w:t>Na svědectví tohoto smluvní strany tímto podepisují tento dodatek ke smlouvě. 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2460" w:line="240" w:lineRule="auto"/>
        <w:ind w:left="0" w:right="0" w:firstLine="0"/>
        <w:jc w:val="both"/>
      </w:pPr>
      <w:r>
        <w:rPr>
          <w:color w:val="000000"/>
          <w:spacing w:val="0"/>
          <w:w w:val="100"/>
          <w:position w:val="0"/>
          <w:shd w:val="clear" w:color="auto" w:fill="auto"/>
          <w:lang w:val="cs-CZ" w:eastAsia="cs-CZ" w:bidi="cs-CZ"/>
        </w:rPr>
        <w:t>Příloha č. 1: Oceněný soupis prací změn závazku ze dne 21.11.2025</w:t>
      </w:r>
    </w:p>
    <w:p>
      <w:pPr>
        <w:pStyle w:val="Style2"/>
        <w:keepNext w:val="0"/>
        <w:keepLines w:val="0"/>
        <w:widowControl w:val="0"/>
        <w:shd w:val="clear" w:color="auto" w:fill="auto"/>
        <w:bidi w:val="0"/>
        <w:spacing w:before="0" w:after="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4033520</wp:posOffset>
                </wp:positionH>
                <wp:positionV relativeFrom="paragraph">
                  <wp:posOffset>12700</wp:posOffset>
                </wp:positionV>
                <wp:extent cx="1380490" cy="847090"/>
                <wp:wrapSquare wrapText="left"/>
                <wp:docPr id="1" name="Shape 1"/>
                <a:graphic xmlns:a="http://schemas.openxmlformats.org/drawingml/2006/main">
                  <a:graphicData uri="http://schemas.microsoft.com/office/word/2010/wordprocessingShape">
                    <wps:wsp>
                      <wps:cNvSpPr txBox="1"/>
                      <wps:spPr>
                        <a:xfrm>
                          <a:ext cx="1380490" cy="8470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Stream s.r.o.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7.60000000000002pt;margin-top:1.pt;width:108.7pt;height:66.7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Stream s.r.o. elektronicky podepsal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both"/>
      </w:pPr>
      <w:r>
        <w:rPr>
          <w:color w:val="000000"/>
          <w:spacing w:val="0"/>
          <w:w w:val="100"/>
          <w:position w:val="0"/>
          <w:shd w:val="clear" w:color="auto" w:fill="auto"/>
          <w:lang w:val="cs-CZ" w:eastAsia="cs-CZ" w:bidi="cs-CZ"/>
        </w:rPr>
        <w:t>Povodí Ohře, státní podnik elektronicky podepsal</w:t>
      </w:r>
    </w:p>
    <w:sectPr>
      <w:footerReference w:type="default" r:id="rId5"/>
      <w:footnotePr>
        <w:pos w:val="pageBottom"/>
        <w:numFmt w:val="decimal"/>
        <w:numRestart w:val="continuous"/>
      </w:footnotePr>
      <w:pgSz w:w="11909" w:h="16838"/>
      <w:pgMar w:top="970" w:left="1396" w:right="1388" w:bottom="3150" w:header="542"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5784215</wp:posOffset>
              </wp:positionH>
              <wp:positionV relativeFrom="page">
                <wp:posOffset>10250805</wp:posOffset>
              </wp:positionV>
              <wp:extent cx="880745" cy="207010"/>
              <wp:wrapNone/>
              <wp:docPr id="3" name="Shape 3"/>
              <a:graphic xmlns:a="http://schemas.openxmlformats.org/drawingml/2006/main">
                <a:graphicData uri="http://schemas.microsoft.com/office/word/2010/wordprocessingShape">
                  <wps:wsp>
                    <wps:cNvSpPr txBox="1"/>
                    <wps:spPr>
                      <a:xfrm>
                        <a:ext cx="880745" cy="20701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 id="_x0000_s1029" type="#_x0000_t202" style="position:absolute;margin-left:455.44999999999999pt;margin-top:807.14999999999998pt;width:69.350000000000009pt;height:16.30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025"/>
      <w:numFmt w:val="decimal"/>
      <w:lvlText w:val="21.1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36"/>
      <w:szCs w:val="36"/>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00"/>
      <w:jc w:val="center"/>
    </w:pPr>
    <w:rPr>
      <w:rFonts w:ascii="Arial" w:eastAsia="Arial" w:hAnsi="Arial" w:cs="Arial"/>
      <w:b/>
      <w:bCs/>
      <w:i w:val="0"/>
      <w:iCs w:val="0"/>
      <w:smallCaps w:val="0"/>
      <w:strike w:val="0"/>
      <w:sz w:val="36"/>
      <w:szCs w:val="36"/>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200"/>
      <w:outlineLvl w:val="0"/>
    </w:pPr>
    <w:rPr>
      <w:rFonts w:ascii="Arial" w:eastAsia="Arial" w:hAnsi="Arial" w:cs="Arial"/>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