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98C73" w14:textId="77777777" w:rsidR="00DA4F05" w:rsidRDefault="00000000">
      <w:pPr>
        <w:spacing w:after="0"/>
        <w:jc w:val="center"/>
        <w:rPr>
          <w:rFonts w:ascii="Garamond" w:eastAsia="Garamond" w:hAnsi="Garamond" w:cs="Garamond"/>
          <w:b/>
          <w:bCs/>
          <w:sz w:val="28"/>
          <w:szCs w:val="28"/>
        </w:rPr>
      </w:pPr>
      <w:r>
        <w:rPr>
          <w:rFonts w:ascii="Garamond" w:eastAsia="Garamond" w:hAnsi="Garamond" w:cs="Garamond"/>
          <w:b/>
          <w:bCs/>
          <w:sz w:val="28"/>
          <w:szCs w:val="28"/>
        </w:rPr>
        <w:t>DNS: Výpočetní technika (III.), VZ: „225-2025“</w:t>
      </w:r>
    </w:p>
    <w:p w14:paraId="56BE0EB0" w14:textId="77777777" w:rsidR="00DA4F05" w:rsidRDefault="00000000">
      <w:pPr>
        <w:pBdr>
          <w:top w:val="nil"/>
          <w:left w:val="nil"/>
          <w:bottom w:val="single" w:sz="6" w:space="1" w:color="000000"/>
          <w:right w:val="nil"/>
          <w:between w:val="nil"/>
        </w:pBdr>
        <w:spacing w:after="0"/>
        <w:jc w:val="center"/>
        <w:rPr>
          <w:rFonts w:ascii="Garamond" w:eastAsia="Garamond" w:hAnsi="Garamond" w:cs="Garamond"/>
          <w:color w:val="000000"/>
          <w:sz w:val="20"/>
          <w:szCs w:val="20"/>
        </w:rPr>
      </w:pPr>
      <w:r>
        <w:rPr>
          <w:rFonts w:ascii="Garamond" w:eastAsia="Garamond" w:hAnsi="Garamond" w:cs="Garamond"/>
          <w:color w:val="000000"/>
        </w:rPr>
        <w:t>Smlouva kupní</w:t>
      </w:r>
      <w:r>
        <w:rPr>
          <w:rFonts w:ascii="Garamond" w:eastAsia="Garamond" w:hAnsi="Garamond" w:cs="Garamond"/>
          <w:color w:val="000000"/>
          <w:sz w:val="20"/>
          <w:szCs w:val="20"/>
        </w:rPr>
        <w:t xml:space="preserve"> </w:t>
      </w:r>
      <w:r>
        <w:rPr>
          <w:rFonts w:ascii="Garamond" w:eastAsia="Garamond" w:hAnsi="Garamond" w:cs="Garamond"/>
          <w:color w:val="000000"/>
        </w:rPr>
        <w:t>podle ust. § 2079 a násl. zákona č. 89/2012 Sb., občanský zákoník (dále jen „o.z.“)</w:t>
      </w:r>
    </w:p>
    <w:p w14:paraId="544659F7" w14:textId="77777777" w:rsidR="00DA4F05" w:rsidRDefault="00000000">
      <w:pPr>
        <w:spacing w:before="40" w:after="40"/>
        <w:jc w:val="both"/>
        <w:rPr>
          <w:rFonts w:ascii="Garamond" w:eastAsia="Garamond" w:hAnsi="Garamond" w:cs="Garamond"/>
          <w:color w:val="000000"/>
          <w:sz w:val="20"/>
          <w:szCs w:val="20"/>
        </w:rPr>
      </w:pPr>
      <w:r>
        <w:rPr>
          <w:rFonts w:ascii="Garamond" w:eastAsia="Garamond" w:hAnsi="Garamond" w:cs="Garamond"/>
          <w:color w:val="000000"/>
          <w:sz w:val="20"/>
          <w:szCs w:val="20"/>
        </w:rPr>
        <w:t>Tato smlouva je uzavřena v rámci nadepsaného zavedeného dynamického nákupního systému (DNS)</w:t>
      </w:r>
    </w:p>
    <w:p w14:paraId="29F64561" w14:textId="53C70B16" w:rsidR="00DA4F05" w:rsidRDefault="00000000">
      <w:pPr>
        <w:spacing w:before="40" w:after="4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Číslo smlouvy objednatele: </w:t>
      </w:r>
      <w:r>
        <w:rPr>
          <w:rFonts w:ascii="Garamond" w:eastAsia="Garamond" w:hAnsi="Garamond" w:cs="Garamond"/>
        </w:rPr>
        <w:t>P25V00000683</w:t>
      </w:r>
    </w:p>
    <w:p w14:paraId="67D05C3F" w14:textId="77777777" w:rsidR="00DA4F05" w:rsidRDefault="00000000">
      <w:pPr>
        <w:spacing w:before="40" w:after="40"/>
        <w:jc w:val="both"/>
        <w:rPr>
          <w:rFonts w:ascii="Garamond" w:eastAsia="Garamond" w:hAnsi="Garamond" w:cs="Garamond"/>
          <w:sz w:val="20"/>
          <w:szCs w:val="20"/>
        </w:rPr>
      </w:pPr>
      <w:r>
        <w:rPr>
          <w:rFonts w:ascii="Garamond" w:eastAsia="Garamond" w:hAnsi="Garamond" w:cs="Garamond"/>
          <w:color w:val="000000"/>
          <w:sz w:val="20"/>
          <w:szCs w:val="20"/>
        </w:rPr>
        <w:t xml:space="preserve">Číslo smlouvy dodavatele: </w:t>
      </w:r>
      <w:r>
        <w:rPr>
          <w:rFonts w:ascii="Garamond" w:eastAsia="Garamond" w:hAnsi="Garamond" w:cs="Garamond"/>
          <w:sz w:val="20"/>
          <w:szCs w:val="20"/>
        </w:rPr>
        <w:t>[</w:t>
      </w:r>
      <w:r>
        <w:rPr>
          <w:rFonts w:ascii="Garamond" w:eastAsia="Garamond" w:hAnsi="Garamond" w:cs="Garamond"/>
          <w:sz w:val="20"/>
          <w:szCs w:val="20"/>
          <w:highlight w:val="yellow"/>
        </w:rPr>
        <w:t>DOPLNÍ DODAVATEL</w:t>
      </w:r>
      <w:r>
        <w:rPr>
          <w:rFonts w:ascii="Garamond" w:eastAsia="Garamond" w:hAnsi="Garamond" w:cs="Garamond"/>
          <w:sz w:val="20"/>
          <w:szCs w:val="20"/>
          <w:vertAlign w:val="superscript"/>
        </w:rPr>
        <w:footnoteReference w:id="1"/>
      </w:r>
      <w:r>
        <w:rPr>
          <w:rFonts w:ascii="Garamond" w:eastAsia="Garamond" w:hAnsi="Garamond" w:cs="Garamond"/>
          <w:sz w:val="20"/>
          <w:szCs w:val="20"/>
        </w:rPr>
        <w:t>]</w:t>
      </w:r>
    </w:p>
    <w:p w14:paraId="3F6FDE10" w14:textId="77777777" w:rsidR="00DA4F05" w:rsidRDefault="00000000">
      <w:pPr>
        <w:numPr>
          <w:ilvl w:val="0"/>
          <w:numId w:val="4"/>
        </w:numPr>
        <w:pBdr>
          <w:top w:val="nil"/>
          <w:left w:val="nil"/>
          <w:bottom w:val="nil"/>
          <w:right w:val="nil"/>
          <w:between w:val="nil"/>
        </w:pBdr>
        <w:spacing w:before="120" w:after="0"/>
        <w:ind w:left="567" w:hanging="567"/>
        <w:jc w:val="both"/>
        <w:rPr>
          <w:rFonts w:ascii="Garamond" w:eastAsia="Garamond" w:hAnsi="Garamond" w:cs="Garamond"/>
          <w:b/>
          <w:bCs/>
          <w:color w:val="000000"/>
        </w:rPr>
      </w:pPr>
      <w:r>
        <w:rPr>
          <w:rFonts w:ascii="Garamond" w:eastAsia="Garamond" w:hAnsi="Garamond" w:cs="Garamond"/>
          <w:b/>
          <w:bCs/>
          <w:color w:val="000000"/>
        </w:rPr>
        <w:t>Smluvní strany</w:t>
      </w:r>
    </w:p>
    <w:p w14:paraId="41A6EB59" w14:textId="77777777" w:rsidR="00DA4F05" w:rsidRDefault="00000000">
      <w:pPr>
        <w:numPr>
          <w:ilvl w:val="1"/>
          <w:numId w:val="4"/>
        </w:numPr>
        <w:pBdr>
          <w:top w:val="nil"/>
          <w:left w:val="nil"/>
          <w:bottom w:val="nil"/>
          <w:right w:val="nil"/>
          <w:between w:val="nil"/>
        </w:pBdr>
        <w:spacing w:after="0" w:line="240" w:lineRule="auto"/>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Objednatel:</w:t>
      </w:r>
      <w:r>
        <w:rPr>
          <w:rFonts w:ascii="Garamond" w:eastAsia="Garamond" w:hAnsi="Garamond" w:cs="Garamond"/>
          <w:b/>
          <w:bCs/>
          <w:color w:val="000000"/>
          <w:sz w:val="20"/>
          <w:szCs w:val="20"/>
        </w:rPr>
        <w:tab/>
        <w:t>Západočeská univerzita v Plzni</w:t>
      </w:r>
    </w:p>
    <w:p w14:paraId="3B9F7F83"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sídlo:</w:t>
      </w:r>
      <w:r>
        <w:rPr>
          <w:rFonts w:ascii="Garamond" w:eastAsia="Garamond" w:hAnsi="Garamond" w:cs="Garamond"/>
          <w:sz w:val="20"/>
          <w:szCs w:val="20"/>
        </w:rPr>
        <w:tab/>
      </w:r>
      <w:r>
        <w:rPr>
          <w:rFonts w:ascii="Garamond" w:eastAsia="Garamond" w:hAnsi="Garamond" w:cs="Garamond"/>
          <w:sz w:val="20"/>
          <w:szCs w:val="20"/>
        </w:rPr>
        <w:tab/>
        <w:t>Univerzitní 2732/8, 301 00 Plzeň</w:t>
      </w:r>
    </w:p>
    <w:p w14:paraId="70EB97AF"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 xml:space="preserve">zastoupená: </w:t>
      </w:r>
      <w:r>
        <w:rPr>
          <w:rFonts w:ascii="Garamond" w:eastAsia="Garamond" w:hAnsi="Garamond" w:cs="Garamond"/>
          <w:sz w:val="20"/>
          <w:szCs w:val="20"/>
        </w:rPr>
        <w:tab/>
        <w:t>Ing. Martinou Větrovskou, kvestorkou</w:t>
      </w:r>
    </w:p>
    <w:p w14:paraId="1926FF46"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IČO:</w:t>
      </w:r>
      <w:r>
        <w:rPr>
          <w:rFonts w:ascii="Garamond" w:eastAsia="Garamond" w:hAnsi="Garamond" w:cs="Garamond"/>
          <w:sz w:val="20"/>
          <w:szCs w:val="20"/>
        </w:rPr>
        <w:tab/>
      </w:r>
      <w:r>
        <w:rPr>
          <w:rFonts w:ascii="Garamond" w:eastAsia="Garamond" w:hAnsi="Garamond" w:cs="Garamond"/>
          <w:sz w:val="20"/>
          <w:szCs w:val="20"/>
        </w:rPr>
        <w:tab/>
        <w:t>49777513</w:t>
      </w:r>
      <w:r>
        <w:rPr>
          <w:rFonts w:ascii="Garamond" w:eastAsia="Garamond" w:hAnsi="Garamond" w:cs="Garamond"/>
          <w:sz w:val="20"/>
          <w:szCs w:val="20"/>
        </w:rPr>
        <w:tab/>
        <w:t>DIČ:</w:t>
      </w:r>
      <w:r>
        <w:rPr>
          <w:rFonts w:ascii="Garamond" w:eastAsia="Garamond" w:hAnsi="Garamond" w:cs="Garamond"/>
          <w:sz w:val="20"/>
          <w:szCs w:val="20"/>
        </w:rPr>
        <w:tab/>
        <w:t>CZ49777513</w:t>
      </w:r>
    </w:p>
    <w:p w14:paraId="081BED16"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(dále také jen jako „ZČU“)</w:t>
      </w:r>
    </w:p>
    <w:p w14:paraId="32631180" w14:textId="77777777" w:rsidR="00DA4F05" w:rsidRDefault="00000000">
      <w:pPr>
        <w:spacing w:after="0" w:line="240" w:lineRule="auto"/>
        <w:jc w:val="both"/>
        <w:rPr>
          <w:rFonts w:ascii="Garamond" w:eastAsia="Garamond" w:hAnsi="Garamond" w:cs="Garamond"/>
          <w:b/>
          <w:bCs/>
          <w:sz w:val="20"/>
          <w:szCs w:val="20"/>
        </w:rPr>
      </w:pPr>
      <w:r>
        <w:rPr>
          <w:rFonts w:ascii="Garamond" w:eastAsia="Garamond" w:hAnsi="Garamond" w:cs="Garamond"/>
          <w:b/>
          <w:bCs/>
          <w:sz w:val="20"/>
          <w:szCs w:val="20"/>
        </w:rPr>
        <w:t>a</w:t>
      </w:r>
    </w:p>
    <w:p w14:paraId="1DA3314C" w14:textId="77777777" w:rsidR="00DA4F05" w:rsidRDefault="00000000">
      <w:pPr>
        <w:numPr>
          <w:ilvl w:val="1"/>
          <w:numId w:val="4"/>
        </w:numPr>
        <w:pBdr>
          <w:top w:val="nil"/>
          <w:left w:val="nil"/>
          <w:bottom w:val="nil"/>
          <w:right w:val="nil"/>
          <w:between w:val="nil"/>
        </w:pBdr>
        <w:spacing w:after="0" w:line="240" w:lineRule="auto"/>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Dodavatel:</w:t>
      </w:r>
      <w:r>
        <w:rPr>
          <w:rFonts w:ascii="Garamond" w:eastAsia="Garamond" w:hAnsi="Garamond" w:cs="Garamond"/>
          <w:b/>
          <w:bCs/>
          <w:color w:val="000000"/>
          <w:sz w:val="20"/>
          <w:szCs w:val="20"/>
        </w:rPr>
        <w:tab/>
      </w:r>
      <w:r>
        <w:rPr>
          <w:rFonts w:ascii="Garamond" w:eastAsia="Garamond" w:hAnsi="Garamond" w:cs="Garamond"/>
          <w:b/>
          <w:bCs/>
          <w:sz w:val="20"/>
          <w:szCs w:val="20"/>
        </w:rPr>
        <w:t>KSP Computer &amp; Services Moravia s.r.o.</w:t>
      </w:r>
    </w:p>
    <w:p w14:paraId="18A6E343"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sídlo:</w:t>
      </w:r>
      <w:r>
        <w:rPr>
          <w:rFonts w:ascii="Garamond" w:eastAsia="Garamond" w:hAnsi="Garamond" w:cs="Garamond"/>
          <w:sz w:val="20"/>
          <w:szCs w:val="20"/>
        </w:rPr>
        <w:tab/>
      </w:r>
      <w:r>
        <w:rPr>
          <w:rFonts w:ascii="Garamond" w:eastAsia="Garamond" w:hAnsi="Garamond" w:cs="Garamond"/>
          <w:sz w:val="20"/>
          <w:szCs w:val="20"/>
        </w:rPr>
        <w:tab/>
        <w:t>Nad Akcízem 1006/2, Ďáblice, 182 00 Praha 8</w:t>
      </w:r>
    </w:p>
    <w:p w14:paraId="55695316" w14:textId="735DCA05"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zastoupená:</w:t>
      </w:r>
      <w:r>
        <w:rPr>
          <w:rFonts w:ascii="Garamond" w:eastAsia="Garamond" w:hAnsi="Garamond" w:cs="Garamond"/>
          <w:sz w:val="20"/>
          <w:szCs w:val="20"/>
        </w:rPr>
        <w:tab/>
      </w:r>
      <w:r w:rsidR="00DE788E">
        <w:rPr>
          <w:rFonts w:ascii="Garamond" w:eastAsia="Garamond" w:hAnsi="Garamond" w:cs="Garamond"/>
          <w:sz w:val="20"/>
          <w:szCs w:val="20"/>
        </w:rPr>
        <w:t>XXX</w:t>
      </w:r>
    </w:p>
    <w:p w14:paraId="44A5535A"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IČO:</w:t>
      </w:r>
      <w:r>
        <w:rPr>
          <w:rFonts w:ascii="Garamond" w:eastAsia="Garamond" w:hAnsi="Garamond" w:cs="Garamond"/>
          <w:sz w:val="20"/>
          <w:szCs w:val="20"/>
        </w:rPr>
        <w:tab/>
      </w:r>
      <w:r>
        <w:rPr>
          <w:rFonts w:ascii="Garamond" w:eastAsia="Garamond" w:hAnsi="Garamond" w:cs="Garamond"/>
          <w:sz w:val="20"/>
          <w:szCs w:val="20"/>
        </w:rPr>
        <w:tab/>
        <w:t>14243962</w:t>
      </w:r>
      <w:r>
        <w:rPr>
          <w:rFonts w:ascii="Garamond" w:eastAsia="Garamond" w:hAnsi="Garamond" w:cs="Garamond"/>
          <w:sz w:val="20"/>
          <w:szCs w:val="20"/>
        </w:rPr>
        <w:tab/>
        <w:t>DIČ:</w:t>
      </w:r>
      <w:r>
        <w:rPr>
          <w:rFonts w:ascii="Garamond" w:eastAsia="Garamond" w:hAnsi="Garamond" w:cs="Garamond"/>
          <w:sz w:val="20"/>
          <w:szCs w:val="20"/>
        </w:rPr>
        <w:tab/>
        <w:t xml:space="preserve"> CZ14243962</w:t>
      </w:r>
    </w:p>
    <w:p w14:paraId="157B6DCD"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zapsaný v obchodním rejstříku vedeném Městským soudem v Praze, oddíl C, vložka 362622</w:t>
      </w:r>
    </w:p>
    <w:p w14:paraId="3B301D9A" w14:textId="77777777" w:rsidR="00DA4F05" w:rsidRDefault="00000000">
      <w:pPr>
        <w:spacing w:after="0" w:line="240" w:lineRule="auto"/>
        <w:ind w:left="567"/>
        <w:jc w:val="both"/>
        <w:rPr>
          <w:rFonts w:ascii="Garamond" w:eastAsia="Garamond" w:hAnsi="Garamond" w:cs="Garamond"/>
          <w:sz w:val="20"/>
          <w:szCs w:val="20"/>
        </w:rPr>
      </w:pPr>
      <w:r>
        <w:rPr>
          <w:rFonts w:ascii="Garamond" w:eastAsia="Garamond" w:hAnsi="Garamond" w:cs="Garamond"/>
          <w:sz w:val="20"/>
          <w:szCs w:val="20"/>
        </w:rPr>
        <w:t xml:space="preserve">Osoba oprávněná jednat za Dodavatele ve věcech technických: </w:t>
      </w:r>
    </w:p>
    <w:p w14:paraId="3FEC6567" w14:textId="302A834B" w:rsidR="00DA4F05" w:rsidRDefault="00DE788E">
      <w:pPr>
        <w:spacing w:after="0" w:line="240" w:lineRule="auto"/>
        <w:ind w:left="567"/>
        <w:jc w:val="both"/>
        <w:rPr>
          <w:rFonts w:ascii="Garamond" w:eastAsia="Garamond" w:hAnsi="Garamond" w:cs="Garamond"/>
          <w:b/>
          <w:bCs/>
          <w:i/>
          <w:iCs/>
          <w:sz w:val="20"/>
          <w:szCs w:val="20"/>
        </w:rPr>
      </w:pPr>
      <w:r>
        <w:rPr>
          <w:rFonts w:ascii="Garamond" w:eastAsia="Garamond" w:hAnsi="Garamond" w:cs="Garamond"/>
          <w:sz w:val="20"/>
          <w:szCs w:val="20"/>
        </w:rPr>
        <w:t>XXX,  e-mail XXX, tel.: XXX (dále jen „Kontaktní osoba Dodavatele“)</w:t>
      </w:r>
    </w:p>
    <w:p w14:paraId="6AFAECB1" w14:textId="77777777" w:rsidR="00DA4F05" w:rsidRDefault="00000000">
      <w:pPr>
        <w:numPr>
          <w:ilvl w:val="0"/>
          <w:numId w:val="4"/>
        </w:numPr>
        <w:pBdr>
          <w:top w:val="nil"/>
          <w:left w:val="nil"/>
          <w:bottom w:val="nil"/>
          <w:right w:val="nil"/>
          <w:between w:val="nil"/>
        </w:pBdr>
        <w:spacing w:before="120" w:after="0"/>
        <w:ind w:left="567" w:hanging="567"/>
        <w:jc w:val="both"/>
        <w:rPr>
          <w:rFonts w:ascii="Garamond" w:eastAsia="Garamond" w:hAnsi="Garamond" w:cs="Garamond"/>
          <w:b/>
          <w:bCs/>
          <w:color w:val="000000"/>
        </w:rPr>
      </w:pPr>
      <w:r>
        <w:rPr>
          <w:rFonts w:ascii="Garamond" w:eastAsia="Garamond" w:hAnsi="Garamond" w:cs="Garamond"/>
          <w:b/>
          <w:bCs/>
          <w:color w:val="000000"/>
        </w:rPr>
        <w:t>Předmět smlouvy</w:t>
      </w:r>
    </w:p>
    <w:p w14:paraId="37573F0F" w14:textId="77777777" w:rsidR="00DA4F05" w:rsidRDefault="00000000">
      <w:pPr>
        <w:numPr>
          <w:ilvl w:val="1"/>
          <w:numId w:val="4"/>
        </w:numPr>
        <w:pBdr>
          <w:top w:val="nil"/>
          <w:left w:val="nil"/>
          <w:bottom w:val="nil"/>
          <w:right w:val="nil"/>
          <w:between w:val="nil"/>
        </w:pBdr>
        <w:spacing w:before="40" w:after="40"/>
        <w:ind w:left="567" w:hanging="567"/>
        <w:jc w:val="both"/>
        <w:rPr>
          <w:rFonts w:ascii="Garamond" w:eastAsia="Garamond" w:hAnsi="Garamond" w:cs="Garamond"/>
          <w:b/>
          <w:bCs/>
          <w:i/>
          <w:iCs/>
          <w:color w:val="000000"/>
          <w:sz w:val="20"/>
          <w:szCs w:val="20"/>
        </w:rPr>
      </w:pPr>
      <w:r>
        <w:rPr>
          <w:rFonts w:ascii="Garamond" w:eastAsia="Garamond" w:hAnsi="Garamond" w:cs="Garamond"/>
          <w:color w:val="000000"/>
          <w:sz w:val="20"/>
          <w:szCs w:val="20"/>
        </w:rPr>
        <w:t>Předmět plnění, místo a doba plnění, osoby oprávněné převzít předmět plnění (popř. jeho samostatnou dílčí část) a podepsat dodací list (předávací protokol) za Objednatele (dále jen „Kontaktní osoby Objednatele“) jsou uvedeny v příloze č. 2 této smlouvy (popř. i v dalších přílohách smlouvy, které zejména detailněji specifikují předmět plnění a na něž příloha č. 2 této smlouvy odkazuje), která je její nedílnou součástí.</w:t>
      </w:r>
    </w:p>
    <w:p w14:paraId="291AE690" w14:textId="77777777" w:rsidR="00DA4F05" w:rsidRDefault="00000000">
      <w:pPr>
        <w:numPr>
          <w:ilvl w:val="1"/>
          <w:numId w:val="4"/>
        </w:numPr>
        <w:pBdr>
          <w:top w:val="nil"/>
          <w:left w:val="nil"/>
          <w:bottom w:val="nil"/>
          <w:right w:val="nil"/>
          <w:between w:val="nil"/>
        </w:pBdr>
        <w:spacing w:before="40" w:after="4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Celková cena za předmět plnění: </w:t>
      </w:r>
      <w:r>
        <w:rPr>
          <w:rFonts w:ascii="Garamond" w:eastAsia="Garamond" w:hAnsi="Garamond" w:cs="Garamond"/>
          <w:sz w:val="20"/>
          <w:szCs w:val="20"/>
        </w:rPr>
        <w:t>168 900,-</w:t>
      </w:r>
      <w:r>
        <w:rPr>
          <w:rFonts w:ascii="Garamond" w:eastAsia="Garamond" w:hAnsi="Garamond" w:cs="Garamond"/>
          <w:color w:val="000000"/>
          <w:sz w:val="20"/>
          <w:szCs w:val="20"/>
        </w:rPr>
        <w:t xml:space="preserve"> Kč bez DPH.</w:t>
      </w:r>
    </w:p>
    <w:p w14:paraId="080BDA10" w14:textId="77777777" w:rsidR="00DA4F05" w:rsidRDefault="00000000">
      <w:pPr>
        <w:numPr>
          <w:ilvl w:val="1"/>
          <w:numId w:val="4"/>
        </w:numPr>
        <w:pBdr>
          <w:top w:val="nil"/>
          <w:left w:val="nil"/>
          <w:bottom w:val="nil"/>
          <w:right w:val="nil"/>
          <w:between w:val="nil"/>
        </w:pBdr>
        <w:spacing w:before="40" w:after="4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Ostatní obchodní a platební podmínky (dále jen „Obchodní podmínky“) jsou uvedeny v příloze č. 1 této smlouvy, která je její nedílnou součástí. Dodavatel prohlašuje, že se s obsahem Obchodních podmínek seznámil.</w:t>
      </w:r>
    </w:p>
    <w:p w14:paraId="49B950AF" w14:textId="77777777" w:rsidR="00DA4F05" w:rsidRDefault="00000000">
      <w:pPr>
        <w:numPr>
          <w:ilvl w:val="1"/>
          <w:numId w:val="4"/>
        </w:numPr>
        <w:pBdr>
          <w:top w:val="nil"/>
          <w:left w:val="nil"/>
          <w:bottom w:val="nil"/>
          <w:right w:val="nil"/>
          <w:between w:val="nil"/>
        </w:pBdr>
        <w:spacing w:before="40" w:after="4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 případě nejasnosti, neurčitosti či vzájemného nesouladu smluvních ujednání, má při výkladu přednost, a to v tomto pořadí: smlouva, příloha č. 2 (popř. i další přílohy, které zejména detailněji specifikují předmět plnění a na něž příloha č. 2 této smlouvy odkazuje), příloha č. 1.</w:t>
      </w:r>
    </w:p>
    <w:p w14:paraId="65591E3E" w14:textId="77777777" w:rsidR="00DA4F05" w:rsidRDefault="00000000">
      <w:pPr>
        <w:numPr>
          <w:ilvl w:val="1"/>
          <w:numId w:val="4"/>
        </w:numPr>
        <w:pBdr>
          <w:top w:val="nil"/>
          <w:left w:val="nil"/>
          <w:bottom w:val="nil"/>
          <w:right w:val="nil"/>
          <w:between w:val="nil"/>
        </w:pBdr>
        <w:spacing w:before="40" w:after="4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Tato smlouva se podepisuje oběma smluvními stranami elektronicky pomocí uznávaného elektronického podpisu.</w:t>
      </w:r>
    </w:p>
    <w:p w14:paraId="26EA141B" w14:textId="77777777" w:rsidR="00DA4F05" w:rsidRDefault="00000000">
      <w:pPr>
        <w:numPr>
          <w:ilvl w:val="0"/>
          <w:numId w:val="4"/>
        </w:numPr>
        <w:pBdr>
          <w:top w:val="nil"/>
          <w:left w:val="nil"/>
          <w:bottom w:val="nil"/>
          <w:right w:val="nil"/>
          <w:between w:val="nil"/>
        </w:pBdr>
        <w:spacing w:before="120" w:after="0"/>
        <w:ind w:left="567" w:hanging="567"/>
        <w:jc w:val="both"/>
        <w:rPr>
          <w:rFonts w:ascii="Garamond" w:eastAsia="Garamond" w:hAnsi="Garamond" w:cs="Garamond"/>
          <w:b/>
          <w:bCs/>
          <w:color w:val="000000"/>
        </w:rPr>
      </w:pPr>
      <w:r>
        <w:rPr>
          <w:rFonts w:ascii="Garamond" w:eastAsia="Garamond" w:hAnsi="Garamond" w:cs="Garamond"/>
          <w:b/>
          <w:bCs/>
          <w:color w:val="000000"/>
        </w:rPr>
        <w:t>Přílohy:</w:t>
      </w:r>
    </w:p>
    <w:p w14:paraId="7D1212A4" w14:textId="77777777" w:rsidR="00DA4F05" w:rsidRDefault="00000000">
      <w:pPr>
        <w:spacing w:after="0"/>
        <w:ind w:left="567" w:hanging="567"/>
        <w:jc w:val="both"/>
        <w:rPr>
          <w:rFonts w:ascii="Garamond" w:eastAsia="Garamond" w:hAnsi="Garamond" w:cs="Garamond"/>
          <w:sz w:val="20"/>
          <w:szCs w:val="20"/>
        </w:rPr>
      </w:pPr>
      <w:r>
        <w:rPr>
          <w:rFonts w:ascii="Garamond" w:eastAsia="Garamond" w:hAnsi="Garamond" w:cs="Garamond"/>
          <w:sz w:val="20"/>
          <w:szCs w:val="20"/>
        </w:rPr>
        <w:t>Příloha č. 1 – Obchodní a platební podmínky</w:t>
      </w:r>
    </w:p>
    <w:p w14:paraId="39621EAE" w14:textId="77777777" w:rsidR="00DA4F05" w:rsidRDefault="00000000">
      <w:pPr>
        <w:spacing w:after="0"/>
        <w:ind w:left="567" w:hanging="567"/>
        <w:jc w:val="both"/>
        <w:rPr>
          <w:rFonts w:ascii="Garamond" w:eastAsia="Garamond" w:hAnsi="Garamond" w:cs="Garamond"/>
          <w:sz w:val="20"/>
          <w:szCs w:val="20"/>
        </w:rPr>
      </w:pPr>
      <w:r>
        <w:rPr>
          <w:rFonts w:ascii="Garamond" w:eastAsia="Garamond" w:hAnsi="Garamond" w:cs="Garamond"/>
          <w:sz w:val="20"/>
          <w:szCs w:val="20"/>
        </w:rPr>
        <w:t>Příloha č. 2 – Technická specifikace předmětu plnění, místo a doba plnění, Kontaktní osoby Objednatele</w:t>
      </w:r>
    </w:p>
    <w:p w14:paraId="043FD1DB" w14:textId="77777777" w:rsidR="00DA4F05" w:rsidRDefault="00DA4F05">
      <w:pPr>
        <w:spacing w:after="0"/>
        <w:jc w:val="both"/>
        <w:rPr>
          <w:rFonts w:ascii="Garamond" w:eastAsia="Garamond" w:hAnsi="Garamond" w:cs="Garamond"/>
          <w:sz w:val="20"/>
          <w:szCs w:val="20"/>
        </w:rPr>
      </w:pPr>
    </w:p>
    <w:tbl>
      <w:tblPr>
        <w:tblStyle w:val="a"/>
        <w:tblW w:w="8672" w:type="dxa"/>
        <w:tblInd w:w="0" w:type="dxa"/>
        <w:tblBorders>
          <w:top w:val="nil"/>
          <w:left w:val="nil"/>
          <w:bottom w:val="nil"/>
          <w:right w:val="nil"/>
        </w:tblBorders>
        <w:tblLayout w:type="fixed"/>
        <w:tblLook w:val="0000" w:firstRow="0" w:lastRow="0" w:firstColumn="0" w:lastColumn="0" w:noHBand="0" w:noVBand="0"/>
      </w:tblPr>
      <w:tblGrid>
        <w:gridCol w:w="4336"/>
        <w:gridCol w:w="4336"/>
      </w:tblGrid>
      <w:tr w:rsidR="00DA4F05" w14:paraId="62F152D7" w14:textId="77777777">
        <w:trPr>
          <w:trHeight w:val="2007"/>
        </w:trPr>
        <w:tc>
          <w:tcPr>
            <w:tcW w:w="4336" w:type="dxa"/>
          </w:tcPr>
          <w:p w14:paraId="1F626D77"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Dne (viz elektronický podpis)</w:t>
            </w:r>
          </w:p>
          <w:p w14:paraId="1E0E3CD5"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Za Objednatele:</w:t>
            </w:r>
          </w:p>
          <w:p w14:paraId="23407F9D" w14:textId="77777777" w:rsidR="00DA4F05" w:rsidRDefault="00DA4F05">
            <w:pPr>
              <w:spacing w:after="0"/>
              <w:jc w:val="both"/>
              <w:rPr>
                <w:rFonts w:ascii="Garamond" w:eastAsia="Garamond" w:hAnsi="Garamond" w:cs="Garamond"/>
                <w:sz w:val="20"/>
                <w:szCs w:val="20"/>
              </w:rPr>
            </w:pPr>
          </w:p>
          <w:p w14:paraId="7C6C6167" w14:textId="77777777" w:rsidR="00DA4F05" w:rsidRDefault="00DA4F05">
            <w:pPr>
              <w:spacing w:after="0"/>
              <w:jc w:val="both"/>
              <w:rPr>
                <w:rFonts w:ascii="Garamond" w:eastAsia="Garamond" w:hAnsi="Garamond" w:cs="Garamond"/>
                <w:sz w:val="20"/>
                <w:szCs w:val="20"/>
              </w:rPr>
            </w:pPr>
          </w:p>
          <w:p w14:paraId="64E1B589" w14:textId="77777777" w:rsidR="00DA4F05" w:rsidRDefault="00DA4F05">
            <w:pPr>
              <w:spacing w:after="0"/>
              <w:jc w:val="both"/>
              <w:rPr>
                <w:rFonts w:ascii="Garamond" w:eastAsia="Garamond" w:hAnsi="Garamond" w:cs="Garamond"/>
                <w:sz w:val="20"/>
                <w:szCs w:val="20"/>
              </w:rPr>
            </w:pPr>
          </w:p>
          <w:p w14:paraId="41FE3232"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w:t>
            </w:r>
          </w:p>
          <w:p w14:paraId="4FD87171" w14:textId="77777777" w:rsidR="00DA4F05" w:rsidRDefault="00000000">
            <w:pPr>
              <w:spacing w:after="0"/>
              <w:jc w:val="both"/>
              <w:rPr>
                <w:rFonts w:ascii="Garamond" w:eastAsia="Garamond" w:hAnsi="Garamond" w:cs="Garamond"/>
                <w:b/>
                <w:bCs/>
                <w:sz w:val="20"/>
                <w:szCs w:val="20"/>
              </w:rPr>
            </w:pPr>
            <w:r>
              <w:rPr>
                <w:rFonts w:ascii="Garamond" w:eastAsia="Garamond" w:hAnsi="Garamond" w:cs="Garamond"/>
                <w:b/>
                <w:bCs/>
                <w:sz w:val="20"/>
                <w:szCs w:val="20"/>
              </w:rPr>
              <w:t>Západočeská univerzita v Plzni</w:t>
            </w:r>
          </w:p>
          <w:p w14:paraId="3D84EE9E"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Ing. Martina Větrovská</w:t>
            </w:r>
          </w:p>
          <w:p w14:paraId="2FC2F2D3"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kvestorka</w:t>
            </w:r>
          </w:p>
          <w:p w14:paraId="64EA50CE" w14:textId="77777777" w:rsidR="00DA4F05" w:rsidRDefault="00000000">
            <w:pPr>
              <w:spacing w:after="0"/>
              <w:jc w:val="both"/>
              <w:rPr>
                <w:rFonts w:ascii="Garamond" w:eastAsia="Garamond" w:hAnsi="Garamond" w:cs="Garamond"/>
                <w:sz w:val="20"/>
                <w:szCs w:val="20"/>
              </w:rPr>
            </w:pPr>
            <w:r>
              <w:rPr>
                <w:rFonts w:ascii="Garamond" w:eastAsia="Garamond" w:hAnsi="Garamond" w:cs="Garamond"/>
                <w:i/>
                <w:iCs/>
                <w:sz w:val="20"/>
                <w:szCs w:val="20"/>
              </w:rPr>
              <w:t>podepsáno elektronicky</w:t>
            </w:r>
          </w:p>
        </w:tc>
        <w:tc>
          <w:tcPr>
            <w:tcW w:w="4336" w:type="dxa"/>
          </w:tcPr>
          <w:p w14:paraId="0C2AEBF8"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Dne (viz elektronický podpis)</w:t>
            </w:r>
          </w:p>
          <w:p w14:paraId="65AB499B"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Za Dodavatele:</w:t>
            </w:r>
          </w:p>
          <w:p w14:paraId="7733A835" w14:textId="77777777" w:rsidR="00DA4F05" w:rsidRDefault="00DA4F05">
            <w:pPr>
              <w:spacing w:after="0"/>
              <w:jc w:val="both"/>
              <w:rPr>
                <w:rFonts w:ascii="Garamond" w:eastAsia="Garamond" w:hAnsi="Garamond" w:cs="Garamond"/>
                <w:sz w:val="20"/>
                <w:szCs w:val="20"/>
              </w:rPr>
            </w:pPr>
          </w:p>
          <w:p w14:paraId="13C8DE7C" w14:textId="77777777" w:rsidR="00DA4F05" w:rsidRDefault="00DA4F05">
            <w:pPr>
              <w:spacing w:after="0"/>
              <w:jc w:val="both"/>
              <w:rPr>
                <w:rFonts w:ascii="Garamond" w:eastAsia="Garamond" w:hAnsi="Garamond" w:cs="Garamond"/>
                <w:sz w:val="20"/>
                <w:szCs w:val="20"/>
              </w:rPr>
            </w:pPr>
          </w:p>
          <w:p w14:paraId="1C0BFDCF" w14:textId="77777777" w:rsidR="00DA4F05" w:rsidRDefault="00DA4F05">
            <w:pPr>
              <w:spacing w:after="0"/>
              <w:jc w:val="both"/>
              <w:rPr>
                <w:rFonts w:ascii="Garamond" w:eastAsia="Garamond" w:hAnsi="Garamond" w:cs="Garamond"/>
                <w:sz w:val="20"/>
                <w:szCs w:val="20"/>
              </w:rPr>
            </w:pPr>
          </w:p>
          <w:p w14:paraId="1314C1F9" w14:textId="77777777" w:rsidR="00DA4F05" w:rsidRDefault="00000000">
            <w:pPr>
              <w:spacing w:after="0"/>
              <w:jc w:val="both"/>
              <w:rPr>
                <w:rFonts w:ascii="Garamond" w:eastAsia="Garamond" w:hAnsi="Garamond" w:cs="Garamond"/>
                <w:sz w:val="20"/>
                <w:szCs w:val="20"/>
              </w:rPr>
            </w:pPr>
            <w:r>
              <w:rPr>
                <w:rFonts w:ascii="Garamond" w:eastAsia="Garamond" w:hAnsi="Garamond" w:cs="Garamond"/>
                <w:sz w:val="20"/>
                <w:szCs w:val="20"/>
              </w:rPr>
              <w:t xml:space="preserve">--------------------------------------------------- </w:t>
            </w:r>
          </w:p>
          <w:p w14:paraId="1E6223C8" w14:textId="77777777" w:rsidR="00DA4F05" w:rsidRDefault="00000000">
            <w:pPr>
              <w:spacing w:after="0"/>
              <w:jc w:val="both"/>
              <w:rPr>
                <w:rFonts w:ascii="Garamond" w:eastAsia="Garamond" w:hAnsi="Garamond" w:cs="Garamond"/>
                <w:b/>
                <w:bCs/>
                <w:i/>
                <w:iCs/>
                <w:sz w:val="20"/>
                <w:szCs w:val="20"/>
              </w:rPr>
            </w:pPr>
            <w:r>
              <w:rPr>
                <w:rFonts w:ascii="Garamond" w:eastAsia="Garamond" w:hAnsi="Garamond" w:cs="Garamond"/>
                <w:b/>
                <w:bCs/>
                <w:sz w:val="20"/>
                <w:szCs w:val="20"/>
              </w:rPr>
              <w:t>KSP Computer &amp; Services Moravia s.r.o.</w:t>
            </w:r>
          </w:p>
          <w:p w14:paraId="3EF5935F" w14:textId="19974B95" w:rsidR="00DA4F05" w:rsidRDefault="00DE788E">
            <w:pPr>
              <w:spacing w:after="0"/>
              <w:jc w:val="both"/>
              <w:rPr>
                <w:rFonts w:ascii="Garamond" w:eastAsia="Garamond" w:hAnsi="Garamond" w:cs="Garamond"/>
                <w:i/>
                <w:iCs/>
                <w:sz w:val="20"/>
                <w:szCs w:val="20"/>
              </w:rPr>
            </w:pPr>
            <w:r>
              <w:rPr>
                <w:rFonts w:ascii="Garamond" w:eastAsia="Garamond" w:hAnsi="Garamond" w:cs="Garamond"/>
                <w:sz w:val="20"/>
                <w:szCs w:val="20"/>
              </w:rPr>
              <w:t>XXX]</w:t>
            </w:r>
          </w:p>
          <w:p w14:paraId="6E237FF9" w14:textId="77777777" w:rsidR="00DA4F05" w:rsidRDefault="00000000">
            <w:pPr>
              <w:spacing w:after="0"/>
              <w:jc w:val="both"/>
              <w:rPr>
                <w:rFonts w:ascii="Garamond" w:eastAsia="Garamond" w:hAnsi="Garamond" w:cs="Garamond"/>
                <w:sz w:val="20"/>
                <w:szCs w:val="20"/>
              </w:rPr>
            </w:pPr>
            <w:r>
              <w:rPr>
                <w:rFonts w:ascii="Garamond" w:eastAsia="Garamond" w:hAnsi="Garamond" w:cs="Garamond"/>
                <w:i/>
                <w:iCs/>
                <w:sz w:val="20"/>
                <w:szCs w:val="20"/>
              </w:rPr>
              <w:t>podepsáno elektronicky</w:t>
            </w:r>
          </w:p>
        </w:tc>
      </w:tr>
    </w:tbl>
    <w:p w14:paraId="5F03E4C9" w14:textId="77777777" w:rsidR="00DA4F05" w:rsidRDefault="00000000">
      <w:pPr>
        <w:rPr>
          <w:rFonts w:ascii="Garamond" w:eastAsia="Garamond" w:hAnsi="Garamond" w:cs="Garamond"/>
          <w:b/>
          <w:bCs/>
          <w:sz w:val="28"/>
          <w:szCs w:val="28"/>
        </w:rPr>
      </w:pPr>
      <w:r>
        <w:br w:type="page"/>
      </w:r>
      <w:r>
        <w:rPr>
          <w:rFonts w:ascii="Garamond" w:eastAsia="Garamond" w:hAnsi="Garamond" w:cs="Garamond"/>
          <w:b/>
          <w:bCs/>
          <w:sz w:val="28"/>
          <w:szCs w:val="28"/>
        </w:rPr>
        <w:lastRenderedPageBreak/>
        <w:t>Příloha č. 1 – Obchodní a platební podmínky</w:t>
      </w:r>
    </w:p>
    <w:p w14:paraId="336CD554" w14:textId="77777777" w:rsidR="00DA4F05" w:rsidRDefault="00000000">
      <w:pPr>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Předmět plnění</w:t>
      </w:r>
    </w:p>
    <w:p w14:paraId="7140B6F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i/>
          <w:iCs/>
          <w:color w:val="000000"/>
          <w:sz w:val="20"/>
          <w:szCs w:val="20"/>
        </w:rPr>
      </w:pPr>
      <w:r>
        <w:rPr>
          <w:rFonts w:ascii="Garamond" w:eastAsia="Garamond" w:hAnsi="Garamond" w:cs="Garamond"/>
          <w:color w:val="000000"/>
          <w:sz w:val="20"/>
          <w:szCs w:val="20"/>
        </w:rPr>
        <w:t>Dodavatel se zavazuje dodat Objednateli předmět plnění a Objednatel se zavazuje řádně dodaný předmět plnění převzít a uhradit za něj dohodnutou cenu.</w:t>
      </w:r>
    </w:p>
    <w:p w14:paraId="5AB88F40"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Technický popis předmětu plnění, doba a místo plnění jsou uvedeny v příloze č. 2 Smlouvy, popř. v dalších přílohách, které zejména detailněji specifikují předmět plnění a na něž příloha č. 2 Smlouvy odkazuje (je-li níže v této příloze odkazováno na „přílohu č. 2 Smlouvy“, platí takové ustanovení obdobně i pro další přílohy, na něž příloha č. 2 Smlouvy odkazuje).</w:t>
      </w:r>
    </w:p>
    <w:p w14:paraId="755C82F5"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Předmět plnění musí být nový, plně funkční a kompletní, tj. předmět plnění bude připraven k okamžitému plnohodnotnému použití k účelu stanovenému ve Smlouvě nebo v příloze č. 2 Smlouvy (nebo k účelu obvyklému), bez nutnosti pořizovat další komponenty, součásti či příslušenství, a to i v případě, že tyto komponenty, součásti či příslušenství nejsou výslovně popsány ve Smlouvě a jejích přílohách.</w:t>
      </w:r>
    </w:p>
    <w:p w14:paraId="7918E2BE"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Objednatel není povinen převzít předmět plnění, který vykazuje jakékoli vady či nedodělky (za vadu se považuje i absence či vada dokladů potřebných k užívání předmětu plnění).</w:t>
      </w:r>
    </w:p>
    <w:p w14:paraId="4ABF8909" w14:textId="77777777" w:rsidR="00DA4F05" w:rsidRDefault="00000000">
      <w:pPr>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Lhůta, místo a způsob plnění</w:t>
      </w:r>
    </w:p>
    <w:p w14:paraId="30F8FB68"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Dodavatel je povinen dodat předmět plnění (popř. jeho samostatnou dílčí část) Objednateli, a to ve lhůtě uvedené v příloze č. 2 Smlouvy. </w:t>
      </w:r>
    </w:p>
    <w:p w14:paraId="5AD1962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Spolu s předmětem plnění dodá Dodavatel Objednateli příslušné doklady a návody k použití v českém nebo anglickém jazyce, jsou-li nezbytné pro používání předmětu plnění.</w:t>
      </w:r>
    </w:p>
    <w:p w14:paraId="357A3A0C"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Předání a převzetí předmětu plnění (popř. jeho samostatné dílčí části) bude potvrzeno podpisem příslušné Kontaktní osoby Objednatele na dodacím listu (popř. předávacím protokolu) spolu s uvedením data, kdy se uskutečnilo.</w:t>
      </w:r>
    </w:p>
    <w:p w14:paraId="2D11BD12"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Za samostatnou dílčí část plnění se považuje (není-li v příloze č. 2 Smlouvy uvedeno jinak) plnění všech položek zahrnutých pod společnou fakturaci dle přílohy č. 2 Smlouvy.</w:t>
      </w:r>
    </w:p>
    <w:p w14:paraId="1C8F25CC"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Objednatel není povinen převzít částečné plnění (tj. nekompletní samostatnou dílčí část) samostatné dílčí části předmětu plnění. Právo Dodavateli fakturovat vznikne vždy až po dodání kompletní samostatné dílčí části.</w:t>
      </w:r>
    </w:p>
    <w:p w14:paraId="3AA9B6D0"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Místem plnění jsou objekty užívané Objednatelem, kdy přesná specifikace místa plnění konkrétní položky je uvedena v příloze č. 2 Smlouvy.</w:t>
      </w:r>
    </w:p>
    <w:p w14:paraId="1BD709C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Kontaktní osoby smluvních stran nejsou oprávněny ke změně Smlouvy, není-li v této příloze stanoveno pro konkrétní případ výslovně jinak. Případná změna Kontaktních osob musí být druhé smluvní straně oznámena písemně, přičemž změna je účinná nejdříve okamžikem takového oznámení.</w:t>
      </w:r>
    </w:p>
    <w:p w14:paraId="239EE452"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Platební podmínky</w:t>
      </w:r>
    </w:p>
    <w:p w14:paraId="21A9ED24"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Cena za předmět plnění je sjednána jako nejvýše přípustná, včetně všech poplatků a veškerých dalších nákladů spojených s dodáním předmětu plnění.</w:t>
      </w:r>
    </w:p>
    <w:p w14:paraId="0EFB3F45"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DPH bude Dodavatelem účtována v souladu s právními předpisy platnými ke dni uskutečnění zdanitelného plnění, kterým je den převzetí předmětu plnění (popř. samostatné dílčí části).</w:t>
      </w:r>
    </w:p>
    <w:p w14:paraId="57B6EE9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Cena za předmět plnění (popř. samostatnou dílčí část) bude Objednatelem uhrazena bankovním převodem, v české měně na základě daňového dokladu (dále jen „faktura“) vystaveného Dodavatelem a doručeného Objednateli.</w:t>
      </w:r>
    </w:p>
    <w:p w14:paraId="1FEBFD5C"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je oprávněn vystavit fakturu po dodání předmětu plnění (popř. samostatné dílčí části).</w:t>
      </w:r>
    </w:p>
    <w:p w14:paraId="3B63787B"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Faktura musí obsahovat všechny náležitosti stanovené Smlouvou a jejími přílohami a všechny náležitosti řádného účetního a daňového dokladu ve smyslu příslušných právních předpisů, zejm. zákona č. 563/1991 Sb., </w:t>
      </w:r>
      <w:r>
        <w:rPr>
          <w:rFonts w:ascii="Garamond" w:eastAsia="Garamond" w:hAnsi="Garamond" w:cs="Garamond"/>
          <w:i/>
          <w:iCs/>
          <w:color w:val="000000"/>
          <w:sz w:val="20"/>
          <w:szCs w:val="20"/>
        </w:rPr>
        <w:t>o účetnictví</w:t>
      </w:r>
      <w:r>
        <w:rPr>
          <w:rFonts w:ascii="Garamond" w:eastAsia="Garamond" w:hAnsi="Garamond" w:cs="Garamond"/>
          <w:color w:val="000000"/>
          <w:sz w:val="20"/>
          <w:szCs w:val="20"/>
        </w:rPr>
        <w:t xml:space="preserve">, a zákona č. 235/2004 Sb., </w:t>
      </w:r>
      <w:r>
        <w:rPr>
          <w:rFonts w:ascii="Garamond" w:eastAsia="Garamond" w:hAnsi="Garamond" w:cs="Garamond"/>
          <w:i/>
          <w:iCs/>
          <w:color w:val="000000"/>
          <w:sz w:val="20"/>
          <w:szCs w:val="20"/>
        </w:rPr>
        <w:t xml:space="preserve">o dani z přidané hodnoty </w:t>
      </w:r>
      <w:r>
        <w:rPr>
          <w:rFonts w:ascii="Garamond" w:eastAsia="Garamond" w:hAnsi="Garamond" w:cs="Garamond"/>
          <w:color w:val="000000"/>
          <w:sz w:val="20"/>
          <w:szCs w:val="20"/>
        </w:rPr>
        <w:t>(dále jen „ZDPH“).</w:t>
      </w:r>
    </w:p>
    <w:p w14:paraId="7211DA2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lastRenderedPageBreak/>
        <w:t>Přílohou faktury musí být kopie dodacího listu (popř. předávacího protokolu) osvědčujícího předání a převzetí předmětu plnění (popř. samostatné dílčí části) podepsaného příslušnou Kontaktní osobou Objednatele.</w:t>
      </w:r>
    </w:p>
    <w:p w14:paraId="31EAF158"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Faktura musí obsahovat číslo smlouvy Objednatele.</w:t>
      </w:r>
    </w:p>
    <w:p w14:paraId="1D399B75"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Faktura musí obsahovat označení banky a číslo tuzemského účtu Dodavatele zveřejněného v "Registru plátců DPH a identifikovaných osob" (dle § 96 ZDPH).</w:t>
      </w:r>
    </w:p>
    <w:p w14:paraId="460D8CD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Je-li předmět plnění (popř. samostatná dílčí část) financován z projektových prostředků (tj. v příloze č. 2 Smlouvy je taková informace uvedena), musí faktura obsahovat identifikační údaje projektu v takovém rozsahu, v jakém jsou identifikační údaje projektu uvedeny v příloze č. 2 Smlouvy (tj. zpravidla název a číslo projektu).</w:t>
      </w:r>
    </w:p>
    <w:p w14:paraId="10E16DA0"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Splatnost faktury činí 30 dnů ode dne jejího doručení Objednateli.</w:t>
      </w:r>
    </w:p>
    <w:p w14:paraId="3337523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 případě, že faktura nebude mít odpovídající náležitosti, je Objednatel oprávněn ji vrátit ve lhůtě splatnosti Dodavateli, aniž se tak dostane do prodlení se splatností. Lhůta splatnosti počíná běžet znovu od doručení náležitě doplněné či opravené faktury Objednateli.</w:t>
      </w:r>
    </w:p>
    <w:p w14:paraId="6C59DF92"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Objednatel neposkytuje zálohy.</w:t>
      </w:r>
    </w:p>
    <w:p w14:paraId="4EE2CAD7"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Práva a povinnosti smluvních stran</w:t>
      </w:r>
    </w:p>
    <w:p w14:paraId="6D8C7C09"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Objednatel je oprávněn započíst splatné i nesplatné pohledávky vzniklé ze Smlouvy vůči jakékoliv splatné či nesplatné pohledávce Dodavatele. </w:t>
      </w:r>
    </w:p>
    <w:p w14:paraId="417F4E9E"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není oprávněn jakákoli svá práva a povinnosti (zejm. pohledávky vůči Objednateli) vzniklé ze Smlouvy, započíst, zatížit zástavním právem ani je postoupit na jiného bez předchozího písemného souhlasu Objednatele.</w:t>
      </w:r>
    </w:p>
    <w:p w14:paraId="4BF7EC39"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odpovídá za újmu, a to i za případnou nemajetkovou újmu způsobenou porušením povinnosti ze Smlouvy nebo povinnosti stanovené právním předpisem.</w:t>
      </w:r>
    </w:p>
    <w:p w14:paraId="012E24F9"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Dodavatel bere na vědomí, že jako osoba povinná dle ust. § 2 písm. e) zákona č. 320/2001 Sb., </w:t>
      </w:r>
      <w:r>
        <w:rPr>
          <w:rFonts w:ascii="Garamond" w:eastAsia="Garamond" w:hAnsi="Garamond" w:cs="Garamond"/>
          <w:i/>
          <w:iCs/>
          <w:color w:val="000000"/>
          <w:sz w:val="20"/>
          <w:szCs w:val="20"/>
        </w:rPr>
        <w:t>o finanční kontrole ve veřejné správě a o změně některých zákonů (zákon o finanční kontrole)</w:t>
      </w:r>
      <w:r>
        <w:rPr>
          <w:rFonts w:ascii="Garamond" w:eastAsia="Garamond" w:hAnsi="Garamond" w:cs="Garamond"/>
          <w:color w:val="000000"/>
          <w:sz w:val="20"/>
          <w:szCs w:val="20"/>
        </w:rPr>
        <w:t>, je povinen spolupůsobit při výkonu finanční kontroly.</w:t>
      </w:r>
    </w:p>
    <w:p w14:paraId="624D04E6"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Dodavatel bere na vědomí, že Objednatel je subjektem povinným uveřejňovat smlouvy dle zákona č. 340/2015 Sb., </w:t>
      </w:r>
      <w:r>
        <w:rPr>
          <w:rFonts w:ascii="Garamond" w:eastAsia="Garamond" w:hAnsi="Garamond" w:cs="Garamond"/>
          <w:i/>
          <w:iCs/>
          <w:color w:val="000000"/>
          <w:sz w:val="20"/>
          <w:szCs w:val="20"/>
        </w:rPr>
        <w:t>o zvláštních podmínkách účinnosti některých smluv, uveřejňování těchto smluv a o registru smluv</w:t>
      </w:r>
      <w:r>
        <w:rPr>
          <w:rFonts w:ascii="Garamond" w:eastAsia="Garamond" w:hAnsi="Garamond" w:cs="Garamond"/>
          <w:color w:val="000000"/>
          <w:sz w:val="20"/>
          <w:szCs w:val="20"/>
        </w:rPr>
        <w:t>, a pokud Smlouva splňuje podmínky pro uveřejnění, Objednatel Smlouvu uveřejní v registru smluv. Rozhodnou skutečností pro uveřejnění Smlouvy v registru je, že celková cena za předmět plnění převyšuje 50 000 Kč bez DPH.</w:t>
      </w:r>
    </w:p>
    <w:p w14:paraId="3FC1DE59"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Dodavatel dále bere na vědomí a souhlasí s tím, že Smlouva může být uveřejněna na profilu zadavatele Objednatele ve smyslu ust. § 219 zák. č. 134/2016 Sb., </w:t>
      </w:r>
      <w:r>
        <w:rPr>
          <w:rFonts w:ascii="Garamond" w:eastAsia="Garamond" w:hAnsi="Garamond" w:cs="Garamond"/>
          <w:i/>
          <w:iCs/>
          <w:color w:val="000000"/>
          <w:sz w:val="20"/>
          <w:szCs w:val="20"/>
        </w:rPr>
        <w:t xml:space="preserve">o zadávání veřejných zakázek, </w:t>
      </w:r>
      <w:r>
        <w:rPr>
          <w:rFonts w:ascii="Garamond" w:eastAsia="Garamond" w:hAnsi="Garamond" w:cs="Garamond"/>
          <w:color w:val="000000"/>
          <w:sz w:val="20"/>
          <w:szCs w:val="20"/>
        </w:rPr>
        <w:t>vč. uveřejnění výše skutečně uhrazené ceny za plnění předmětu Smlouvy.</w:t>
      </w:r>
    </w:p>
    <w:p w14:paraId="0B7BC5C4"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Pokud Dodavatel splňuje zákonné podmínky pro poskytování náhradního plnění ve smyslu ust. § 81 odst. 2 písm. b) zákona č. 435/2004 Sb., o zaměstnanosti, zavazuje se Dodavatel poskytovat předmět plnění Objednateli v režimu náhradního plnění, pokud již ze strany Dodavatele nedošlo k vyčerpání stanoveného limitu dle § 81 odst. 3 zákona o zaměstnanosti.</w:t>
      </w:r>
    </w:p>
    <w:p w14:paraId="265EA3FB"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Záruka za jakost</w:t>
      </w:r>
    </w:p>
    <w:p w14:paraId="17C59B5E"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poskytuje na předmět plnění záruku v délce 24 měsíců, je-li však v příloze č. 2 Smlouvy u konkrétní položky stanovena délka záruky jinak, platí tato jiná záruka.</w:t>
      </w:r>
    </w:p>
    <w:p w14:paraId="12E62E0F"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se zavazuje, že předmět plnění bude po celou záruční dobu způsobilý k použití pro účel stanovený ve Smlouvě nebo příloze č. 2 Smlouvy (nebo účel obvyklý) a že si zachová stanovené (nebo obvyklé) vlastnosti.</w:t>
      </w:r>
    </w:p>
    <w:p w14:paraId="23819ED0"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Záruční doba se prodlužuje o dobu od oznámení vady Dodavateli do jejího odstranění.</w:t>
      </w:r>
    </w:p>
    <w:p w14:paraId="3EB64F3B"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Dodavatel je po dobu záruky povinen nastoupit k odstranění vady ve lhůtě nejpozději do 48 hodin (lhůta běží jen v pracovních dnech) od nahlášení vady (písemně či telefonicky) Objednatelem Kontaktní osobě Dodavatele. </w:t>
      </w:r>
      <w:r>
        <w:rPr>
          <w:rFonts w:ascii="Garamond" w:eastAsia="Garamond" w:hAnsi="Garamond" w:cs="Garamond"/>
          <w:color w:val="000000"/>
          <w:sz w:val="20"/>
          <w:szCs w:val="20"/>
        </w:rPr>
        <w:lastRenderedPageBreak/>
        <w:t>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w:t>
      </w:r>
    </w:p>
    <w:p w14:paraId="730A50B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je povinen odstranit reklamované vady nejpozději do 30 dnů od nahlášení vady, není-li mezi smluvními stranami dohodnuta jiná lhůta, popřípadě uspokojit jiný nárok Objednatele z vadného plnění.</w:t>
      </w:r>
    </w:p>
    <w:p w14:paraId="6DC764D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Je-li v Příloze č. 2 Smlouvy u konkrétní položky stanovena jiná lhůta pro nastoupení k odstranění vady nebo jiná lhůta k odstranění vady, platí tato jiná lhůta.</w:t>
      </w:r>
    </w:p>
    <w:p w14:paraId="15750073"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Vadu lze oznámit nejpozději do posledního dne záruční doby, přičemž i reklamace odeslaná v poslední den záruční doby se považuje za včas uplatněnou.</w:t>
      </w:r>
    </w:p>
    <w:p w14:paraId="449EFBFE"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Osobami oprávněnými oznamovat vady a uplatňovat nároky z vad jsou Kontaktní osoby Objednatele.</w:t>
      </w:r>
    </w:p>
    <w:p w14:paraId="22360C4D"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Záruční doba běží od převzetí předmětu plnění Objednatelem.</w:t>
      </w:r>
    </w:p>
    <w:p w14:paraId="0E82B553"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Smluvní pokuty</w:t>
      </w:r>
    </w:p>
    <w:p w14:paraId="4772F257"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 případě prodlení Dodavatele s dodáním předmětu plnění (popř. samostatné dílčí části) je Dodavatel povinen zaplatit smluvní pokutu ve výši 0,5 % z celkové ceny předmětu plnění (bez DPH) za každý, byť i jen započatý den prodlení.</w:t>
      </w:r>
    </w:p>
    <w:p w14:paraId="1FC7CE7F"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 případě prodlení Dodavatele s nástupem k odstranění záruční vady ve lhůtě dle čl. 5.4, nebo 5.6 je Dodavatel povinen zaplatit smluvní pokutu ve výši 0,5 % z celkové ceny předmětu plnění (bez DPH) za každý, byť i jen započatý den prodlení.</w:t>
      </w:r>
    </w:p>
    <w:p w14:paraId="4F499E46"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 případě prodlení Dodavatele s odstraněním záruční vady ve lhůtě dle čl. 5.5, nebo 5.6 je Dodavatel povinen zaplatit smluvní pokutu ve výši 0,5 % z celkové ceny předmětu plnění (bez DPH) za každý, byť i jen započatý den prodlení.</w:t>
      </w:r>
    </w:p>
    <w:p w14:paraId="5649CFD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Smluvní strany si sjednávají pro případ prodlení kterékoliv smluvní strany s plněním peněžitého závazku ze Smlouvy úrok z prodlení ve výši 0,05 % z neuhrazené části peněžitého závazku za každý, byť i jen započatý den prodlení.</w:t>
      </w:r>
    </w:p>
    <w:p w14:paraId="68B7B1A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Smluvní pokuty se stávají splatnými dnem následujícím po dni, ve kterém na ně vznikl nárok.</w:t>
      </w:r>
    </w:p>
    <w:p w14:paraId="6A27ADEF"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Ustanovením o smluvní pokutě není dotčeno právo oprávněné strany na náhradu škody/újmy v plné výši. Smluvní strany se výslovně dohodly, že se odčiňuje i nemajetková újma vzniklá porušením Smlouvy.</w:t>
      </w:r>
    </w:p>
    <w:p w14:paraId="0F48883D"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Odstoupení od smlouvy</w:t>
      </w:r>
    </w:p>
    <w:p w14:paraId="6C9F3A8A"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Smluvní strany se dohodly, že Objednatel je oprávněn v souladu s ust. § 2001 o.z. od Smlouvy odstoupit z důvodu jejího porušení Dodavatelem.</w:t>
      </w:r>
    </w:p>
    <w:p w14:paraId="3395AAAF"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Objednatel je dále oprávněn odstoupit od Smlouvy v případě, že:</w:t>
      </w:r>
    </w:p>
    <w:p w14:paraId="0FC1BA71" w14:textId="77777777" w:rsidR="00DA4F05" w:rsidRDefault="00000000">
      <w:pPr>
        <w:numPr>
          <w:ilvl w:val="1"/>
          <w:numId w:val="6"/>
        </w:numPr>
        <w:pBdr>
          <w:top w:val="nil"/>
          <w:left w:val="nil"/>
          <w:bottom w:val="nil"/>
          <w:right w:val="nil"/>
          <w:between w:val="nil"/>
        </w:pBdr>
        <w:spacing w:before="120" w:after="120"/>
        <w:ind w:left="851" w:hanging="284"/>
        <w:jc w:val="both"/>
        <w:rPr>
          <w:rFonts w:ascii="Garamond" w:eastAsia="Garamond" w:hAnsi="Garamond" w:cs="Garamond"/>
          <w:color w:val="000000"/>
          <w:sz w:val="20"/>
          <w:szCs w:val="20"/>
        </w:rPr>
      </w:pPr>
      <w:r>
        <w:rPr>
          <w:rFonts w:ascii="Garamond" w:eastAsia="Garamond" w:hAnsi="Garamond" w:cs="Garamond"/>
          <w:color w:val="000000"/>
          <w:sz w:val="20"/>
          <w:szCs w:val="20"/>
        </w:rPr>
        <w:t>Dodavatel písemně oznámí Objednateli, že není schopen plnit své závazky ze Smlouvy;</w:t>
      </w:r>
    </w:p>
    <w:p w14:paraId="161A43BD" w14:textId="77777777" w:rsidR="00DA4F05" w:rsidRDefault="00000000">
      <w:pPr>
        <w:numPr>
          <w:ilvl w:val="1"/>
          <w:numId w:val="6"/>
        </w:numPr>
        <w:pBdr>
          <w:top w:val="nil"/>
          <w:left w:val="nil"/>
          <w:bottom w:val="nil"/>
          <w:right w:val="nil"/>
          <w:between w:val="nil"/>
        </w:pBdr>
        <w:spacing w:before="120" w:after="120"/>
        <w:ind w:left="851" w:hanging="284"/>
        <w:jc w:val="both"/>
        <w:rPr>
          <w:rFonts w:ascii="Garamond" w:eastAsia="Garamond" w:hAnsi="Garamond" w:cs="Garamond"/>
          <w:color w:val="000000"/>
          <w:sz w:val="20"/>
          <w:szCs w:val="20"/>
        </w:rPr>
      </w:pPr>
      <w:r>
        <w:rPr>
          <w:rFonts w:ascii="Garamond" w:eastAsia="Garamond" w:hAnsi="Garamond" w:cs="Garamond"/>
          <w:color w:val="000000"/>
          <w:sz w:val="20"/>
          <w:szCs w:val="20"/>
        </w:rPr>
        <w:t>příslušný soud pravomocně rozhodne, že Dodavatel je v úpadku nebo mu úpadek hrozí (tj. vydá rozhodnutí o tom, že se zjišťuje úpadek Dodavatele nebo hrozící úpadek Dodavatele), nebo ve vztahu k Dodavateli je prohlášen konkurs nebo povolena reorganizace;</w:t>
      </w:r>
    </w:p>
    <w:p w14:paraId="08A57677" w14:textId="77777777" w:rsidR="00DA4F05" w:rsidRDefault="00000000">
      <w:pPr>
        <w:numPr>
          <w:ilvl w:val="1"/>
          <w:numId w:val="6"/>
        </w:numPr>
        <w:pBdr>
          <w:top w:val="nil"/>
          <w:left w:val="nil"/>
          <w:bottom w:val="nil"/>
          <w:right w:val="nil"/>
          <w:between w:val="nil"/>
        </w:pBdr>
        <w:spacing w:before="120" w:after="120"/>
        <w:ind w:left="851" w:hanging="284"/>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je podán návrh na zrušení Dodavatele podle zák. č. 90/2012 Sb., </w:t>
      </w:r>
      <w:r>
        <w:rPr>
          <w:rFonts w:ascii="Garamond" w:eastAsia="Garamond" w:hAnsi="Garamond" w:cs="Garamond"/>
          <w:i/>
          <w:iCs/>
          <w:color w:val="000000"/>
          <w:sz w:val="20"/>
          <w:szCs w:val="20"/>
        </w:rPr>
        <w:t>o obchodních společnostech a družstvech</w:t>
      </w:r>
      <w:r>
        <w:rPr>
          <w:rFonts w:ascii="Garamond" w:eastAsia="Garamond" w:hAnsi="Garamond" w:cs="Garamond"/>
          <w:color w:val="000000"/>
          <w:sz w:val="20"/>
          <w:szCs w:val="20"/>
        </w:rPr>
        <w:t xml:space="preserve"> nebo je zahájena likvidace Dodavatele v souladu s příslušnými právními předpisy;</w:t>
      </w:r>
    </w:p>
    <w:p w14:paraId="4EBE6DAD" w14:textId="77777777" w:rsidR="00DA4F05" w:rsidRDefault="00000000">
      <w:pPr>
        <w:numPr>
          <w:ilvl w:val="1"/>
          <w:numId w:val="6"/>
        </w:numPr>
        <w:pBdr>
          <w:top w:val="nil"/>
          <w:left w:val="nil"/>
          <w:bottom w:val="nil"/>
          <w:right w:val="nil"/>
          <w:between w:val="nil"/>
        </w:pBdr>
        <w:spacing w:before="120" w:after="120"/>
        <w:ind w:left="851" w:hanging="284"/>
        <w:jc w:val="both"/>
        <w:rPr>
          <w:rFonts w:ascii="Garamond" w:eastAsia="Garamond" w:hAnsi="Garamond" w:cs="Garamond"/>
          <w:color w:val="000000"/>
          <w:sz w:val="20"/>
          <w:szCs w:val="20"/>
        </w:rPr>
      </w:pPr>
      <w:r>
        <w:rPr>
          <w:rFonts w:ascii="Garamond" w:eastAsia="Garamond" w:hAnsi="Garamond" w:cs="Garamond"/>
          <w:color w:val="000000"/>
          <w:sz w:val="20"/>
          <w:szCs w:val="20"/>
        </w:rPr>
        <w:t>Dodavatel v rámci zadávání v DNS, které předcházelo uzavření Smlouvy, uvedl informace nebo doklady, které neodpovídají skutečnosti a měly nebo mohly mít vliv na výběr Dodavatele.</w:t>
      </w:r>
    </w:p>
    <w:p w14:paraId="7A825365" w14:textId="77777777" w:rsidR="00DA4F05" w:rsidRDefault="00000000">
      <w:pPr>
        <w:numPr>
          <w:ilvl w:val="1"/>
          <w:numId w:val="5"/>
        </w:numPr>
        <w:pBdr>
          <w:top w:val="nil"/>
          <w:left w:val="nil"/>
          <w:bottom w:val="nil"/>
          <w:right w:val="nil"/>
          <w:between w:val="nil"/>
        </w:pBdr>
        <w:spacing w:before="120" w:after="120"/>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Dodavatel je oprávněn odstoupit od Smlouvy v případě prodlení Objednatele s úhradou ceny za předmět plněním delšího než 60 dní.</w:t>
      </w:r>
    </w:p>
    <w:p w14:paraId="74C649D1"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lastRenderedPageBreak/>
        <w:t>Společná a závěrečná ustanovení</w:t>
      </w:r>
    </w:p>
    <w:p w14:paraId="760AC824"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Smlouva je uzavřena dnem podpisu poslední smluvní strany a nabývá účinnosti dnem jejího uzavření, jde-li však o smlouvu podléhající uveřejnění v registru smluv dle zákona č. 340/2015 Sb., pak nabyde účinnosti teprve dnem uveřejnění v registru smluv.</w:t>
      </w:r>
    </w:p>
    <w:p w14:paraId="16ACF89A"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Má-li být smlouva povinně uveřejněna v registru smluv, zajistí její uveřejnění Objednatel. Nebude-li však Smlouva uveřejněna v souladu s ust. § 5 zák. č. 340/2015 Sb. Objednatelem nejpozději do jednoho měsíce po jejím uzavření, je Dodavatel povinen Smlouvu uveřejnit v souladu s ust. § 5 zák. č. 340/2015 Sb. nejpozději do 3 měsíců od jejího uzavření.</w:t>
      </w:r>
    </w:p>
    <w:p w14:paraId="04C9F89A"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Veškeré změny či doplnění Smlouvy lze učinit pouze na základě písemné dohody smluvních stran. Takové dohody musí mít podobu datovaných, číslovaných a oběma smluvními stranami podepsaných dodatků Smlouvy.</w:t>
      </w:r>
    </w:p>
    <w:p w14:paraId="5352D874"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Objednatel deklaruje a Dodavatel bere na vědomí, že Objednatel </w:t>
      </w:r>
      <w:r>
        <w:rPr>
          <w:rFonts w:ascii="Garamond" w:eastAsia="Garamond" w:hAnsi="Garamond" w:cs="Garamond"/>
          <w:color w:val="000000"/>
          <w:sz w:val="20"/>
          <w:szCs w:val="20"/>
          <w:u w:val="single"/>
        </w:rPr>
        <w:t>není ve vztazích vyplývajících ze Smlouvy podnikatelem.</w:t>
      </w:r>
    </w:p>
    <w:p w14:paraId="2C46AFEF"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Smluvní strany se výslovně dohodly, že Smlouva, jakož i práva a povinnosti smluvních stan, z ní vzniklé či s ní přímo související, se řídí výhradně českým právem. Smluvní strany výslovně vylučují použití Vídeňské úmluvy OSN o smlouvách o mezinárodní koupi zboží (v ČR publikováno ve Sbírce zákonů pod č. 160/1991 Sb.).</w:t>
      </w:r>
    </w:p>
    <w:p w14:paraId="2ED83CD7"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Smluvní strany se dohodly, že případné spory vzniklé ze Smlouvy budou řešeny výhradně před věcně příslušným soudem České republiky, přičemž místní příslušnost soudu se určí dle sídla Objednatele (Plzeň).</w:t>
      </w:r>
    </w:p>
    <w:p w14:paraId="38A2D5DA"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Nastanou-li u některé ze smluvních stran skutečnosti bránící či závažně ohrožující řádné plnění Smlouvy, je povinna to ihned bez zbytečného odkladu oznámit druhé smluvní straně a vyvolat jednání zástupců obou smluvních stran.</w:t>
      </w:r>
    </w:p>
    <w:p w14:paraId="59F2EC8D" w14:textId="77777777" w:rsidR="00DA4F05" w:rsidRDefault="00000000">
      <w:pPr>
        <w:keepNext/>
        <w:numPr>
          <w:ilvl w:val="0"/>
          <w:numId w:val="5"/>
        </w:numPr>
        <w:pBdr>
          <w:top w:val="nil"/>
          <w:left w:val="nil"/>
          <w:bottom w:val="nil"/>
          <w:right w:val="nil"/>
          <w:between w:val="nil"/>
        </w:pBdr>
        <w:spacing w:before="240" w:after="0"/>
        <w:ind w:left="567" w:hanging="567"/>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Zvláštní ustanovení platná jen pro uvedené DNS</w:t>
      </w:r>
    </w:p>
    <w:p w14:paraId="5769CDB0"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Následující ustanovení platí výhradně pro smlouvy uzavřené v uvedeném dynamickém nákupním systému.</w:t>
      </w:r>
    </w:p>
    <w:p w14:paraId="1104CB6E"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Pro smlouvu uzavřenou v </w:t>
      </w:r>
      <w:r>
        <w:rPr>
          <w:rFonts w:ascii="Garamond" w:eastAsia="Garamond" w:hAnsi="Garamond" w:cs="Garamond"/>
          <w:b/>
          <w:bCs/>
          <w:color w:val="000000"/>
          <w:sz w:val="20"/>
          <w:szCs w:val="20"/>
        </w:rPr>
        <w:t>DNS „Čisticí prostředky a hygienické potřeby (II.)“</w:t>
      </w:r>
      <w:r>
        <w:rPr>
          <w:rFonts w:ascii="Garamond" w:eastAsia="Garamond" w:hAnsi="Garamond" w:cs="Garamond"/>
          <w:color w:val="000000"/>
          <w:sz w:val="20"/>
          <w:szCs w:val="20"/>
        </w:rPr>
        <w:t xml:space="preserve"> platí i násl.:</w:t>
      </w:r>
    </w:p>
    <w:p w14:paraId="7FFD036A"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je povinen poskytnout nejpozději do pěti (5) pracovních dnů od výzvy Kontaktní osoby Objednatele bezpečnostní list ke každému jednotlivému druhu zboží, jež tvoří součást předmětu plnění a u nějž je povinnost poskytovat bezpečnostní list stanovena právními předpisy. Objednatel je oprávněn učinit výzvu dle věty první po dobu trvání záruky na zboží, k němuž je bezpečnostní list požadován, a to i opakovaně. Za prodlení Dodavatele se splněním povinnosti dle věty první je Dodavatel povinen zaplatit smluvní pokutu ve výši 0,5 % z celkové ceny (bez DPH) zboží, jehož bezpečnostní list nebyl na výzvu Kontaktní osoby Objednatele dodán, nejméně však 300 Kč za každý, byť i jen započatý den prodlení.</w:t>
      </w:r>
    </w:p>
    <w:p w14:paraId="2878EC26"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Je-li předmětem plnění zboží,</w:t>
      </w:r>
    </w:p>
    <w:p w14:paraId="42084459" w14:textId="77777777" w:rsidR="00DA4F05" w:rsidRDefault="00000000">
      <w:pPr>
        <w:numPr>
          <w:ilvl w:val="0"/>
          <w:numId w:val="9"/>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u nějž je právními předpisy stanovena povinnost uvést na obalu dobu jeho použitelnosti či minimální trvanlivosti,</w:t>
      </w:r>
    </w:p>
    <w:p w14:paraId="5232DC4E" w14:textId="77777777" w:rsidR="00DA4F05" w:rsidRDefault="00000000">
      <w:pPr>
        <w:numPr>
          <w:ilvl w:val="0"/>
          <w:numId w:val="9"/>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nebo je s ohledem na charakter zboží výrobcem doba použitelnosti či minimální trvanlivost obvykle stanovena</w:t>
      </w:r>
    </w:p>
    <w:p w14:paraId="043A6B3D" w14:textId="77777777" w:rsidR="00DA4F05" w:rsidRDefault="00000000">
      <w:pPr>
        <w:pBdr>
          <w:top w:val="nil"/>
          <w:left w:val="nil"/>
          <w:bottom w:val="nil"/>
          <w:right w:val="nil"/>
          <w:between w:val="nil"/>
        </w:pBdr>
        <w:spacing w:before="120" w:after="120" w:line="240" w:lineRule="auto"/>
        <w:ind w:left="720"/>
        <w:jc w:val="both"/>
        <w:rPr>
          <w:rFonts w:ascii="Garamond" w:eastAsia="Garamond" w:hAnsi="Garamond" w:cs="Garamond"/>
          <w:color w:val="000000"/>
          <w:sz w:val="20"/>
          <w:szCs w:val="20"/>
        </w:rPr>
      </w:pPr>
      <w:r>
        <w:rPr>
          <w:rFonts w:ascii="Garamond" w:eastAsia="Garamond" w:hAnsi="Garamond" w:cs="Garamond"/>
          <w:color w:val="000000"/>
          <w:sz w:val="20"/>
          <w:szCs w:val="20"/>
        </w:rPr>
        <w:t>(dále jen „Zboží s omezenou využitelností“),</w:t>
      </w:r>
    </w:p>
    <w:p w14:paraId="5030C0E7" w14:textId="77777777" w:rsidR="00DA4F05" w:rsidRDefault="00000000">
      <w:pPr>
        <w:pBdr>
          <w:top w:val="nil"/>
          <w:left w:val="nil"/>
          <w:bottom w:val="nil"/>
          <w:right w:val="nil"/>
          <w:between w:val="nil"/>
        </w:pBdr>
        <w:spacing w:before="120" w:after="120" w:line="240" w:lineRule="auto"/>
        <w:ind w:left="708"/>
        <w:jc w:val="both"/>
        <w:rPr>
          <w:rFonts w:ascii="Garamond" w:eastAsia="Garamond" w:hAnsi="Garamond" w:cs="Garamond"/>
          <w:color w:val="000000"/>
          <w:sz w:val="20"/>
          <w:szCs w:val="20"/>
        </w:rPr>
      </w:pPr>
      <w:r>
        <w:rPr>
          <w:rFonts w:ascii="Garamond" w:eastAsia="Garamond" w:hAnsi="Garamond" w:cs="Garamond"/>
          <w:color w:val="000000"/>
          <w:sz w:val="20"/>
          <w:szCs w:val="20"/>
        </w:rPr>
        <w:t>je ho Dodavatel povinen dodat Objednateli tak, aby časový úsek mezi jeho dodáním Objednateli a jeho datem použitelnosti nebo minimální trvanlivosti (dále jen „Doba využitelnosti“) činil nejméně dvanáct (12) měsíců. Článek 5.1 se pro Zboží s omezenou využitelností neuplatní. Dodavatel poskytuje na Zboží s omezenou využitelností záruku až do konce jeho Doby využitelnosti.</w:t>
      </w:r>
    </w:p>
    <w:p w14:paraId="79652B2A"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Znění článku 5.4 a 5.5 se nahrazuje následujícím zněním: </w:t>
      </w:r>
    </w:p>
    <w:p w14:paraId="3935F4E0" w14:textId="77777777" w:rsidR="00DA4F05" w:rsidRDefault="00000000">
      <w:pPr>
        <w:pBdr>
          <w:top w:val="nil"/>
          <w:left w:val="nil"/>
          <w:bottom w:val="nil"/>
          <w:right w:val="nil"/>
          <w:between w:val="nil"/>
        </w:pBdr>
        <w:spacing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„5.4 </w:t>
      </w:r>
      <w:r>
        <w:rPr>
          <w:rFonts w:ascii="Garamond" w:eastAsia="Garamond" w:hAnsi="Garamond" w:cs="Garamond"/>
          <w:color w:val="000000"/>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660010B6" w14:textId="77777777" w:rsidR="00DA4F05" w:rsidRDefault="00000000">
      <w:pPr>
        <w:pBdr>
          <w:top w:val="nil"/>
          <w:left w:val="nil"/>
          <w:bottom w:val="nil"/>
          <w:right w:val="nil"/>
          <w:between w:val="nil"/>
        </w:pBdr>
        <w:spacing w:before="120"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5.5</w:t>
      </w:r>
      <w:r>
        <w:rPr>
          <w:rFonts w:ascii="Garamond" w:eastAsia="Garamond" w:hAnsi="Garamond" w:cs="Garamond"/>
          <w:color w:val="000000"/>
          <w:sz w:val="20"/>
          <w:szCs w:val="20"/>
        </w:rPr>
        <w:tab/>
        <w:t xml:space="preserve">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w:t>
      </w:r>
      <w:r>
        <w:rPr>
          <w:rFonts w:ascii="Garamond" w:eastAsia="Garamond" w:hAnsi="Garamond" w:cs="Garamond"/>
          <w:color w:val="000000"/>
          <w:sz w:val="20"/>
          <w:szCs w:val="20"/>
        </w:rPr>
        <w:lastRenderedPageBreak/>
        <w:t>jinak. Nástupem k odstranění vady se rozumí dostavení se oprávněného zástupce Dodavatele do místa plnění za účelem odstranění oznámené vady (tj. k vyzvednutí opravovaného zboží či k jeho výměně).“</w:t>
      </w:r>
    </w:p>
    <w:p w14:paraId="2B8E0011"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Článek 6.2 se neuplatní.</w:t>
      </w:r>
    </w:p>
    <w:p w14:paraId="01A55FE0"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b/>
          <w:bCs/>
          <w:color w:val="000000"/>
          <w:sz w:val="20"/>
          <w:szCs w:val="20"/>
        </w:rPr>
      </w:pPr>
      <w:r>
        <w:rPr>
          <w:rFonts w:ascii="Garamond" w:eastAsia="Garamond" w:hAnsi="Garamond" w:cs="Garamond"/>
          <w:color w:val="000000"/>
          <w:sz w:val="20"/>
          <w:szCs w:val="20"/>
        </w:rPr>
        <w:t>Pro smlouvu uzavřenou v</w:t>
      </w:r>
      <w:r>
        <w:rPr>
          <w:rFonts w:ascii="Garamond" w:eastAsia="Garamond" w:hAnsi="Garamond" w:cs="Garamond"/>
          <w:b/>
          <w:bCs/>
          <w:color w:val="000000"/>
          <w:sz w:val="20"/>
          <w:szCs w:val="20"/>
        </w:rPr>
        <w:t xml:space="preserve"> DNS „Dodávky tonerů, válců do tiskáren a kopírek (II.)“</w:t>
      </w:r>
      <w:r>
        <w:rPr>
          <w:rFonts w:ascii="Garamond" w:eastAsia="Garamond" w:hAnsi="Garamond" w:cs="Garamond"/>
          <w:color w:val="000000"/>
          <w:sz w:val="20"/>
          <w:szCs w:val="20"/>
        </w:rPr>
        <w:t xml:space="preserve"> platí i násl.:</w:t>
      </w:r>
    </w:p>
    <w:p w14:paraId="405BC3BB"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Není-li v Příloze č. 2 Smlouvy u konkrétní položky uvedeno jinak, musí být dodávané výrobky nerepasované (nové a nepoužité) a kompatibilní s daným zařízením (tiskárnou, kopírovacím strojem).</w:t>
      </w:r>
    </w:p>
    <w:p w14:paraId="1B70AEFC"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Pokud dodávaný toner obsahuje: </w:t>
      </w:r>
    </w:p>
    <w:p w14:paraId="4CF5B484" w14:textId="77777777" w:rsidR="00DA4F05" w:rsidRDefault="00000000">
      <w:pPr>
        <w:numPr>
          <w:ilvl w:val="0"/>
          <w:numId w:val="7"/>
        </w:numPr>
        <w:pBdr>
          <w:top w:val="nil"/>
          <w:left w:val="nil"/>
          <w:bottom w:val="nil"/>
          <w:right w:val="nil"/>
          <w:between w:val="nil"/>
        </w:pBdr>
        <w:spacing w:after="0"/>
        <w:ind w:left="1077" w:hanging="357"/>
        <w:jc w:val="both"/>
        <w:rPr>
          <w:rFonts w:ascii="Garamond" w:eastAsia="Garamond" w:hAnsi="Garamond" w:cs="Garamond"/>
          <w:color w:val="000000"/>
          <w:sz w:val="20"/>
          <w:szCs w:val="20"/>
        </w:rPr>
      </w:pPr>
      <w:r>
        <w:rPr>
          <w:rFonts w:ascii="Garamond" w:eastAsia="Garamond" w:hAnsi="Garamond" w:cs="Garamond"/>
          <w:color w:val="000000"/>
          <w:sz w:val="20"/>
          <w:szCs w:val="20"/>
        </w:rPr>
        <w:t>tiskový válec, musí být tento válec nový, nepoužitý;</w:t>
      </w:r>
    </w:p>
    <w:p w14:paraId="091B03EC" w14:textId="77777777" w:rsidR="00DA4F05" w:rsidRDefault="00000000">
      <w:pPr>
        <w:numPr>
          <w:ilvl w:val="0"/>
          <w:numId w:val="7"/>
        </w:numPr>
        <w:pBdr>
          <w:top w:val="nil"/>
          <w:left w:val="nil"/>
          <w:bottom w:val="nil"/>
          <w:right w:val="nil"/>
          <w:between w:val="nil"/>
        </w:pBdr>
        <w:spacing w:after="0"/>
        <w:jc w:val="both"/>
        <w:rPr>
          <w:rFonts w:ascii="Garamond" w:eastAsia="Garamond" w:hAnsi="Garamond" w:cs="Garamond"/>
          <w:color w:val="000000"/>
          <w:sz w:val="20"/>
          <w:szCs w:val="20"/>
        </w:rPr>
      </w:pPr>
      <w:r>
        <w:rPr>
          <w:rFonts w:ascii="Garamond" w:eastAsia="Garamond" w:hAnsi="Garamond" w:cs="Garamond"/>
          <w:color w:val="000000"/>
          <w:sz w:val="20"/>
          <w:szCs w:val="20"/>
        </w:rPr>
        <w:t>zásobník na použitý toner, musí být tento zásobník prázdný;</w:t>
      </w:r>
    </w:p>
    <w:p w14:paraId="6C7231A6" w14:textId="77777777" w:rsidR="00DA4F05" w:rsidRDefault="00000000">
      <w:pPr>
        <w:numPr>
          <w:ilvl w:val="0"/>
          <w:numId w:val="7"/>
        </w:numPr>
        <w:pBdr>
          <w:top w:val="nil"/>
          <w:left w:val="nil"/>
          <w:bottom w:val="nil"/>
          <w:right w:val="nil"/>
          <w:between w:val="nil"/>
        </w:pBdr>
        <w:spacing w:after="0"/>
        <w:jc w:val="both"/>
        <w:rPr>
          <w:rFonts w:ascii="Garamond" w:eastAsia="Garamond" w:hAnsi="Garamond" w:cs="Garamond"/>
          <w:color w:val="000000"/>
          <w:sz w:val="20"/>
          <w:szCs w:val="20"/>
        </w:rPr>
      </w:pPr>
      <w:r>
        <w:rPr>
          <w:rFonts w:ascii="Garamond" w:eastAsia="Garamond" w:hAnsi="Garamond" w:cs="Garamond"/>
          <w:color w:val="000000"/>
          <w:sz w:val="20"/>
          <w:szCs w:val="20"/>
        </w:rPr>
        <w:t>pohyblivé mechanické součásti, musí být tyto mechanické součásti nové, nepoužité.</w:t>
      </w:r>
    </w:p>
    <w:p w14:paraId="73E7A0FE"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Pokud dodávaná inkoustová cartridge obsahuje tiskovou hlavu, musí být tato tisková hlava nová, nepoužitá.</w:t>
      </w:r>
    </w:p>
    <w:p w14:paraId="18181B80"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se zavazuje zajistit zpětný odběr a odvoz prázdných tonerů a náplní a jejich recyklaci nebo ekologickou likvidaci (dále jen „Zpětný odběr“). Zpětný odběr bude prováděn Dodavatelem při dodání (resp. bezprostředně po dodání) nových tonerů a náplní, a to na výzvu Kontaktní osoby Objednatele. Povinnost Zpětného odběru se vztahuje na všechny tonery a náplně, jejichž likvidaci bude Objednatel požadovat provést (včetně tonerů a náplní dodaných i jinými dodavateli), a to v rozsahu až do 130 % z celkového počtu kusů tonerů a náplní, jež tvoří předmět Smlouvy.</w:t>
      </w:r>
    </w:p>
    <w:p w14:paraId="6FE3AE47"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Poruší-li Dodavatel povinnost Zpětného odběru dle čl. 9.3.4, je Dodavatel povinen zaplatit smluvní pokutu 2.000 Kč.</w:t>
      </w:r>
    </w:p>
    <w:p w14:paraId="0CA1BD27"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b/>
          <w:bCs/>
          <w:color w:val="000000"/>
          <w:sz w:val="20"/>
          <w:szCs w:val="20"/>
        </w:rPr>
      </w:pPr>
      <w:r>
        <w:rPr>
          <w:rFonts w:ascii="Garamond" w:eastAsia="Garamond" w:hAnsi="Garamond" w:cs="Garamond"/>
          <w:color w:val="000000"/>
          <w:sz w:val="20"/>
          <w:szCs w:val="20"/>
        </w:rPr>
        <w:t>Pro smlouvu uzavřenou v</w:t>
      </w:r>
      <w:r>
        <w:rPr>
          <w:rFonts w:ascii="Garamond" w:eastAsia="Garamond" w:hAnsi="Garamond" w:cs="Garamond"/>
          <w:b/>
          <w:bCs/>
          <w:color w:val="000000"/>
          <w:sz w:val="20"/>
          <w:szCs w:val="20"/>
        </w:rPr>
        <w:t xml:space="preserve"> DNS „Kancelářské potřeby (II.)“</w:t>
      </w:r>
      <w:r>
        <w:rPr>
          <w:rFonts w:ascii="Garamond" w:eastAsia="Garamond" w:hAnsi="Garamond" w:cs="Garamond"/>
          <w:color w:val="000000"/>
          <w:sz w:val="20"/>
          <w:szCs w:val="20"/>
        </w:rPr>
        <w:t xml:space="preserve"> platí i násl.:</w:t>
      </w:r>
    </w:p>
    <w:p w14:paraId="33E22F40"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Je-li předmětem plnění zboží,</w:t>
      </w:r>
    </w:p>
    <w:p w14:paraId="073B78EE" w14:textId="77777777" w:rsidR="00DA4F05" w:rsidRDefault="00000000">
      <w:pPr>
        <w:numPr>
          <w:ilvl w:val="0"/>
          <w:numId w:val="2"/>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u nějž je právními předpisy stanovena povinnost uvést na obalu dobu jeho použitelnosti či minimální trvanlivosti,</w:t>
      </w:r>
    </w:p>
    <w:p w14:paraId="0F9AEB4D" w14:textId="77777777" w:rsidR="00DA4F05" w:rsidRDefault="00000000">
      <w:pPr>
        <w:numPr>
          <w:ilvl w:val="0"/>
          <w:numId w:val="2"/>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nebo je s ohledem na charakter zboží výrobcem doba použitelnosti či minimální trvanlivost obvykle stanovena</w:t>
      </w:r>
    </w:p>
    <w:p w14:paraId="45419C39" w14:textId="77777777" w:rsidR="00DA4F05" w:rsidRDefault="00000000">
      <w:pPr>
        <w:pBdr>
          <w:top w:val="nil"/>
          <w:left w:val="nil"/>
          <w:bottom w:val="nil"/>
          <w:right w:val="nil"/>
          <w:between w:val="nil"/>
        </w:pBdr>
        <w:spacing w:before="120" w:after="120" w:line="240" w:lineRule="auto"/>
        <w:ind w:left="720"/>
        <w:jc w:val="both"/>
        <w:rPr>
          <w:rFonts w:ascii="Garamond" w:eastAsia="Garamond" w:hAnsi="Garamond" w:cs="Garamond"/>
          <w:color w:val="000000"/>
          <w:sz w:val="20"/>
          <w:szCs w:val="20"/>
        </w:rPr>
      </w:pPr>
      <w:r>
        <w:rPr>
          <w:rFonts w:ascii="Garamond" w:eastAsia="Garamond" w:hAnsi="Garamond" w:cs="Garamond"/>
          <w:color w:val="000000"/>
          <w:sz w:val="20"/>
          <w:szCs w:val="20"/>
        </w:rPr>
        <w:t>(dále jen „Zboží s omezenou využitelností“),</w:t>
      </w:r>
    </w:p>
    <w:p w14:paraId="011319D7" w14:textId="77777777" w:rsidR="00DA4F05" w:rsidRDefault="00000000">
      <w:pPr>
        <w:pBdr>
          <w:top w:val="nil"/>
          <w:left w:val="nil"/>
          <w:bottom w:val="nil"/>
          <w:right w:val="nil"/>
          <w:between w:val="nil"/>
        </w:pBdr>
        <w:spacing w:before="120" w:after="120" w:line="240" w:lineRule="auto"/>
        <w:ind w:left="708"/>
        <w:jc w:val="both"/>
        <w:rPr>
          <w:rFonts w:ascii="Garamond" w:eastAsia="Garamond" w:hAnsi="Garamond" w:cs="Garamond"/>
          <w:color w:val="000000"/>
          <w:sz w:val="20"/>
          <w:szCs w:val="20"/>
        </w:rPr>
      </w:pPr>
      <w:r>
        <w:rPr>
          <w:rFonts w:ascii="Garamond" w:eastAsia="Garamond" w:hAnsi="Garamond" w:cs="Garamond"/>
          <w:color w:val="000000"/>
          <w:sz w:val="20"/>
          <w:szCs w:val="20"/>
        </w:rPr>
        <w:t>je ho Dodavatel povinen dodat Objednateli tak, aby časový úsek mezi jeho dodáním Objednateli a jeho datem použitelnosti nebo minimální trvanlivosti (dále jen „Doba využitelnosti“) činil nejméně dvanáct (12) měsíců. Článek 5.1 se pro Zboží s omezenou využitelností neuplatní. Dodavatel poskytuje na Zboží s omezenou využitelností záruku minimálně do konce jeho Doby využitelnosti.</w:t>
      </w:r>
    </w:p>
    <w:p w14:paraId="54D30C7E"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Znění článku 1.3 se nahrazuje následujícím zněním:</w:t>
      </w:r>
    </w:p>
    <w:p w14:paraId="3F93313D" w14:textId="77777777" w:rsidR="00DA4F05" w:rsidRDefault="00000000">
      <w:pPr>
        <w:pBdr>
          <w:top w:val="nil"/>
          <w:left w:val="nil"/>
          <w:bottom w:val="nil"/>
          <w:right w:val="nil"/>
          <w:between w:val="nil"/>
        </w:pBdr>
        <w:spacing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„1.3 </w:t>
      </w:r>
      <w:r>
        <w:rPr>
          <w:rFonts w:ascii="Garamond" w:eastAsia="Garamond" w:hAnsi="Garamond" w:cs="Garamond"/>
          <w:color w:val="000000"/>
          <w:sz w:val="20"/>
          <w:szCs w:val="20"/>
        </w:rPr>
        <w:tab/>
        <w:t>Předmět plnění musí být nový, plně funkční a kompletní, tj. předmět plnění bude připraven k okamžitému plnohodnotnému použití k účelu stanovenému ve Smlouvě nebo v příloze č. 2 Smlouvy (nebo k účelu obvyklému).“</w:t>
      </w:r>
    </w:p>
    <w:p w14:paraId="0CD4D2F2"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Znění článku 5.4 a 5.5 se nahrazuje následujícím zněním:</w:t>
      </w:r>
    </w:p>
    <w:p w14:paraId="5BAD42F6" w14:textId="77777777" w:rsidR="00DA4F05" w:rsidRDefault="00000000">
      <w:pPr>
        <w:pBdr>
          <w:top w:val="nil"/>
          <w:left w:val="nil"/>
          <w:bottom w:val="nil"/>
          <w:right w:val="nil"/>
          <w:between w:val="nil"/>
        </w:pBdr>
        <w:spacing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„5.4 </w:t>
      </w:r>
      <w:r>
        <w:rPr>
          <w:rFonts w:ascii="Garamond" w:eastAsia="Garamond" w:hAnsi="Garamond" w:cs="Garamond"/>
          <w:color w:val="000000"/>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20EEC849" w14:textId="77777777" w:rsidR="00DA4F05" w:rsidRDefault="00000000">
      <w:pPr>
        <w:pBdr>
          <w:top w:val="nil"/>
          <w:left w:val="nil"/>
          <w:bottom w:val="nil"/>
          <w:right w:val="nil"/>
          <w:between w:val="nil"/>
        </w:pBdr>
        <w:spacing w:before="120"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5.5</w:t>
      </w:r>
      <w:r>
        <w:rPr>
          <w:rFonts w:ascii="Garamond" w:eastAsia="Garamond" w:hAnsi="Garamond" w:cs="Garamond"/>
          <w:color w:val="000000"/>
          <w:sz w:val="20"/>
          <w:szCs w:val="20"/>
        </w:rPr>
        <w:tab/>
        <w:t>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 (tj. k vyzvednutí opravovaného zboží či k jeho výměně).“</w:t>
      </w:r>
    </w:p>
    <w:p w14:paraId="03866819"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Článek 6.2 se neuplatní.</w:t>
      </w:r>
    </w:p>
    <w:p w14:paraId="565436CF"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b/>
          <w:bCs/>
          <w:color w:val="000000"/>
          <w:sz w:val="20"/>
          <w:szCs w:val="20"/>
        </w:rPr>
      </w:pPr>
      <w:r>
        <w:rPr>
          <w:rFonts w:ascii="Garamond" w:eastAsia="Garamond" w:hAnsi="Garamond" w:cs="Garamond"/>
          <w:color w:val="000000"/>
          <w:sz w:val="20"/>
          <w:szCs w:val="20"/>
        </w:rPr>
        <w:t>Pro smlouvu uzavřenou v</w:t>
      </w:r>
      <w:r>
        <w:rPr>
          <w:rFonts w:ascii="Garamond" w:eastAsia="Garamond" w:hAnsi="Garamond" w:cs="Garamond"/>
          <w:b/>
          <w:bCs/>
          <w:color w:val="000000"/>
          <w:sz w:val="20"/>
          <w:szCs w:val="20"/>
        </w:rPr>
        <w:t xml:space="preserve"> DNS „Propagační předměty (II.)“</w:t>
      </w:r>
      <w:r>
        <w:rPr>
          <w:rFonts w:ascii="Garamond" w:eastAsia="Garamond" w:hAnsi="Garamond" w:cs="Garamond"/>
          <w:color w:val="000000"/>
          <w:sz w:val="20"/>
          <w:szCs w:val="20"/>
        </w:rPr>
        <w:t xml:space="preserve"> platí i násl.:</w:t>
      </w:r>
    </w:p>
    <w:p w14:paraId="77C79816"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Znění článku 2.1 se nahrazuje následujícím zněním: </w:t>
      </w:r>
    </w:p>
    <w:p w14:paraId="3F226B9E" w14:textId="77777777" w:rsidR="00DA4F05" w:rsidRDefault="00000000">
      <w:pPr>
        <w:pBdr>
          <w:top w:val="nil"/>
          <w:left w:val="nil"/>
          <w:bottom w:val="nil"/>
          <w:right w:val="nil"/>
          <w:between w:val="nil"/>
        </w:pBdr>
        <w:spacing w:before="120"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lastRenderedPageBreak/>
        <w:t>„2.1</w:t>
      </w:r>
      <w:r>
        <w:rPr>
          <w:rFonts w:ascii="Garamond" w:eastAsia="Garamond" w:hAnsi="Garamond" w:cs="Garamond"/>
          <w:color w:val="000000"/>
          <w:sz w:val="20"/>
          <w:szCs w:val="20"/>
        </w:rPr>
        <w:tab/>
        <w:t>Není-li v příloze č. 2 uvedeno jinak, platí pro dobu plnění násl.:</w:t>
      </w:r>
    </w:p>
    <w:p w14:paraId="26876E55" w14:textId="77777777" w:rsidR="00DA4F05" w:rsidRDefault="00000000">
      <w:pPr>
        <w:numPr>
          <w:ilvl w:val="0"/>
          <w:numId w:val="8"/>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Nebyla-li tisková data (zejm. loga či texty, jež mají být uvedeny na dodávaném zboží) poskytnuta Dodavateli před nabytím účinnosti Smlouvy, poskytne je Dodavateli Kontaktní osoba Objednatele nejpozději do jednoho (1) týdne od nabytí účinnosti Smlouvy.</w:t>
      </w:r>
    </w:p>
    <w:p w14:paraId="34A075DE" w14:textId="77777777" w:rsidR="00DA4F05" w:rsidRDefault="00000000">
      <w:pPr>
        <w:numPr>
          <w:ilvl w:val="0"/>
          <w:numId w:val="8"/>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Dodavatel je povinen dodat předmět plnění (popř. jeho samostatnou dílčí část) do místa plnění nejpozději do tří (3) týdnů od nabytí účinnosti Smlouvy, nebo od poskytnutí tiskových dat, byla-li tisková data poskytnuta až po nabytí účinnosti Smlouvy.“</w:t>
      </w:r>
    </w:p>
    <w:p w14:paraId="0AD687F7"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Je-li předmětem plnění zboží,</w:t>
      </w:r>
    </w:p>
    <w:p w14:paraId="632AB8B0" w14:textId="77777777" w:rsidR="00DA4F05" w:rsidRDefault="00000000">
      <w:pPr>
        <w:numPr>
          <w:ilvl w:val="0"/>
          <w:numId w:val="1"/>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u nějž je právními předpisy stanovena povinnost uvést na obalu dobu jeho použitelnosti či minimální trvanlivosti,</w:t>
      </w:r>
    </w:p>
    <w:p w14:paraId="78FC2D59" w14:textId="77777777" w:rsidR="00DA4F05" w:rsidRDefault="00000000">
      <w:pPr>
        <w:numPr>
          <w:ilvl w:val="0"/>
          <w:numId w:val="1"/>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nebo je s ohledem na charakter zboží výrobcem doba použitelnosti či minimální trvanlivost obvykle stanovena</w:t>
      </w:r>
    </w:p>
    <w:p w14:paraId="7D64A15F" w14:textId="77777777" w:rsidR="00DA4F05" w:rsidRDefault="00000000">
      <w:pPr>
        <w:pBdr>
          <w:top w:val="nil"/>
          <w:left w:val="nil"/>
          <w:bottom w:val="nil"/>
          <w:right w:val="nil"/>
          <w:between w:val="nil"/>
        </w:pBdr>
        <w:spacing w:before="120" w:after="120" w:line="240" w:lineRule="auto"/>
        <w:ind w:left="720"/>
        <w:jc w:val="both"/>
        <w:rPr>
          <w:rFonts w:ascii="Garamond" w:eastAsia="Garamond" w:hAnsi="Garamond" w:cs="Garamond"/>
          <w:color w:val="000000"/>
          <w:sz w:val="20"/>
          <w:szCs w:val="20"/>
        </w:rPr>
      </w:pPr>
      <w:r>
        <w:rPr>
          <w:rFonts w:ascii="Garamond" w:eastAsia="Garamond" w:hAnsi="Garamond" w:cs="Garamond"/>
          <w:color w:val="000000"/>
          <w:sz w:val="20"/>
          <w:szCs w:val="20"/>
        </w:rPr>
        <w:t>(dále jen „Zboží s omezenou využitelností“),</w:t>
      </w:r>
    </w:p>
    <w:p w14:paraId="188FA509" w14:textId="77777777" w:rsidR="00DA4F05" w:rsidRDefault="00000000">
      <w:pPr>
        <w:pBdr>
          <w:top w:val="nil"/>
          <w:left w:val="nil"/>
          <w:bottom w:val="nil"/>
          <w:right w:val="nil"/>
          <w:between w:val="nil"/>
        </w:pBdr>
        <w:spacing w:before="120" w:after="120" w:line="240" w:lineRule="auto"/>
        <w:ind w:left="708"/>
        <w:jc w:val="both"/>
        <w:rPr>
          <w:rFonts w:ascii="Garamond" w:eastAsia="Garamond" w:hAnsi="Garamond" w:cs="Garamond"/>
          <w:color w:val="000000"/>
          <w:sz w:val="20"/>
          <w:szCs w:val="20"/>
        </w:rPr>
      </w:pPr>
      <w:r>
        <w:rPr>
          <w:rFonts w:ascii="Garamond" w:eastAsia="Garamond" w:hAnsi="Garamond" w:cs="Garamond"/>
          <w:color w:val="000000"/>
          <w:sz w:val="20"/>
          <w:szCs w:val="20"/>
        </w:rPr>
        <w:t>je ho Dodavatel povinen dodat tak, aby časový úsek mezi jeho dodáním Objednateli a jeho datem použitelnosti nebo minimální trvanlivosti (dále jen „Doba využitelnosti“) činil nejméně pět (5) měsíců. Článek 5.1 se pro Zboží s omezenou využitelností neuplatní. Dodavatel poskytuje na Zboží s omezenou využitelností záruku do konce jeho Doby využitelnosti.</w:t>
      </w:r>
    </w:p>
    <w:p w14:paraId="59BB16EC"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Znění článku 1.3 se nahrazuje následujícím zněním:</w:t>
      </w:r>
    </w:p>
    <w:p w14:paraId="796B2E9A" w14:textId="77777777" w:rsidR="00DA4F05" w:rsidRDefault="00000000">
      <w:pPr>
        <w:pBdr>
          <w:top w:val="nil"/>
          <w:left w:val="nil"/>
          <w:bottom w:val="nil"/>
          <w:right w:val="nil"/>
          <w:between w:val="nil"/>
        </w:pBdr>
        <w:spacing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„1.3 </w:t>
      </w:r>
      <w:r>
        <w:rPr>
          <w:rFonts w:ascii="Garamond" w:eastAsia="Garamond" w:hAnsi="Garamond" w:cs="Garamond"/>
          <w:color w:val="000000"/>
          <w:sz w:val="20"/>
          <w:szCs w:val="20"/>
        </w:rPr>
        <w:tab/>
        <w:t>Předmět plnění musí být nový, plně funkční a kompletní, tj. předmět plnění bude připraven k okamžitému plnohodnotnému použití k účelu, k němuž se daný předmět obvykle užívá, popř. stanovenému ve Smlouvě nebo v příloze č. 2 Smlouvy. Nestanoví-li Smlouva nebo příloha č. 2 Smlouvy konkrétní způsob provedení a kvalitu, musí být předmět plnění dodán v takovém provedení a kvalitě, která zohledňuje skutečnost, že jeho účelem je i propagační funkce ZČU jako veřejné vysoké školy.“</w:t>
      </w:r>
    </w:p>
    <w:p w14:paraId="1FE7C61B" w14:textId="77777777" w:rsidR="00DA4F05" w:rsidRDefault="00000000">
      <w:pPr>
        <w:numPr>
          <w:ilvl w:val="2"/>
          <w:numId w:val="5"/>
        </w:numPr>
        <w:pBdr>
          <w:top w:val="nil"/>
          <w:left w:val="nil"/>
          <w:bottom w:val="nil"/>
          <w:right w:val="nil"/>
          <w:between w:val="nil"/>
        </w:pBdr>
        <w:spacing w:before="120" w:after="0"/>
        <w:jc w:val="both"/>
        <w:rPr>
          <w:rFonts w:ascii="Garamond" w:eastAsia="Garamond" w:hAnsi="Garamond" w:cs="Garamond"/>
          <w:color w:val="000000"/>
          <w:sz w:val="20"/>
          <w:szCs w:val="20"/>
        </w:rPr>
      </w:pPr>
      <w:r>
        <w:rPr>
          <w:rFonts w:ascii="Garamond" w:eastAsia="Garamond" w:hAnsi="Garamond" w:cs="Garamond"/>
          <w:color w:val="000000"/>
          <w:sz w:val="20"/>
          <w:szCs w:val="20"/>
        </w:rPr>
        <w:t>Znění článku 5.4 a 5.5 se nahrazuje následujícím zněním:</w:t>
      </w:r>
    </w:p>
    <w:p w14:paraId="19A7AC8A" w14:textId="77777777" w:rsidR="00DA4F05" w:rsidRDefault="00000000">
      <w:pPr>
        <w:pBdr>
          <w:top w:val="nil"/>
          <w:left w:val="nil"/>
          <w:bottom w:val="nil"/>
          <w:right w:val="nil"/>
          <w:between w:val="nil"/>
        </w:pBdr>
        <w:spacing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„5.4 </w:t>
      </w:r>
      <w:r>
        <w:rPr>
          <w:rFonts w:ascii="Garamond" w:eastAsia="Garamond" w:hAnsi="Garamond" w:cs="Garamond"/>
          <w:color w:val="000000"/>
          <w:sz w:val="20"/>
          <w:szCs w:val="20"/>
        </w:rPr>
        <w:tab/>
        <w:t>Dodavatel je po dobu záruky povinen nejpozději do pěti (5) dnů od nahlášení vady (písemně či telefonicky) Objednatelem oznámit (písemně či telefonicky) Kontaktní osobě Objednatele způsob odstranění vady, tj. zda provede opravu, nebo výměnu vadného zboží.</w:t>
      </w:r>
    </w:p>
    <w:p w14:paraId="5092DC7C" w14:textId="77777777" w:rsidR="00DA4F05" w:rsidRDefault="00000000">
      <w:pPr>
        <w:pBdr>
          <w:top w:val="nil"/>
          <w:left w:val="nil"/>
          <w:bottom w:val="nil"/>
          <w:right w:val="nil"/>
          <w:between w:val="nil"/>
        </w:pBdr>
        <w:spacing w:before="120" w:after="120"/>
        <w:ind w:left="720"/>
        <w:jc w:val="both"/>
        <w:rPr>
          <w:rFonts w:ascii="Garamond" w:eastAsia="Garamond" w:hAnsi="Garamond" w:cs="Garamond"/>
          <w:color w:val="000000"/>
          <w:sz w:val="20"/>
          <w:szCs w:val="20"/>
        </w:rPr>
      </w:pPr>
      <w:r>
        <w:rPr>
          <w:rFonts w:ascii="Garamond" w:eastAsia="Garamond" w:hAnsi="Garamond" w:cs="Garamond"/>
          <w:color w:val="000000"/>
          <w:sz w:val="20"/>
          <w:szCs w:val="20"/>
        </w:rPr>
        <w:t>5.5</w:t>
      </w:r>
      <w:r>
        <w:rPr>
          <w:rFonts w:ascii="Garamond" w:eastAsia="Garamond" w:hAnsi="Garamond" w:cs="Garamond"/>
          <w:color w:val="000000"/>
          <w:sz w:val="20"/>
          <w:szCs w:val="20"/>
        </w:rPr>
        <w:tab/>
        <w:t>Objednatel je povinen odstranit vadu oznámeným způsobem (opravou nebo výměnou vadného zboží) nejpozději do deseti (10) dnů od nahlášení vady, nebude-li mezi Kontaktními osobami smluvních stran dohodnuto jinak. Dodavatel bere na vědomí, že k odstranění vady může nastoupit pouze v pracovní den v době od 8:00 hodin do 14:00 hodin, nebude-li mezi Kontaktními osobami smluvních stran dohodnuto jinak. Nástupem k odstranění vady se rozumí dostavení se oprávněného zástupce Dodavatele do místa plnění za účelem odstranění oznámené vady (tj. k vyzvednutí opravovaného zboží či k jeho výměně).“</w:t>
      </w:r>
    </w:p>
    <w:p w14:paraId="2D215D49" w14:textId="77777777" w:rsidR="00DA4F05" w:rsidRDefault="00000000">
      <w:pPr>
        <w:numPr>
          <w:ilvl w:val="2"/>
          <w:numId w:val="5"/>
        </w:numPr>
        <w:pBdr>
          <w:top w:val="nil"/>
          <w:left w:val="nil"/>
          <w:bottom w:val="nil"/>
          <w:right w:val="nil"/>
          <w:between w:val="nil"/>
        </w:pBdr>
        <w:spacing w:before="120" w:after="120"/>
        <w:jc w:val="both"/>
        <w:rPr>
          <w:rFonts w:ascii="Garamond" w:eastAsia="Garamond" w:hAnsi="Garamond" w:cs="Garamond"/>
          <w:color w:val="000000"/>
          <w:sz w:val="20"/>
          <w:szCs w:val="20"/>
        </w:rPr>
      </w:pPr>
      <w:r>
        <w:rPr>
          <w:rFonts w:ascii="Garamond" w:eastAsia="Garamond" w:hAnsi="Garamond" w:cs="Garamond"/>
          <w:color w:val="000000"/>
          <w:sz w:val="20"/>
          <w:szCs w:val="20"/>
        </w:rPr>
        <w:t>Článek 6.2 se neuplatní.</w:t>
      </w:r>
    </w:p>
    <w:p w14:paraId="740483FF" w14:textId="77777777" w:rsidR="00DA4F05" w:rsidRDefault="00000000">
      <w:pPr>
        <w:numPr>
          <w:ilvl w:val="1"/>
          <w:numId w:val="5"/>
        </w:numPr>
        <w:pBdr>
          <w:top w:val="nil"/>
          <w:left w:val="nil"/>
          <w:bottom w:val="nil"/>
          <w:right w:val="nil"/>
          <w:between w:val="nil"/>
        </w:pBdr>
        <w:spacing w:before="120" w:after="120" w:line="240" w:lineRule="auto"/>
        <w:ind w:left="567" w:hanging="567"/>
        <w:jc w:val="both"/>
        <w:rPr>
          <w:rFonts w:ascii="Garamond" w:eastAsia="Garamond" w:hAnsi="Garamond" w:cs="Garamond"/>
          <w:b/>
          <w:bCs/>
          <w:color w:val="000000"/>
          <w:sz w:val="20"/>
          <w:szCs w:val="20"/>
        </w:rPr>
      </w:pPr>
      <w:r>
        <w:rPr>
          <w:rFonts w:ascii="Garamond" w:eastAsia="Garamond" w:hAnsi="Garamond" w:cs="Garamond"/>
          <w:color w:val="000000"/>
          <w:sz w:val="20"/>
          <w:szCs w:val="20"/>
        </w:rPr>
        <w:t>Pro smlouvu uzavřenou v</w:t>
      </w:r>
      <w:r>
        <w:rPr>
          <w:rFonts w:ascii="Garamond" w:eastAsia="Garamond" w:hAnsi="Garamond" w:cs="Garamond"/>
          <w:b/>
          <w:bCs/>
          <w:color w:val="000000"/>
          <w:sz w:val="20"/>
          <w:szCs w:val="20"/>
        </w:rPr>
        <w:t xml:space="preserve"> DNS „Výpočetní technika (III.)“ </w:t>
      </w:r>
      <w:r>
        <w:rPr>
          <w:rFonts w:ascii="Garamond" w:eastAsia="Garamond" w:hAnsi="Garamond" w:cs="Garamond"/>
          <w:color w:val="000000"/>
          <w:sz w:val="20"/>
          <w:szCs w:val="20"/>
        </w:rPr>
        <w:t>jejíž předmět plnění zahrnuje i dodávku software (zejm. operační systém) platí i násl.:</w:t>
      </w:r>
    </w:p>
    <w:p w14:paraId="6C48BC9A"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poskytuje k software i nezbytnou licenci (novou nebo druhotnou) odpovídající účelu použití software ve spojení s předmětem plnění k němuž se váže, přičemž není-li ve Smlouvě stanoveno jinak, platí, že účelem dodávky software je jeho použití s hardware, k němuž se váže, a to pro jeho obvyklý účel při zohlednění postavení Objednatele jako veřejné vysoké školy.</w:t>
      </w:r>
    </w:p>
    <w:p w14:paraId="3D786099"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Cena licence je zahrnuta v ceně plnění, s nímž je software dodáván (není-li ve Smlouvě samostatně oceněna).</w:t>
      </w:r>
    </w:p>
    <w:p w14:paraId="4E1EA2C6"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je povinen zajistit, aby na Objednatele přešla veškerá nezbytná oprávnění k užívání dodaného software (v rámci poskytnuté licence), a to na dobu neurčitou.</w:t>
      </w:r>
    </w:p>
    <w:p w14:paraId="085773EE"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prohlašuje, že je oprávněn poskytnout Objednateli licenci k dodanému software a že, jak poskytnutím licence, tak výkonem licenčních práv Objednatelem v souladu se Smlouvou, nebudou porušena žádná práva (zejm. autorská) třetí osoby.</w:t>
      </w:r>
    </w:p>
    <w:p w14:paraId="1E071774"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Je-li součástí předmětu plnění i dodávka software, k němuž je poskytována druhotná licence, platí i násl.: </w:t>
      </w:r>
    </w:p>
    <w:p w14:paraId="111B7424" w14:textId="77777777" w:rsidR="00DA4F05" w:rsidRDefault="00000000">
      <w:pPr>
        <w:numPr>
          <w:ilvl w:val="0"/>
          <w:numId w:val="3"/>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se zavazuje, že nejpozději do sedmi (7) dnů od výzvy Objednatele doloží (na své náklady) Objednateli doklady osvědčující všechny násl. skutečnosti:</w:t>
      </w:r>
    </w:p>
    <w:p w14:paraId="654348FD" w14:textId="77777777" w:rsidR="00DA4F05" w:rsidRDefault="00000000">
      <w:pPr>
        <w:numPr>
          <w:ilvl w:val="2"/>
          <w:numId w:val="3"/>
        </w:numPr>
        <w:pBdr>
          <w:top w:val="nil"/>
          <w:left w:val="nil"/>
          <w:bottom w:val="nil"/>
          <w:right w:val="nil"/>
          <w:between w:val="nil"/>
        </w:pBdr>
        <w:spacing w:before="120" w:after="120" w:line="240" w:lineRule="auto"/>
        <w:ind w:left="1701" w:hanging="283"/>
        <w:jc w:val="both"/>
        <w:rPr>
          <w:rFonts w:ascii="Garamond" w:eastAsia="Garamond" w:hAnsi="Garamond" w:cs="Garamond"/>
          <w:color w:val="000000"/>
          <w:sz w:val="20"/>
          <w:szCs w:val="20"/>
        </w:rPr>
      </w:pPr>
      <w:r>
        <w:rPr>
          <w:rFonts w:ascii="Garamond" w:eastAsia="Garamond" w:hAnsi="Garamond" w:cs="Garamond"/>
          <w:color w:val="000000"/>
          <w:sz w:val="20"/>
          <w:szCs w:val="20"/>
        </w:rPr>
        <w:lastRenderedPageBreak/>
        <w:t>software, k němuž se váže druhotná licence, byl prvotně uveden (tj. v době kdy šlo o novu licenci) na trh EU či EHS, a to buď vlastníkem autorských práv nebo s jeho souhlasem;</w:t>
      </w:r>
    </w:p>
    <w:p w14:paraId="61540FCA" w14:textId="77777777" w:rsidR="00DA4F05" w:rsidRDefault="00000000">
      <w:pPr>
        <w:numPr>
          <w:ilvl w:val="2"/>
          <w:numId w:val="3"/>
        </w:numPr>
        <w:pBdr>
          <w:top w:val="nil"/>
          <w:left w:val="nil"/>
          <w:bottom w:val="nil"/>
          <w:right w:val="nil"/>
          <w:between w:val="nil"/>
        </w:pBdr>
        <w:spacing w:before="120" w:after="120" w:line="240" w:lineRule="auto"/>
        <w:ind w:left="1701" w:hanging="283"/>
        <w:jc w:val="both"/>
        <w:rPr>
          <w:rFonts w:ascii="Garamond" w:eastAsia="Garamond" w:hAnsi="Garamond" w:cs="Garamond"/>
          <w:color w:val="000000"/>
          <w:sz w:val="20"/>
          <w:szCs w:val="20"/>
        </w:rPr>
      </w:pPr>
      <w:r>
        <w:rPr>
          <w:rFonts w:ascii="Garamond" w:eastAsia="Garamond" w:hAnsi="Garamond" w:cs="Garamond"/>
          <w:color w:val="000000"/>
          <w:sz w:val="20"/>
          <w:szCs w:val="20"/>
        </w:rPr>
        <w:t>prvotní licence byla udělena na dobu neurčitou a byla plně zaplacena;</w:t>
      </w:r>
    </w:p>
    <w:p w14:paraId="70EE9837" w14:textId="77777777" w:rsidR="00DA4F05" w:rsidRDefault="00000000">
      <w:pPr>
        <w:numPr>
          <w:ilvl w:val="2"/>
          <w:numId w:val="3"/>
        </w:numPr>
        <w:pBdr>
          <w:top w:val="nil"/>
          <w:left w:val="nil"/>
          <w:bottom w:val="nil"/>
          <w:right w:val="nil"/>
          <w:between w:val="nil"/>
        </w:pBdr>
        <w:spacing w:before="120" w:after="120" w:line="240" w:lineRule="auto"/>
        <w:ind w:left="1701" w:hanging="283"/>
        <w:jc w:val="both"/>
        <w:rPr>
          <w:rFonts w:ascii="Garamond" w:eastAsia="Garamond" w:hAnsi="Garamond" w:cs="Garamond"/>
          <w:color w:val="000000"/>
          <w:sz w:val="20"/>
          <w:szCs w:val="20"/>
        </w:rPr>
      </w:pPr>
      <w:r>
        <w:rPr>
          <w:rFonts w:ascii="Garamond" w:eastAsia="Garamond" w:hAnsi="Garamond" w:cs="Garamond"/>
          <w:color w:val="000000"/>
          <w:sz w:val="20"/>
          <w:szCs w:val="20"/>
        </w:rPr>
        <w:t>nabyvatel prvotní licence (popř. jakýkoli další nabyvatel licence, byla-li následně licence poskytnuta jako druhotná) učinil svou rozmnoženinu software nepoužitelnou.</w:t>
      </w:r>
    </w:p>
    <w:p w14:paraId="0C525C09" w14:textId="77777777" w:rsidR="00DA4F05" w:rsidRDefault="00000000">
      <w:pPr>
        <w:numPr>
          <w:ilvl w:val="0"/>
          <w:numId w:val="3"/>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Dodavatel se dále zavazuje poskytnout Objednateli veškerou spravedlivě požadovanou součinnost (spočívající zejm. v předkládání dokumentace, stanovisek či jiných důkazních prostředků atp.) v případě, že třetí strana zpochybní práva Objednatele užívat software dodaný s druhotnou licencí a doklady dle písm. a) nebudou dostatečné a jednoznačné pro prokázání práva k užívání software Objednatelem. Závazek k součinnosti Dodavatele trvá deset (10) let od dodání druhotné licence.</w:t>
      </w:r>
    </w:p>
    <w:p w14:paraId="4EA18808"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V případě prodlení Dodavatele s doložením dokladů dle čl. 9.6.5 písm. a) je Dodavatel povinen zaplatit smluvní pokutu ve výši 1 000 Kč za každý, byť i jen započatý den prodlení (čl. 6.6 platí obdobně).</w:t>
      </w:r>
    </w:p>
    <w:p w14:paraId="25EC6EAE"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Smluvní strany se dále dohodly, že Výzvu dle čl. 9.6.5 písm. a) je Objednatel oprávněn učinit nejpozději deset (10) let od dodání druhotné licence Objednateli. </w:t>
      </w:r>
    </w:p>
    <w:p w14:paraId="7A5EBF88" w14:textId="77777777" w:rsidR="00DA4F05" w:rsidRDefault="00000000">
      <w:pPr>
        <w:numPr>
          <w:ilvl w:val="2"/>
          <w:numId w:val="5"/>
        </w:numPr>
        <w:pBdr>
          <w:top w:val="nil"/>
          <w:left w:val="nil"/>
          <w:bottom w:val="nil"/>
          <w:right w:val="nil"/>
          <w:between w:val="nil"/>
        </w:pBdr>
        <w:spacing w:before="120" w:after="120" w:line="240" w:lineRule="auto"/>
        <w:jc w:val="both"/>
        <w:rPr>
          <w:rFonts w:ascii="Garamond" w:eastAsia="Garamond" w:hAnsi="Garamond" w:cs="Garamond"/>
          <w:color w:val="000000"/>
          <w:sz w:val="20"/>
          <w:szCs w:val="20"/>
        </w:rPr>
      </w:pPr>
      <w:r>
        <w:rPr>
          <w:rFonts w:ascii="Garamond" w:eastAsia="Garamond" w:hAnsi="Garamond" w:cs="Garamond"/>
          <w:color w:val="000000"/>
          <w:sz w:val="20"/>
          <w:szCs w:val="20"/>
        </w:rPr>
        <w:t>Prokáže-li se některé z prohlášení Dodavatele dle čl. 9.6.4 jako nepravdivé, je Objednatel oprávněn od Smlouvy odstoupit.</w:t>
      </w:r>
    </w:p>
    <w:sectPr w:rsidR="00DA4F05">
      <w:headerReference w:type="default" r:id="rId8"/>
      <w:headerReference w:type="first" r:id="rId9"/>
      <w:pgSz w:w="11906" w:h="16838"/>
      <w:pgMar w:top="1417" w:right="1417" w:bottom="1417" w:left="1417" w:header="708"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46D5" w14:textId="77777777" w:rsidR="008279EA" w:rsidRDefault="008279EA">
      <w:pPr>
        <w:spacing w:after="0" w:line="240" w:lineRule="auto"/>
      </w:pPr>
      <w:r>
        <w:separator/>
      </w:r>
    </w:p>
  </w:endnote>
  <w:endnote w:type="continuationSeparator" w:id="0">
    <w:p w14:paraId="099325BE" w14:textId="77777777" w:rsidR="008279EA" w:rsidRDefault="00827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97A0099-6F6F-4DF3-9DCC-6C4AA289DE3F}"/>
    <w:embedBold r:id="rId2" w:fontKey="{A0962A91-239F-4018-8480-3F2F88FCFEBF}"/>
    <w:embedItalic r:id="rId3" w:fontKey="{6D0F914B-9399-49DC-BF38-EB05B9D0A549}"/>
  </w:font>
  <w:font w:name="Cambria">
    <w:panose1 w:val="02040503050406030204"/>
    <w:charset w:val="EE"/>
    <w:family w:val="roman"/>
    <w:pitch w:val="variable"/>
    <w:sig w:usb0="E00006FF" w:usb1="420024FF" w:usb2="02000000" w:usb3="00000000" w:csb0="0000019F" w:csb1="00000000"/>
    <w:embedRegular r:id="rId4" w:fontKey="{E2C0F774-47B9-4B98-BD26-1DFF78520378}"/>
    <w:embedBold r:id="rId5" w:fontKey="{9981C7CA-218D-4D91-82F1-82393FB55CD5}"/>
    <w:embedItalic r:id="rId6" w:fontKey="{AFC65CE3-D702-4D99-A681-33CA31FAAD02}"/>
    <w:embedBoldItalic r:id="rId7" w:fontKey="{B0FDBD3D-7DCF-4CD9-8125-9100F5C9DD94}"/>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85A7A14B-9A45-4477-91EF-A370B9461E3E}"/>
  </w:font>
  <w:font w:name="Consolas">
    <w:panose1 w:val="020B0609020204030204"/>
    <w:charset w:val="EE"/>
    <w:family w:val="modern"/>
    <w:pitch w:val="fixed"/>
    <w:sig w:usb0="E00006FF" w:usb1="0000FCFF" w:usb2="00000001" w:usb3="00000000" w:csb0="0000019F" w:csb1="00000000"/>
    <w:embedRegular r:id="rId9" w:fontKey="{8B740E0D-74D8-4263-AFE0-D01833AEF065}"/>
  </w:font>
  <w:font w:name="Garamond">
    <w:panose1 w:val="02020404030301010803"/>
    <w:charset w:val="EE"/>
    <w:family w:val="roman"/>
    <w:pitch w:val="variable"/>
    <w:sig w:usb0="00000287" w:usb1="00000000" w:usb2="00000000" w:usb3="00000000" w:csb0="0000009F" w:csb1="00000000"/>
    <w:embedRegular r:id="rId10" w:fontKey="{BCCE49A9-31A1-4F0C-A63D-B5E5B75B8649}"/>
    <w:embedBold r:id="rId11" w:fontKey="{A00CFA14-8652-4D2F-B42D-9EF1E6EBC346}"/>
    <w:embedItalic r:id="rId12" w:fontKey="{AB057360-CBB1-4DF4-8A85-2458B71BA8B4}"/>
    <w:embedBoldItalic r:id="rId13" w:fontKey="{5351F81F-932D-42EF-AE15-B5E5BCF4A6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E1DE3" w14:textId="77777777" w:rsidR="008279EA" w:rsidRDefault="008279EA">
      <w:pPr>
        <w:spacing w:after="0" w:line="240" w:lineRule="auto"/>
      </w:pPr>
      <w:r>
        <w:separator/>
      </w:r>
    </w:p>
  </w:footnote>
  <w:footnote w:type="continuationSeparator" w:id="0">
    <w:p w14:paraId="0DB2DE87" w14:textId="77777777" w:rsidR="008279EA" w:rsidRDefault="008279EA">
      <w:pPr>
        <w:spacing w:after="0" w:line="240" w:lineRule="auto"/>
      </w:pPr>
      <w:r>
        <w:continuationSeparator/>
      </w:r>
    </w:p>
  </w:footnote>
  <w:footnote w:id="1">
    <w:p w14:paraId="5EEFFE95" w14:textId="77777777" w:rsidR="00DA4F05"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Garamond" w:eastAsia="Garamond" w:hAnsi="Garamond" w:cs="Garamond"/>
          <w:color w:val="000000"/>
          <w:sz w:val="18"/>
          <w:szCs w:val="18"/>
        </w:rPr>
        <w:t xml:space="preserve">Dodavatel </w:t>
      </w:r>
      <w:r>
        <w:rPr>
          <w:rFonts w:ascii="Garamond" w:eastAsia="Garamond" w:hAnsi="Garamond" w:cs="Garamond"/>
          <w:b/>
          <w:bCs/>
          <w:color w:val="000000"/>
          <w:sz w:val="18"/>
          <w:szCs w:val="18"/>
        </w:rPr>
        <w:t>může</w:t>
      </w:r>
      <w:r>
        <w:rPr>
          <w:rFonts w:ascii="Garamond" w:eastAsia="Garamond" w:hAnsi="Garamond" w:cs="Garamond"/>
          <w:color w:val="000000"/>
          <w:sz w:val="18"/>
          <w:szCs w:val="18"/>
        </w:rPr>
        <w:t xml:space="preserve"> doplnit svoje evidenční číslo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084AF" w14:textId="77777777" w:rsidR="00DA4F05" w:rsidRDefault="00000000">
    <w:pPr>
      <w:spacing w:before="60" w:after="60"/>
      <w:jc w:val="right"/>
      <w:rPr>
        <w:rFonts w:ascii="Garamond" w:eastAsia="Garamond" w:hAnsi="Garamond" w:cs="Garamond"/>
        <w:color w:val="000000"/>
      </w:rPr>
    </w:pPr>
    <w:r>
      <w:rPr>
        <w:rFonts w:ascii="Garamond" w:eastAsia="Garamond" w:hAnsi="Garamond" w:cs="Garamond"/>
        <w:color w:val="000000"/>
      </w:rPr>
      <w:t xml:space="preserve">Smlouva č. objednatele: </w:t>
    </w:r>
    <w:r>
      <w:rPr>
        <w:rFonts w:ascii="Garamond" w:eastAsia="Garamond" w:hAnsi="Garamond" w:cs="Garamond"/>
      </w:rPr>
      <w:t>P25V00000683</w:t>
    </w:r>
    <w:r>
      <w:rPr>
        <w:rFonts w:ascii="Garamond" w:eastAsia="Garamond" w:hAnsi="Garamond" w:cs="Garamond"/>
        <w:color w:val="000000"/>
      </w:rPr>
      <w:t xml:space="preserve"> (dále jen „Smlouva“)</w:t>
    </w:r>
  </w:p>
  <w:p w14:paraId="5FEF1E1D" w14:textId="77777777" w:rsidR="00DA4F05" w:rsidRDefault="00DA4F0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F5F9" w14:textId="77777777" w:rsidR="00DA4F05" w:rsidRDefault="00000000">
    <w:pPr>
      <w:pBdr>
        <w:top w:val="nil"/>
        <w:left w:val="nil"/>
        <w:bottom w:val="nil"/>
        <w:right w:val="nil"/>
        <w:between w:val="nil"/>
      </w:pBdr>
      <w:tabs>
        <w:tab w:val="center" w:pos="4536"/>
        <w:tab w:val="right" w:pos="9072"/>
      </w:tabs>
      <w:spacing w:after="0" w:line="240" w:lineRule="auto"/>
      <w:rPr>
        <w:color w:val="000000"/>
      </w:rPr>
    </w:pPr>
    <w:r>
      <w:rPr>
        <w:rFonts w:ascii="Garamond" w:eastAsia="Garamond" w:hAnsi="Garamond" w:cs="Garamond"/>
        <w:noProof/>
        <w:color w:val="000000"/>
        <w:sz w:val="32"/>
        <w:szCs w:val="32"/>
      </w:rPr>
      <w:drawing>
        <wp:inline distT="0" distB="0" distL="0" distR="0" wp14:anchorId="5C2CDAF0" wp14:editId="3FD81024">
          <wp:extent cx="880223" cy="403217"/>
          <wp:effectExtent l="0" t="0" r="0" b="0"/>
          <wp:docPr id="2" name="image1.png" descr="ZCU_logotyp_cmyk"/>
          <wp:cNvGraphicFramePr/>
          <a:graphic xmlns:a="http://schemas.openxmlformats.org/drawingml/2006/main">
            <a:graphicData uri="http://schemas.openxmlformats.org/drawingml/2006/picture">
              <pic:pic xmlns:pic="http://schemas.openxmlformats.org/drawingml/2006/picture">
                <pic:nvPicPr>
                  <pic:cNvPr id="0" name="image1.png" descr="ZCU_logotyp_cmyk"/>
                  <pic:cNvPicPr preferRelativeResize="0"/>
                </pic:nvPicPr>
                <pic:blipFill>
                  <a:blip r:embed="rId1"/>
                  <a:srcRect/>
                  <a:stretch>
                    <a:fillRect/>
                  </a:stretch>
                </pic:blipFill>
                <pic:spPr>
                  <a:xfrm>
                    <a:off x="0" y="0"/>
                    <a:ext cx="880223" cy="4032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5A6A"/>
    <w:multiLevelType w:val="multilevel"/>
    <w:tmpl w:val="BC883D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FB2673"/>
    <w:multiLevelType w:val="multilevel"/>
    <w:tmpl w:val="A224E0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pStyle w:val="Nadpis7"/>
      <w:lvlText w:val="%7."/>
      <w:lvlJc w:val="left"/>
      <w:pPr>
        <w:ind w:left="5400" w:hanging="360"/>
      </w:pPr>
    </w:lvl>
    <w:lvl w:ilvl="7">
      <w:start w:val="1"/>
      <w:numFmt w:val="lowerLetter"/>
      <w:pStyle w:val="Nadpis8"/>
      <w:lvlText w:val="%8."/>
      <w:lvlJc w:val="left"/>
      <w:pPr>
        <w:ind w:left="6120" w:hanging="360"/>
      </w:pPr>
    </w:lvl>
    <w:lvl w:ilvl="8">
      <w:start w:val="1"/>
      <w:numFmt w:val="lowerRoman"/>
      <w:pStyle w:val="Nadpis9"/>
      <w:lvlText w:val="%9."/>
      <w:lvlJc w:val="right"/>
      <w:pPr>
        <w:ind w:left="6840" w:hanging="180"/>
      </w:pPr>
    </w:lvl>
  </w:abstractNum>
  <w:abstractNum w:abstractNumId="2" w15:restartNumberingAfterBreak="0">
    <w:nsid w:val="062E44D0"/>
    <w:multiLevelType w:val="multilevel"/>
    <w:tmpl w:val="60B22A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9BA2B66"/>
    <w:multiLevelType w:val="multilevel"/>
    <w:tmpl w:val="2508FFBA"/>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1DC07A8B"/>
    <w:multiLevelType w:val="multilevel"/>
    <w:tmpl w:val="E7CAF4EA"/>
    <w:lvl w:ilvl="0">
      <w:start w:val="1"/>
      <w:numFmt w:val="decimal"/>
      <w:lvlText w:val="%1."/>
      <w:lvlJc w:val="left"/>
      <w:pPr>
        <w:ind w:left="360" w:hanging="360"/>
      </w:pPr>
    </w:lvl>
    <w:lvl w:ilvl="1">
      <w:start w:val="1"/>
      <w:numFmt w:val="lowerLetter"/>
      <w:lvlText w:val="%2)"/>
      <w:lvlJc w:val="left"/>
      <w:pPr>
        <w:ind w:left="360" w:hanging="360"/>
      </w:pPr>
      <w:rPr>
        <w:b w:val="0"/>
        <w:bCs w:val="0"/>
        <w:i w:val="0"/>
        <w:i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276E5238"/>
    <w:multiLevelType w:val="multilevel"/>
    <w:tmpl w:val="0728C692"/>
    <w:lvl w:ilvl="0">
      <w:start w:val="1"/>
      <w:numFmt w:val="decimal"/>
      <w:lvlText w:val="%1."/>
      <w:lvlJc w:val="left"/>
      <w:pPr>
        <w:ind w:left="502" w:hanging="360"/>
      </w:pPr>
    </w:lvl>
    <w:lvl w:ilvl="1">
      <w:start w:val="1"/>
      <w:numFmt w:val="decimal"/>
      <w:lvlText w:val="%1.%2"/>
      <w:lvlJc w:val="left"/>
      <w:pPr>
        <w:ind w:left="360" w:hanging="360"/>
      </w:pPr>
      <w:rPr>
        <w:b w:val="0"/>
        <w:bCs w:val="0"/>
        <w:i w:val="0"/>
        <w:i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34FB37CA"/>
    <w:multiLevelType w:val="multilevel"/>
    <w:tmpl w:val="F0DCBEDA"/>
    <w:lvl w:ilvl="0">
      <w:start w:val="1"/>
      <w:numFmt w:val="lowerLetter"/>
      <w:pStyle w:val="lnek"/>
      <w:lvlText w:val="%1)"/>
      <w:lvlJc w:val="left"/>
      <w:pPr>
        <w:ind w:left="1080" w:hanging="360"/>
      </w:pPr>
    </w:lvl>
    <w:lvl w:ilvl="1">
      <w:start w:val="1"/>
      <w:numFmt w:val="lowerLetter"/>
      <w:pStyle w:val="Bodsmlouvy-21"/>
      <w:lvlText w:val="%2."/>
      <w:lvlJc w:val="left"/>
      <w:pPr>
        <w:ind w:left="1800" w:hanging="360"/>
      </w:pPr>
    </w:lvl>
    <w:lvl w:ilvl="2">
      <w:start w:val="1"/>
      <w:numFmt w:val="lowerRoman"/>
      <w:pStyle w:val="Bodsmlouvy-211"/>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B253532"/>
    <w:multiLevelType w:val="multilevel"/>
    <w:tmpl w:val="E7F0A08A"/>
    <w:lvl w:ilvl="0">
      <w:start w:val="1"/>
      <w:numFmt w:val="decimal"/>
      <w:pStyle w:val="rove1"/>
      <w:lvlText w:val="%1."/>
      <w:lvlJc w:val="left"/>
      <w:pPr>
        <w:ind w:left="360" w:hanging="360"/>
      </w:pPr>
    </w:lvl>
    <w:lvl w:ilvl="1">
      <w:start w:val="1"/>
      <w:numFmt w:val="decimal"/>
      <w:pStyle w:val="rove2"/>
      <w:lvlText w:val="%1.%2"/>
      <w:lvlJc w:val="left"/>
      <w:pPr>
        <w:ind w:left="360" w:hanging="360"/>
      </w:pPr>
      <w:rPr>
        <w:b w:val="0"/>
        <w:bCs w:val="0"/>
        <w:i w:val="0"/>
        <w:i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6C693752"/>
    <w:multiLevelType w:val="multilevel"/>
    <w:tmpl w:val="0AEC55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27857641">
    <w:abstractNumId w:val="1"/>
  </w:num>
  <w:num w:numId="2" w16cid:durableId="1028289905">
    <w:abstractNumId w:val="6"/>
  </w:num>
  <w:num w:numId="3" w16cid:durableId="530724505">
    <w:abstractNumId w:val="0"/>
  </w:num>
  <w:num w:numId="4" w16cid:durableId="1003779836">
    <w:abstractNumId w:val="5"/>
  </w:num>
  <w:num w:numId="5" w16cid:durableId="1738745551">
    <w:abstractNumId w:val="7"/>
  </w:num>
  <w:num w:numId="6" w16cid:durableId="1210149467">
    <w:abstractNumId w:val="4"/>
  </w:num>
  <w:num w:numId="7" w16cid:durableId="1842352444">
    <w:abstractNumId w:val="8"/>
  </w:num>
  <w:num w:numId="8" w16cid:durableId="1316110923">
    <w:abstractNumId w:val="3"/>
  </w:num>
  <w:num w:numId="9" w16cid:durableId="1639728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F05"/>
    <w:rsid w:val="00033BFB"/>
    <w:rsid w:val="002A24EA"/>
    <w:rsid w:val="003811C8"/>
    <w:rsid w:val="008279EA"/>
    <w:rsid w:val="009A2AE8"/>
    <w:rsid w:val="00B86FEF"/>
    <w:rsid w:val="00C63F29"/>
    <w:rsid w:val="00DA4F05"/>
    <w:rsid w:val="00DE788E"/>
    <w:rsid w:val="00FE6B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D1FD"/>
  <w15:docId w15:val="{19F5EAF8-A08B-41CE-B77B-40209498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0"/>
      <w:ind w:left="432" w:hanging="432"/>
      <w:outlineLvl w:val="0"/>
    </w:pPr>
    <w:rPr>
      <w:b/>
      <w:bCs/>
      <w:sz w:val="32"/>
      <w:szCs w:val="32"/>
    </w:rPr>
  </w:style>
  <w:style w:type="paragraph" w:styleId="Nadpis2">
    <w:name w:val="heading 2"/>
    <w:basedOn w:val="Normln"/>
    <w:next w:val="Normln"/>
    <w:uiPriority w:val="9"/>
    <w:semiHidden/>
    <w:unhideWhenUsed/>
    <w:qFormat/>
    <w:pPr>
      <w:keepNext/>
      <w:keepLines/>
      <w:spacing w:before="200" w:after="0"/>
      <w:ind w:left="576" w:hanging="576"/>
      <w:outlineLvl w:val="1"/>
    </w:pPr>
    <w:rPr>
      <w:b/>
      <w:bCs/>
      <w:sz w:val="26"/>
      <w:szCs w:val="26"/>
    </w:rPr>
  </w:style>
  <w:style w:type="paragraph" w:styleId="Nadpis3">
    <w:name w:val="heading 3"/>
    <w:basedOn w:val="Normln"/>
    <w:next w:val="Normln"/>
    <w:uiPriority w:val="9"/>
    <w:semiHidden/>
    <w:unhideWhenUsed/>
    <w:qFormat/>
    <w:pPr>
      <w:keepNext/>
      <w:keepLines/>
      <w:spacing w:before="200" w:after="0"/>
      <w:ind w:left="720" w:hanging="720"/>
      <w:outlineLvl w:val="2"/>
    </w:pPr>
    <w:rPr>
      <w:rFonts w:ascii="Cambria" w:eastAsia="Cambria" w:hAnsi="Cambria" w:cs="Cambria"/>
      <w:b/>
      <w:bCs/>
      <w:color w:val="4F81BD"/>
    </w:rPr>
  </w:style>
  <w:style w:type="paragraph" w:styleId="Nadpis4">
    <w:name w:val="heading 4"/>
    <w:basedOn w:val="Normln"/>
    <w:next w:val="Normln"/>
    <w:uiPriority w:val="9"/>
    <w:semiHidden/>
    <w:unhideWhenUsed/>
    <w:qFormat/>
    <w:pPr>
      <w:keepNext/>
      <w:keepLines/>
      <w:spacing w:before="200" w:after="0"/>
      <w:ind w:left="864" w:hanging="864"/>
      <w:outlineLvl w:val="3"/>
    </w:pPr>
    <w:rPr>
      <w:rFonts w:ascii="Cambria" w:eastAsia="Cambria" w:hAnsi="Cambria" w:cs="Cambria"/>
      <w:b/>
      <w:bCs/>
      <w:i/>
      <w:iCs/>
      <w:color w:val="4F81BD"/>
    </w:rPr>
  </w:style>
  <w:style w:type="paragraph" w:styleId="Nadpis5">
    <w:name w:val="heading 5"/>
    <w:basedOn w:val="Normln"/>
    <w:next w:val="Normln"/>
    <w:uiPriority w:val="9"/>
    <w:semiHidden/>
    <w:unhideWhenUsed/>
    <w:qFormat/>
    <w:pPr>
      <w:keepNext/>
      <w:keepLines/>
      <w:spacing w:before="200" w:after="0"/>
      <w:ind w:left="1008" w:hanging="1008"/>
      <w:outlineLvl w:val="4"/>
    </w:pPr>
    <w:rPr>
      <w:rFonts w:ascii="Cambria" w:eastAsia="Cambria" w:hAnsi="Cambria" w:cs="Cambria"/>
      <w:color w:val="243F61"/>
    </w:rPr>
  </w:style>
  <w:style w:type="paragraph" w:styleId="Nadpis6">
    <w:name w:val="heading 6"/>
    <w:basedOn w:val="Normln"/>
    <w:next w:val="Normln"/>
    <w:uiPriority w:val="9"/>
    <w:semiHidden/>
    <w:unhideWhenUsed/>
    <w:qFormat/>
    <w:pPr>
      <w:keepNext/>
      <w:keepLines/>
      <w:spacing w:before="200" w:after="0"/>
      <w:ind w:left="1152" w:hanging="1152"/>
      <w:outlineLvl w:val="5"/>
    </w:pPr>
    <w:rPr>
      <w:rFonts w:ascii="Cambria" w:eastAsia="Cambria" w:hAnsi="Cambria" w:cs="Cambria"/>
      <w:i/>
      <w:iCs/>
      <w:color w:val="243F61"/>
    </w:rPr>
  </w:style>
  <w:style w:type="paragraph" w:styleId="Nadpis7">
    <w:name w:val="heading 7"/>
    <w:link w:val="Nadpis7Char"/>
    <w:uiPriority w:val="9"/>
    <w:semiHidden/>
    <w:unhideWhenUsed/>
    <w:qFormat/>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dpis8">
    <w:name w:val="heading 8"/>
    <w:link w:val="Nadpis8Char"/>
    <w:uiPriority w:val="9"/>
    <w:semiHidden/>
    <w:unhideWhenUsed/>
    <w:qFormat/>
    <w:pPr>
      <w:keepNext/>
      <w:keepLines/>
      <w:numPr>
        <w:ilvl w:val="7"/>
        <w:numId w:val="1"/>
      </w:numPr>
      <w:spacing w:before="200" w:after="0"/>
      <w:outlineLvl w:val="7"/>
    </w:pPr>
    <w:rPr>
      <w:rFonts w:ascii="Cambria" w:eastAsia="Cambria" w:hAnsi="Cambria" w:cs="Cambria"/>
      <w:color w:val="404040" w:themeColor="text1" w:themeTint="BF"/>
      <w:sz w:val="20"/>
      <w:szCs w:val="20"/>
    </w:rPr>
  </w:style>
  <w:style w:type="paragraph" w:styleId="Nadpis9">
    <w:name w:val="heading 9"/>
    <w:link w:val="Nadpis9Char"/>
    <w:uiPriority w:val="9"/>
    <w:semiHidden/>
    <w:unhideWhenUsed/>
    <w:qFormat/>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300"/>
    </w:pPr>
    <w:rPr>
      <w:sz w:val="48"/>
      <w:szCs w:val="48"/>
    </w:rPr>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paragraph" w:styleId="Bezmezer">
    <w:name w:val="No Spacing"/>
    <w:uiPriority w:val="1"/>
    <w:qFormat/>
    <w:pPr>
      <w:spacing w:after="0" w:line="240" w:lineRule="auto"/>
    </w:pPr>
  </w:style>
  <w:style w:type="character" w:customStyle="1" w:styleId="NzevChar">
    <w:name w:val="Název Char"/>
    <w:basedOn w:val="Standardnpsmoodstavce"/>
    <w:uiPriority w:val="10"/>
    <w:rPr>
      <w:sz w:val="48"/>
      <w:szCs w:val="48"/>
    </w:rPr>
  </w:style>
  <w:style w:type="character" w:customStyle="1" w:styleId="PodnadpisChar">
    <w:name w:val="Podnadpis Char"/>
    <w:basedOn w:val="Standardnpsmoodstavce"/>
    <w:uiPriority w:val="11"/>
    <w:rPr>
      <w:sz w:val="24"/>
      <w:szCs w:val="24"/>
    </w:rPr>
  </w:style>
  <w:style w:type="paragraph" w:styleId="Citt">
    <w:name w:val="Quote"/>
    <w:link w:val="CittChar"/>
    <w:uiPriority w:val="29"/>
    <w:qFormat/>
    <w:pPr>
      <w:ind w:left="720" w:right="720"/>
    </w:pPr>
    <w:rPr>
      <w:i/>
    </w:rPr>
  </w:style>
  <w:style w:type="character" w:customStyle="1" w:styleId="CittChar">
    <w:name w:val="Citát Char"/>
    <w:link w:val="Citt"/>
    <w:uiPriority w:val="29"/>
    <w:rPr>
      <w:i/>
    </w:rPr>
  </w:style>
  <w:style w:type="paragraph" w:styleId="Vrazncitt">
    <w:name w:val="Intense Quote"/>
    <w:link w:val="Vrazncitt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VrazncittChar">
    <w:name w:val="Výrazný citát Char"/>
    <w:link w:val="Vrazncitt"/>
    <w:uiPriority w:val="30"/>
    <w:rPr>
      <w:i/>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paragraph" w:styleId="Titulek">
    <w:name w:val="caption"/>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rosttabulka11">
    <w:name w:val="Prostá tabulka 1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rosttabulka21">
    <w:name w:val="Prostá tabulka 21"/>
    <w:basedOn w:val="Normlntabul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rosttabulka31">
    <w:name w:val="Prostá tabulka 31"/>
    <w:basedOn w:val="Normlntabul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rosttabulka41">
    <w:name w:val="Prostá tabulka 41"/>
    <w:basedOn w:val="Normlntabul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rosttabulka51">
    <w:name w:val="Prostá tabulka 51"/>
    <w:basedOn w:val="Normlntabul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Svtltabulkasmkou11">
    <w:name w:val="Světlá tabulka s mřížkou 11"/>
    <w:basedOn w:val="Normlntabul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lntabulk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lntabulk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lntabulk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lntabulk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lntabulk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ulkasmkou21">
    <w:name w:val="Tabulka s mřížkou 21"/>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lntabulk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Normlntabulk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Normlntabulk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Normlntabulk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Normlntabulk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Normlntabulk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abulkasmkou31">
    <w:name w:val="Tabulka s mřížkou 31"/>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lntabulk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Normlntabulk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Normlntabulk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Normlntabulk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Normlntabulk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Normlntabulk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abulkasmkou41">
    <w:name w:val="Tabulka s mřížkou 41"/>
    <w:basedOn w:val="Normlntabul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lntabulka"/>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Normlntabulka"/>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Normlntabulka"/>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Normlntabulka"/>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Normlntabulka"/>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Normlntabulka"/>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Tmavtabulkasmkou51">
    <w:name w:val="Tmavá tabulka s mřížkou 5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Barevntabulkasmkou61">
    <w:name w:val="Barevná tabulka s mřížkou 61"/>
    <w:basedOn w:val="Normlntabul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lntabulk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lntabulka"/>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lntabulk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lntabulka"/>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lntabulka"/>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Barevntabulkasmkou71">
    <w:name w:val="Barevná tabulka s mřížkou 71"/>
    <w:basedOn w:val="Normlntabul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lntabulka"/>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lntabulka"/>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lntabulka"/>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lntabulka"/>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lntabulka"/>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Svtltabulkaseznamu11">
    <w:name w:val="Světlá tabulka seznamu 1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Tabulkaseznamu21">
    <w:name w:val="Tabulka seznamu 21"/>
    <w:basedOn w:val="Normlntabul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lntabulka"/>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Normlntabulka"/>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Normlntabulka"/>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Normlntabulka"/>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Normlntabulka"/>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Normlntabulka"/>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Tabulkaseznamu31">
    <w:name w:val="Tabulka seznamu 31"/>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lntabulk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lntabulka"/>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lntabulk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lntabulka"/>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lntabulka"/>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ulkaseznamu41">
    <w:name w:val="Tabulka seznamu 41"/>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lntabulka"/>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Normlntabulka"/>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Normlntabulka"/>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Normlntabulka"/>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Normlntabulka"/>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Normlntabulka"/>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Tmavtabulkaseznamu51">
    <w:name w:val="Tmavá tabulka seznamu 51"/>
    <w:basedOn w:val="Normlntabul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lntabulka"/>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Normlntabulka"/>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Normlntabulka"/>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Normlntabulka"/>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Normlntabulka"/>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Normlntabulka"/>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Barevntabulkaseznamu61">
    <w:name w:val="Barevná tabulka seznamu 61"/>
    <w:basedOn w:val="Normlntabul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lntabulka"/>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lntabulka"/>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lntabulka"/>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lntabulka"/>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lntabulka"/>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Barevntabulkaseznamu71">
    <w:name w:val="Barevná tabulka seznamu 71"/>
    <w:basedOn w:val="Normlntabul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lntabulka"/>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lntabulka"/>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lntabulka"/>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lntabulka"/>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lntabulka"/>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Normlntabul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lntabulk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lntabulk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lntabulk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lntabulk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lntabulk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extvysvtlivek">
    <w:name w:val="endnote text"/>
    <w:link w:val="TextvysvtlivekChar"/>
    <w:uiPriority w:val="99"/>
    <w:semiHidden/>
    <w:unhideWhenUsed/>
    <w:pPr>
      <w:spacing w:after="0" w:line="240" w:lineRule="auto"/>
    </w:pPr>
    <w:rPr>
      <w:sz w:val="20"/>
    </w:rPr>
  </w:style>
  <w:style w:type="character" w:customStyle="1" w:styleId="TextvysvtlivekChar">
    <w:name w:val="Text vysvětlivek Char"/>
    <w:link w:val="Textvysvtlivek"/>
    <w:uiPriority w:val="99"/>
    <w:rPr>
      <w:sz w:val="20"/>
    </w:rPr>
  </w:style>
  <w:style w:type="character" w:styleId="Odkaznavysvtlivky">
    <w:name w:val="endnote reference"/>
    <w:basedOn w:val="Standardnpsmoodstavce"/>
    <w:uiPriority w:val="99"/>
    <w:semiHidden/>
    <w:unhideWhenUsed/>
    <w:rPr>
      <w:vertAlign w:val="superscript"/>
    </w:rPr>
  </w:style>
  <w:style w:type="paragraph" w:styleId="Obsah3">
    <w:name w:val="toc 3"/>
    <w:uiPriority w:val="39"/>
    <w:unhideWhenUsed/>
    <w:pPr>
      <w:spacing w:after="57"/>
      <w:ind w:left="567"/>
    </w:pPr>
  </w:style>
  <w:style w:type="paragraph" w:styleId="Obsah4">
    <w:name w:val="toc 4"/>
    <w:uiPriority w:val="39"/>
    <w:unhideWhenUsed/>
    <w:pPr>
      <w:spacing w:after="57"/>
      <w:ind w:left="850"/>
    </w:pPr>
  </w:style>
  <w:style w:type="paragraph" w:styleId="Obsah5">
    <w:name w:val="toc 5"/>
    <w:uiPriority w:val="39"/>
    <w:unhideWhenUsed/>
    <w:pPr>
      <w:spacing w:after="57"/>
      <w:ind w:left="1134"/>
    </w:pPr>
  </w:style>
  <w:style w:type="paragraph" w:styleId="Obsah6">
    <w:name w:val="toc 6"/>
    <w:uiPriority w:val="39"/>
    <w:unhideWhenUsed/>
    <w:pPr>
      <w:spacing w:after="57"/>
      <w:ind w:left="1417"/>
    </w:pPr>
  </w:style>
  <w:style w:type="paragraph" w:styleId="Obsah7">
    <w:name w:val="toc 7"/>
    <w:uiPriority w:val="39"/>
    <w:unhideWhenUsed/>
    <w:pPr>
      <w:spacing w:after="57"/>
      <w:ind w:left="1701"/>
    </w:pPr>
  </w:style>
  <w:style w:type="paragraph" w:styleId="Obsah8">
    <w:name w:val="toc 8"/>
    <w:uiPriority w:val="39"/>
    <w:unhideWhenUsed/>
    <w:pPr>
      <w:spacing w:after="57"/>
      <w:ind w:left="1984"/>
    </w:pPr>
  </w:style>
  <w:style w:type="paragraph" w:styleId="Obsah9">
    <w:name w:val="toc 9"/>
    <w:uiPriority w:val="39"/>
    <w:unhideWhenUsed/>
    <w:pPr>
      <w:spacing w:after="57"/>
      <w:ind w:left="2268"/>
    </w:pPr>
  </w:style>
  <w:style w:type="paragraph" w:styleId="Textbubliny">
    <w:name w:val="Balloon Text"/>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styleId="Odkaznakoment">
    <w:name w:val="annotation reference"/>
    <w:basedOn w:val="Standardnpsmoodstavce"/>
    <w:uiPriority w:val="99"/>
    <w:unhideWhenUsed/>
    <w:rPr>
      <w:sz w:val="16"/>
      <w:szCs w:val="16"/>
    </w:rPr>
  </w:style>
  <w:style w:type="paragraph" w:styleId="Textkomente">
    <w:name w:val="annotation text"/>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sz w:val="20"/>
      <w:szCs w:val="20"/>
    </w:rPr>
  </w:style>
  <w:style w:type="character" w:styleId="Hypertextovodkaz">
    <w:name w:val="Hyperlink"/>
    <w:basedOn w:val="Standardnpsmoodstavce"/>
    <w:uiPriority w:val="99"/>
    <w:unhideWhenUsed/>
    <w:rPr>
      <w:color w:val="0000FF" w:themeColor="hyperlink"/>
      <w:u w:val="single"/>
    </w:rPr>
  </w:style>
  <w:style w:type="character" w:customStyle="1" w:styleId="Nadpis1Char">
    <w:name w:val="Nadpis 1 Char"/>
    <w:basedOn w:val="Standardnpsmoodstavce"/>
    <w:uiPriority w:val="9"/>
    <w:rPr>
      <w:rFonts w:eastAsia="Cambria" w:cs="Cambria"/>
      <w:b/>
      <w:bCs/>
      <w:sz w:val="32"/>
      <w:szCs w:val="28"/>
    </w:rPr>
  </w:style>
  <w:style w:type="character" w:customStyle="1" w:styleId="Nadpis2Char">
    <w:name w:val="Nadpis 2 Char"/>
    <w:basedOn w:val="Standardnpsmoodstavce"/>
    <w:uiPriority w:val="9"/>
    <w:rPr>
      <w:rFonts w:eastAsia="Cambria" w:cs="Cambria"/>
      <w:b/>
      <w:bCs/>
      <w:sz w:val="26"/>
      <w:szCs w:val="26"/>
    </w:rPr>
  </w:style>
  <w:style w:type="character" w:customStyle="1" w:styleId="Nadpis3Char">
    <w:name w:val="Nadpis 3 Char"/>
    <w:basedOn w:val="Standardnpsmoodstavce"/>
    <w:uiPriority w:val="9"/>
    <w:rPr>
      <w:rFonts w:ascii="Cambria" w:eastAsia="Cambria" w:hAnsi="Cambria" w:cs="Cambria"/>
      <w:b/>
      <w:bCs/>
      <w:color w:val="4F81BD" w:themeColor="accent1"/>
    </w:rPr>
  </w:style>
  <w:style w:type="character" w:customStyle="1" w:styleId="Nadpis4Char">
    <w:name w:val="Nadpis 4 Char"/>
    <w:basedOn w:val="Standardnpsmoodstavce"/>
    <w:uiPriority w:val="9"/>
    <w:rPr>
      <w:rFonts w:ascii="Cambria" w:eastAsia="Cambria" w:hAnsi="Cambria" w:cs="Cambria"/>
      <w:b/>
      <w:bCs/>
      <w:i/>
      <w:iCs/>
      <w:color w:val="4F81BD" w:themeColor="accent1"/>
    </w:rPr>
  </w:style>
  <w:style w:type="character" w:customStyle="1" w:styleId="Nadpis5Char">
    <w:name w:val="Nadpis 5 Char"/>
    <w:basedOn w:val="Standardnpsmoodstavce"/>
    <w:uiPriority w:val="9"/>
    <w:rPr>
      <w:rFonts w:ascii="Cambria" w:eastAsia="Cambria" w:hAnsi="Cambria" w:cs="Cambria"/>
      <w:color w:val="243F60" w:themeColor="accent1" w:themeShade="7F"/>
    </w:rPr>
  </w:style>
  <w:style w:type="character" w:customStyle="1" w:styleId="Nadpis6Char">
    <w:name w:val="Nadpis 6 Char"/>
    <w:basedOn w:val="Standardnpsmoodstavce"/>
    <w:uiPriority w:val="9"/>
    <w:semiHidden/>
    <w:rPr>
      <w:rFonts w:ascii="Cambria" w:eastAsia="Cambria" w:hAnsi="Cambria" w:cs="Cambria"/>
      <w:i/>
      <w:iCs/>
      <w:color w:val="243F60" w:themeColor="accent1" w:themeShade="7F"/>
    </w:rPr>
  </w:style>
  <w:style w:type="character" w:customStyle="1" w:styleId="Nadpis7Char">
    <w:name w:val="Nadpis 7 Char"/>
    <w:basedOn w:val="Standardnpsmoodstavce"/>
    <w:link w:val="Nadpis7"/>
    <w:uiPriority w:val="9"/>
    <w:semiHidden/>
    <w:rPr>
      <w:rFonts w:ascii="Cambria" w:eastAsia="Cambria" w:hAnsi="Cambria" w:cs="Cambria"/>
      <w:i/>
      <w:iCs/>
      <w:color w:val="404040" w:themeColor="text1" w:themeTint="BF"/>
    </w:rPr>
  </w:style>
  <w:style w:type="character" w:customStyle="1" w:styleId="Nadpis8Char">
    <w:name w:val="Nadpis 8 Char"/>
    <w:basedOn w:val="Standardnpsmoodstavce"/>
    <w:link w:val="Nadpis8"/>
    <w:uiPriority w:val="9"/>
    <w:semiHidden/>
    <w:rPr>
      <w:rFonts w:ascii="Cambria" w:eastAsia="Cambria" w:hAnsi="Cambria" w:cs="Cambria"/>
      <w:color w:val="404040" w:themeColor="text1" w:themeTint="BF"/>
      <w:sz w:val="20"/>
      <w:szCs w:val="20"/>
    </w:rPr>
  </w:style>
  <w:style w:type="character" w:customStyle="1" w:styleId="Nadpis9Char">
    <w:name w:val="Nadpis 9 Char"/>
    <w:basedOn w:val="Standardnpsmoodstavce"/>
    <w:link w:val="Nadpis9"/>
    <w:uiPriority w:val="9"/>
    <w:semiHidden/>
    <w:rPr>
      <w:rFonts w:ascii="Cambria" w:eastAsia="Cambria" w:hAnsi="Cambria" w:cs="Cambria"/>
      <w:i/>
      <w:iCs/>
      <w:color w:val="404040" w:themeColor="text1" w:themeTint="BF"/>
      <w:sz w:val="20"/>
      <w:szCs w:val="20"/>
    </w:rPr>
  </w:style>
  <w:style w:type="character" w:styleId="Sledovanodkaz">
    <w:name w:val="FollowedHyperlink"/>
    <w:basedOn w:val="Standardnpsmoodstavce"/>
    <w:uiPriority w:val="99"/>
    <w:semiHidden/>
    <w:unhideWhenUsed/>
    <w:rPr>
      <w:color w:val="800080" w:themeColor="followedHyperlink"/>
      <w:u w:val="single"/>
    </w:rPr>
  </w:style>
  <w:style w:type="paragraph" w:styleId="Nadpisobsahu">
    <w:name w:val="TOC Heading"/>
    <w:uiPriority w:val="39"/>
    <w:unhideWhenUsed/>
    <w:qFormat/>
    <w:rPr>
      <w:rFonts w:ascii="Cambria" w:hAnsi="Cambria"/>
      <w:color w:val="365F91" w:themeColor="accent1" w:themeShade="BF"/>
      <w:sz w:val="28"/>
    </w:rPr>
  </w:style>
  <w:style w:type="paragraph" w:styleId="Obsah1">
    <w:name w:val="toc 1"/>
    <w:uiPriority w:val="39"/>
    <w:unhideWhenUsed/>
    <w:pPr>
      <w:spacing w:after="100"/>
    </w:pPr>
  </w:style>
  <w:style w:type="paragraph" w:styleId="Obsah2">
    <w:name w:val="toc 2"/>
    <w:uiPriority w:val="39"/>
    <w:unhideWhenUsed/>
    <w:pPr>
      <w:spacing w:after="100"/>
      <w:ind w:left="220"/>
    </w:pPr>
  </w:style>
  <w:style w:type="paragraph" w:styleId="Zhlav">
    <w:name w:val="header"/>
    <w:link w:val="ZhlavChar"/>
    <w:uiPriority w:val="99"/>
    <w:unhideWhenUsed/>
    <w:pPr>
      <w:tabs>
        <w:tab w:val="center" w:pos="4536"/>
        <w:tab w:val="right" w:pos="9072"/>
      </w:tabs>
      <w:spacing w:after="0" w:line="240" w:lineRule="auto"/>
    </w:pPr>
  </w:style>
  <w:style w:type="character" w:customStyle="1" w:styleId="ZhlavChar">
    <w:name w:val="Záhlaví Char"/>
    <w:basedOn w:val="Standardnpsmoodstavce"/>
    <w:link w:val="Zhlav"/>
    <w:uiPriority w:val="99"/>
  </w:style>
  <w:style w:type="paragraph" w:styleId="Zpat">
    <w:name w:val="footer"/>
    <w:link w:val="ZpatChar"/>
    <w:uiPriority w:val="99"/>
    <w:unhideWhenUsed/>
    <w:pPr>
      <w:tabs>
        <w:tab w:val="center" w:pos="4536"/>
        <w:tab w:val="right" w:pos="9072"/>
      </w:tabs>
      <w:spacing w:after="0" w:line="240" w:lineRule="auto"/>
    </w:pPr>
  </w:style>
  <w:style w:type="character" w:customStyle="1" w:styleId="ZpatChar">
    <w:name w:val="Zápatí Char"/>
    <w:basedOn w:val="Standardnpsmoodstavce"/>
    <w:link w:val="Zpat"/>
    <w:uiPriority w:val="99"/>
  </w:style>
  <w:style w:type="paragraph" w:styleId="Odstavecseseznamem">
    <w:name w:val="List Paragraph"/>
    <w:link w:val="OdstavecseseznamemChar"/>
    <w:uiPriority w:val="34"/>
    <w:qFormat/>
    <w:pPr>
      <w:ind w:left="720"/>
      <w:contextualSpacing/>
    </w:pPr>
  </w:style>
  <w:style w:type="paragraph" w:styleId="Zkladntext">
    <w:name w:val="Body Text"/>
    <w:link w:val="ZkladntextChar1"/>
    <w:pPr>
      <w:spacing w:after="0" w:line="240" w:lineRule="auto"/>
    </w:pPr>
    <w:rPr>
      <w:rFonts w:ascii="Times New Roman" w:eastAsia="Times New Roman" w:hAnsi="Times New Roman" w:cs="Times New Roman"/>
      <w:b/>
      <w:sz w:val="28"/>
      <w:szCs w:val="20"/>
      <w:u w:val="single"/>
    </w:rPr>
  </w:style>
  <w:style w:type="character" w:customStyle="1" w:styleId="ZkladntextChar">
    <w:name w:val="Základní text Char"/>
    <w:basedOn w:val="Standardnpsmoodstavce"/>
    <w:uiPriority w:val="99"/>
    <w:semiHidden/>
  </w:style>
  <w:style w:type="character" w:customStyle="1" w:styleId="ZkladntextChar1">
    <w:name w:val="Základní text Char1"/>
    <w:link w:val="Zkladntext"/>
    <w:rPr>
      <w:rFonts w:ascii="Times New Roman" w:eastAsia="Times New Roman" w:hAnsi="Times New Roman" w:cs="Times New Roman"/>
      <w:b/>
      <w:sz w:val="28"/>
      <w:szCs w:val="20"/>
      <w:u w:val="single"/>
      <w:lang w:eastAsia="cs-CZ"/>
    </w:rPr>
  </w:style>
  <w:style w:type="table" w:styleId="Mkatabulky">
    <w:name w:val="Table Grid"/>
    <w:basedOn w:val="Normlntabulk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slostrnky">
    <w:name w:val="page number"/>
    <w:basedOn w:val="Standardnpsmoodstavce"/>
  </w:style>
  <w:style w:type="paragraph" w:customStyle="1" w:styleId="Bodsmlouvy-21">
    <w:name w:val="Bod smlouvy - 2.1"/>
    <w:pPr>
      <w:numPr>
        <w:ilvl w:val="1"/>
        <w:numId w:val="2"/>
      </w:numPr>
      <w:spacing w:after="0" w:line="240" w:lineRule="auto"/>
      <w:jc w:val="both"/>
      <w:outlineLvl w:val="1"/>
    </w:pPr>
    <w:rPr>
      <w:rFonts w:ascii="Times New Roman" w:eastAsia="Times New Roman" w:hAnsi="Times New Roman" w:cs="Times New Roman"/>
      <w:color w:val="000000"/>
      <w:sz w:val="20"/>
      <w:szCs w:val="20"/>
    </w:rPr>
  </w:style>
  <w:style w:type="paragraph" w:customStyle="1" w:styleId="lnek">
    <w:name w:val="Článek"/>
    <w:next w:val="Bodsmlouvy-21"/>
    <w:pPr>
      <w:numPr>
        <w:numId w:val="2"/>
      </w:numPr>
      <w:spacing w:before="360" w:after="360" w:line="240" w:lineRule="auto"/>
      <w:jc w:val="center"/>
    </w:pPr>
    <w:rPr>
      <w:rFonts w:ascii="Times New Roman" w:eastAsia="Times New Roman" w:hAnsi="Times New Roman" w:cs="Times New Roman"/>
      <w:b/>
      <w:color w:val="0000FF"/>
      <w:sz w:val="28"/>
      <w:szCs w:val="20"/>
    </w:rPr>
  </w:style>
  <w:style w:type="paragraph" w:customStyle="1" w:styleId="Bodsmlouvy-211">
    <w:name w:val="Bod smlouvy - 2.1.1"/>
    <w:basedOn w:val="Bodsmlouvy-21"/>
    <w:pPr>
      <w:numPr>
        <w:ilvl w:val="2"/>
      </w:numPr>
      <w:tabs>
        <w:tab w:val="num" w:pos="360"/>
        <w:tab w:val="left" w:pos="1134"/>
        <w:tab w:val="right" w:pos="9356"/>
      </w:tabs>
      <w:spacing w:after="60"/>
      <w:ind w:left="360" w:hanging="360"/>
      <w:outlineLvl w:val="2"/>
    </w:pPr>
  </w:style>
  <w:style w:type="character" w:styleId="Zdraznn">
    <w:name w:val="Emphasis"/>
    <w:basedOn w:val="Standardnpsmoodstavce"/>
    <w:uiPriority w:val="20"/>
    <w:qFormat/>
    <w:rPr>
      <w:i/>
      <w:iCs/>
    </w:rPr>
  </w:style>
  <w:style w:type="paragraph" w:styleId="Textpoznpodarou">
    <w:name w:val="footnote text"/>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sz w:val="20"/>
      <w:szCs w:val="20"/>
    </w:rPr>
  </w:style>
  <w:style w:type="character" w:styleId="Znakapoznpodarou">
    <w:name w:val="footnote reference"/>
    <w:rPr>
      <w:rFonts w:cs="Times New Roman"/>
      <w:vertAlign w:val="superscript"/>
    </w:rPr>
  </w:style>
  <w:style w:type="paragraph" w:styleId="FormtovanvHTML">
    <w:name w:val="HTML Preformatted"/>
    <w:link w:val="FormtovanvHTMLChar"/>
    <w:uiPriority w:val="99"/>
    <w:semiHidden/>
    <w:unhideWhenUsed/>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Pr>
      <w:rFonts w:ascii="Consolas" w:hAnsi="Consolas"/>
      <w:sz w:val="20"/>
      <w:szCs w:val="20"/>
    </w:rPr>
  </w:style>
  <w:style w:type="paragraph" w:styleId="Zkladntextodsazen2">
    <w:name w:val="Body Text Indent 2"/>
    <w:link w:val="Zkladntextodsazen2Char"/>
    <w:uiPriority w:val="99"/>
    <w:unhideWhenUsed/>
    <w:pPr>
      <w:spacing w:after="120" w:line="480" w:lineRule="auto"/>
      <w:ind w:left="283"/>
    </w:pPr>
  </w:style>
  <w:style w:type="character" w:customStyle="1" w:styleId="Zkladntextodsazen2Char">
    <w:name w:val="Základní text odsazený 2 Char"/>
    <w:basedOn w:val="Standardnpsmoodstavce"/>
    <w:link w:val="Zkladntextodsazen2"/>
    <w:uiPriority w:val="99"/>
  </w:style>
  <w:style w:type="paragraph" w:customStyle="1" w:styleId="rove1">
    <w:name w:val="úroveň 1"/>
    <w:pPr>
      <w:numPr>
        <w:numId w:val="5"/>
      </w:numPr>
      <w:spacing w:before="480" w:after="240" w:line="240" w:lineRule="auto"/>
    </w:pPr>
    <w:rPr>
      <w:rFonts w:ascii="Times New Roman" w:eastAsia="Times New Roman" w:hAnsi="Times New Roman" w:cs="Times New Roman"/>
      <w:b/>
      <w:bCs/>
      <w:sz w:val="24"/>
      <w:szCs w:val="24"/>
      <w:lang w:eastAsia="ar-SA"/>
    </w:rPr>
  </w:style>
  <w:style w:type="paragraph" w:customStyle="1" w:styleId="rove2">
    <w:name w:val="úroveň 2"/>
    <w:pPr>
      <w:numPr>
        <w:ilvl w:val="1"/>
        <w:numId w:val="5"/>
      </w:numPr>
      <w:spacing w:after="120" w:line="240" w:lineRule="auto"/>
      <w:jc w:val="both"/>
    </w:pPr>
    <w:rPr>
      <w:rFonts w:ascii="Times New Roman" w:eastAsia="Times New Roman" w:hAnsi="Times New Roman" w:cs="Times New Roman"/>
      <w:sz w:val="24"/>
      <w:szCs w:val="24"/>
      <w:lang w:eastAsia="ar-SA"/>
    </w:rPr>
  </w:style>
  <w:style w:type="paragraph" w:customStyle="1" w:styleId="Textkomente2">
    <w:name w:val="Text komentáře2"/>
    <w:semiHidden/>
    <w:unhideWhenUsed/>
    <w:pPr>
      <w:spacing w:after="0" w:line="240" w:lineRule="auto"/>
    </w:pPr>
    <w:rPr>
      <w:rFonts w:ascii="Times New Roman" w:eastAsia="Times New Roman" w:hAnsi="Times New Roman" w:cs="Times New Roman"/>
      <w:sz w:val="20"/>
      <w:szCs w:val="20"/>
      <w:lang w:eastAsia="ar-SA"/>
    </w:rPr>
  </w:style>
  <w:style w:type="character" w:customStyle="1" w:styleId="TextkomenteChar2">
    <w:name w:val="Text komentáře Char2"/>
    <w:basedOn w:val="Standardnpsmoodstavce"/>
    <w:semiHidden/>
    <w:rPr>
      <w:rFonts w:ascii="Times New Roman" w:eastAsia="Times New Roman" w:hAnsi="Times New Roman" w:cs="Times New Roman"/>
      <w:sz w:val="20"/>
      <w:szCs w:val="20"/>
    </w:rPr>
  </w:style>
  <w:style w:type="character" w:customStyle="1" w:styleId="OdstavecseseznamemChar">
    <w:name w:val="Odstavec se seznamem Char"/>
    <w:link w:val="Odstavecseseznamem"/>
    <w:uiPriority w:val="34"/>
  </w:style>
  <w:style w:type="character" w:customStyle="1" w:styleId="docdata">
    <w:name w:val="docdata"/>
    <w:basedOn w:val="Standardnpsmoodstavce"/>
  </w:style>
  <w:style w:type="paragraph" w:styleId="Revize">
    <w:name w:val="Revision"/>
    <w:hidden/>
    <w:uiPriority w:val="99"/>
    <w:semiHidden/>
    <w:pPr>
      <w:spacing w:after="0" w:line="240" w:lineRule="auto"/>
    </w:pPr>
  </w:style>
  <w:style w:type="paragraph" w:styleId="Podnadpis">
    <w:name w:val="Subtitle"/>
    <w:basedOn w:val="Normln"/>
    <w:next w:val="Normln"/>
    <w:uiPriority w:val="11"/>
    <w:qFormat/>
    <w:pPr>
      <w:spacing w:before="200"/>
    </w:pPr>
    <w:rPr>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Arial"/>
        <a:cs typeface="Arial"/>
      </a:majorFont>
      <a:minorFont>
        <a:latin typeface="Calibri"/>
        <a:ea typeface="Arial"/>
        <a:cs typeface="Arial"/>
      </a:minorFont>
    </a:fontScheme>
    <a:fmtScheme name="Kancelář">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Lz+QwiFCRk2MS2wtPFvCD9Abg==">CgMxLjA4AHIhMXVRdEJrbENkRVFVX01sTGxQVmlnRTcxM0FBSWs5bVBW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3750</Words>
  <Characters>22129</Characters>
  <Application>Microsoft Office Word</Application>
  <DocSecurity>0</DocSecurity>
  <Lines>184</Lines>
  <Paragraphs>51</Paragraphs>
  <ScaleCrop>false</ScaleCrop>
  <Company>Západočeská univerzita v Plzni</Company>
  <LinksUpToDate>false</LinksUpToDate>
  <CharactersWithSpaces>25828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mslapak</dc:creator>
  <cp:lastModifiedBy>Václava Vlková</cp:lastModifiedBy>
  <cp:revision>2</cp:revision>
  <dcterms:created xsi:type="dcterms:W3CDTF">2025-12-08T07:16:00Z</dcterms:created>
  <dcterms:modified xsi:type="dcterms:W3CDTF">2025-12-08T07:16:00Z</dcterms:modified>
</cp:coreProperties>
</file>