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-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410FA">
        <w:trPr>
          <w:cantSplit/>
          <w:trHeight w:val="916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72A1C1C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F907E8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  <w:r w:rsidR="00566C97">
              <w:rPr>
                <w:rFonts w:cs="Georgia"/>
                <w:b/>
                <w:bCs/>
                <w:color w:val="000000"/>
                <w:sz w:val="43"/>
                <w:szCs w:val="43"/>
              </w:rPr>
              <w:t>65</w:t>
            </w:r>
          </w:p>
          <w:p w14:paraId="2F732358" w14:textId="66797318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265C74" w:rsidRPr="00265C74">
              <w:rPr>
                <w:rFonts w:cs="Georgia"/>
                <w:color w:val="000000"/>
                <w:sz w:val="20"/>
                <w:szCs w:val="20"/>
              </w:rPr>
              <w:t>ŘVC/58/2021/OSE-29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934" w:rsidRPr="00E24129" w14:paraId="0E225351" w14:textId="77777777" w:rsidTr="005410FA">
        <w:trPr>
          <w:cantSplit/>
          <w:trHeight w:val="172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731934" w:rsidRPr="00651FA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30E55D8C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C11CFA2" w:rsidR="00731934" w:rsidRPr="00BB0921" w:rsidRDefault="00566C9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66C97">
              <w:rPr>
                <w:rFonts w:cs="Georgia"/>
                <w:b/>
                <w:color w:val="000000"/>
              </w:rPr>
              <w:t>UNICODE SYSTEMS s.r.o.</w:t>
            </w:r>
          </w:p>
        </w:tc>
      </w:tr>
      <w:tr w:rsidR="00731934" w:rsidRPr="00E24129" w14:paraId="400616F4" w14:textId="77777777" w:rsidTr="005410FA">
        <w:trPr>
          <w:cantSplit/>
          <w:trHeight w:val="172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731934" w:rsidRPr="00566F6C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16241564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C02CE56" w:rsidR="00731934" w:rsidRPr="00BB0921" w:rsidRDefault="00566C9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66C97">
              <w:t>Průmyslová zóna 161</w:t>
            </w:r>
          </w:p>
        </w:tc>
      </w:tr>
      <w:tr w:rsidR="00731934" w:rsidRPr="00E24129" w14:paraId="650D2C55" w14:textId="77777777" w:rsidTr="005410FA">
        <w:trPr>
          <w:cantSplit/>
          <w:trHeight w:val="172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319A987" w:rsidR="00731934" w:rsidRPr="00BB0921" w:rsidRDefault="00566C9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66C97">
              <w:t>Třebíč, PSČ 674 01</w:t>
            </w:r>
          </w:p>
        </w:tc>
      </w:tr>
      <w:tr w:rsidR="00731934" w:rsidRPr="00E24129" w14:paraId="4508AEFA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731934" w:rsidRPr="00BC6B0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2D6C29DB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C0FACE7" w:rsidR="00731934" w:rsidRPr="00BB0921" w:rsidRDefault="00566C9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66C97">
              <w:t>262 249 92</w:t>
            </w:r>
          </w:p>
        </w:tc>
      </w:tr>
      <w:tr w:rsidR="00731934" w:rsidRPr="00E24129" w14:paraId="3867A745" w14:textId="77777777" w:rsidTr="005410FA">
        <w:trPr>
          <w:cantSplit/>
          <w:trHeight w:val="172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5C8D6E41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53E84395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EC05F6">
              <w:t>CZ</w:t>
            </w:r>
            <w:r w:rsidR="00566C97">
              <w:t xml:space="preserve"> </w:t>
            </w:r>
            <w:r w:rsidR="00566C97" w:rsidRPr="00566C97">
              <w:t>262 249 92</w:t>
            </w:r>
          </w:p>
        </w:tc>
      </w:tr>
      <w:tr w:rsidR="00731934" w:rsidRPr="00E24129" w14:paraId="5A4BFDC1" w14:textId="77777777" w:rsidTr="005410FA">
        <w:trPr>
          <w:cantSplit/>
          <w:trHeight w:val="172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5870C7D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3366B8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566C97" w:rsidRPr="00E24129" w14:paraId="48B76563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566C97" w:rsidRPr="00AF7E54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DDFBD43" w:rsidR="00566C97" w:rsidRPr="00AF7E54" w:rsidRDefault="00132A74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2DF7C1F8" w:rsidR="00566C97" w:rsidRPr="00BB0921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950896C" w:rsidR="00566C97" w:rsidRPr="00BB0921" w:rsidRDefault="00132A74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Calibri"/>
                <w:color w:val="000000"/>
              </w:rPr>
              <w:t>xxxx</w:t>
            </w:r>
          </w:p>
        </w:tc>
      </w:tr>
      <w:tr w:rsidR="00566C97" w:rsidRPr="00E24129" w14:paraId="192B000C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566C97" w:rsidRPr="00AF7E54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E53C949" w:rsidR="00566C97" w:rsidRPr="00AF7E54" w:rsidRDefault="00132A74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281E2AC3" w:rsidR="00566C97" w:rsidRPr="00BB0921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0D25D38" w:rsidR="00566C97" w:rsidRPr="00BB0921" w:rsidRDefault="00132A74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Calibri"/>
                <w:color w:val="000000"/>
              </w:rPr>
              <w:t>xxxx</w:t>
            </w:r>
          </w:p>
        </w:tc>
      </w:tr>
      <w:tr w:rsidR="00566C97" w:rsidRPr="00E24129" w14:paraId="777C17EA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566C97" w:rsidRPr="00AF7E54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A9330DC" w:rsidR="00566C97" w:rsidRPr="00AF7E54" w:rsidRDefault="00132A74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03700EB0" w:rsidR="00566C97" w:rsidRPr="00BB0921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CA8F5A6" w:rsidR="00566C97" w:rsidRPr="00BB0921" w:rsidRDefault="00132A74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Calibri"/>
                <w:color w:val="000000"/>
              </w:rPr>
              <w:t>xxxx</w:t>
            </w:r>
          </w:p>
        </w:tc>
      </w:tr>
      <w:tr w:rsidR="00566C97" w:rsidRPr="00E24129" w14:paraId="25614343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566C97" w:rsidRPr="00BB0921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45CA289" w:rsidR="00566C97" w:rsidRPr="00BB0921" w:rsidRDefault="00132A74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05B55A13" w:rsidR="00566C97" w:rsidRPr="00BB0921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B0F1E03" w:rsidR="00566C97" w:rsidRPr="00BB0921" w:rsidRDefault="00132A74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Calibri"/>
                <w:color w:val="000000"/>
              </w:rPr>
              <w:t>xxxx</w:t>
            </w:r>
          </w:p>
        </w:tc>
      </w:tr>
      <w:tr w:rsidR="00731934" w:rsidRPr="00E24129" w14:paraId="0ADA6F16" w14:textId="77777777" w:rsidTr="005410FA">
        <w:trPr>
          <w:cantSplit/>
          <w:trHeight w:val="172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731934" w:rsidRPr="00731934" w:rsidRDefault="00731934" w:rsidP="005410FA">
            <w:pPr>
              <w:pStyle w:val="Nadpis3"/>
              <w:spacing w:before="0" w:beforeAutospacing="0" w:after="0" w:afterAutospacing="0"/>
              <w:ind w:left="67"/>
              <w:rPr>
                <w:rFonts w:ascii="Calibri" w:hAnsi="Calibri"/>
                <w:b w:val="0"/>
                <w:sz w:val="16"/>
                <w:szCs w:val="16"/>
                <w:highlight w:val="yellow"/>
                <w:lang w:val="cs-CZ" w:eastAsia="cs-CZ"/>
              </w:rPr>
            </w:pPr>
            <w:r w:rsidRPr="0073193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CA0D1D1" w14:textId="77777777" w:rsidR="00566C97" w:rsidRPr="00566C97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66C97">
              <w:rPr>
                <w:rFonts w:cs="Georgia"/>
                <w:color w:val="000000"/>
              </w:rPr>
              <w:t xml:space="preserve">Spisová značka: </w:t>
            </w:r>
          </w:p>
          <w:p w14:paraId="0CBB5C8E" w14:textId="609DF7B8" w:rsidR="00731934" w:rsidRPr="00731934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566C97">
              <w:rPr>
                <w:rFonts w:cs="Georgia"/>
                <w:color w:val="000000"/>
              </w:rPr>
              <w:t>C 38195 vedená u Krajského soudu v 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5481E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447AB5" w14:paraId="297EA611" w14:textId="77777777" w:rsidTr="0055481E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E1C5C7B" w14:textId="0BF46772" w:rsidR="00566C97" w:rsidRDefault="00566C97" w:rsidP="00F907E8">
            <w:pPr>
              <w:tabs>
                <w:tab w:val="left" w:pos="1418"/>
              </w:tabs>
              <w:jc w:val="both"/>
            </w:pPr>
            <w:r>
              <w:t xml:space="preserve">Na základě Vaší nabídky č. </w:t>
            </w:r>
            <w:r w:rsidRPr="00566C97">
              <w:t>NAB-25-154</w:t>
            </w:r>
            <w:r>
              <w:t xml:space="preserve"> pokladní systém </w:t>
            </w:r>
            <w:r w:rsidR="00411477" w:rsidRPr="00411477">
              <w:t>POS SHOP 2000</w:t>
            </w:r>
            <w:r w:rsidR="00411477">
              <w:t xml:space="preserve"> </w:t>
            </w:r>
            <w:r>
              <w:t xml:space="preserve">pro prodej služeb na novém servisním plavidle RVC PRAHA, integrovaný do </w:t>
            </w:r>
            <w:r w:rsidR="00593F6D">
              <w:t xml:space="preserve">stávajícího </w:t>
            </w:r>
            <w:r>
              <w:t xml:space="preserve">serverového řešení </w:t>
            </w:r>
            <w:r w:rsidRPr="00566C97">
              <w:t>FUEL 2000 Enterprise</w:t>
            </w:r>
            <w:r>
              <w:t xml:space="preserve"> </w:t>
            </w:r>
            <w:r w:rsidR="00593F6D">
              <w:t xml:space="preserve">poskytovaného </w:t>
            </w:r>
            <w:r w:rsidR="00593F6D" w:rsidRPr="00593F6D">
              <w:t>UNICODE SYSTEMS s.r.o.</w:t>
            </w:r>
            <w:r w:rsidR="00593F6D">
              <w:t xml:space="preserve">, </w:t>
            </w:r>
            <w:r>
              <w:t xml:space="preserve">využívaného pro dálkovou správu </w:t>
            </w:r>
            <w:r w:rsidR="00593F6D">
              <w:t xml:space="preserve">a monitoring </w:t>
            </w:r>
            <w:r>
              <w:t xml:space="preserve">servisních center </w:t>
            </w:r>
            <w:r w:rsidR="00593F6D">
              <w:t xml:space="preserve">a tankovacích stanic </w:t>
            </w:r>
            <w:r>
              <w:t>ŘVC, zahrnující:</w:t>
            </w:r>
          </w:p>
          <w:tbl>
            <w:tblPr>
              <w:tblW w:w="1170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3"/>
              <w:gridCol w:w="5737"/>
              <w:gridCol w:w="160"/>
              <w:gridCol w:w="1520"/>
              <w:gridCol w:w="1277"/>
              <w:gridCol w:w="330"/>
              <w:gridCol w:w="1520"/>
            </w:tblGrid>
            <w:tr w:rsidR="00411477" w14:paraId="356EAC4F" w14:textId="77777777" w:rsidTr="00411477">
              <w:trPr>
                <w:trHeight w:val="266"/>
              </w:trPr>
              <w:tc>
                <w:tcPr>
                  <w:tcW w:w="116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D27C8F4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  <w:t>Položka</w:t>
                  </w:r>
                </w:p>
              </w:tc>
              <w:tc>
                <w:tcPr>
                  <w:tcW w:w="5760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A5505E5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ACFE015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3D460D2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  <w:t>Množství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5930DF1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  <w:t>Cena za jednotku</w:t>
                  </w: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F2E7C9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b/>
                      <w:bCs/>
                      <w:color w:val="000000"/>
                      <w:sz w:val="16"/>
                      <w:szCs w:val="16"/>
                    </w:rPr>
                    <w:t>Cena celkem</w:t>
                  </w:r>
                </w:p>
              </w:tc>
            </w:tr>
            <w:tr w:rsidR="00411477" w14:paraId="43E89635" w14:textId="77777777" w:rsidTr="00411477">
              <w:trPr>
                <w:trHeight w:val="266"/>
              </w:trPr>
              <w:tc>
                <w:tcPr>
                  <w:tcW w:w="1166" w:type="dxa"/>
                  <w:gridSpan w:val="3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1D52B7D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05-01-001 POS/SERVER NIXDORF/6x COM vč. redukcí/4 +2 x USB/i3/2 x HDD 256 SSD</w:t>
                  </w: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9B4877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DBD6A59" w14:textId="1E9F733A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6A59FD1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AF0D35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28 900,00 Kč</w:t>
                  </w:r>
                </w:p>
              </w:tc>
            </w:tr>
            <w:tr w:rsidR="00411477" w14:paraId="3F58ABB2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CD754C8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05-01-005 Dotykové zařízení ELO 1519L, 15,6" dotykový monitor, USB&amp;RS232, iTouch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FA42FA9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8C548C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385C0B9" w14:textId="5F71180F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D3F6F84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5A613F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15 800,00 Kč</w:t>
                  </w:r>
                </w:p>
              </w:tc>
            </w:tr>
            <w:tr w:rsidR="00411477" w14:paraId="4CD8AEDD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7BF91A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05-01-007 Scanner ZEBRA DS 2208 IID vč. stojánku - zboží, QR, čtení z mobilu (USB)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1D91F23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18C3964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B82633B" w14:textId="203BF47C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425BE38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6FF57D0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4 200,00 Kč</w:t>
                  </w:r>
                </w:p>
              </w:tc>
            </w:tr>
            <w:tr w:rsidR="00411477" w14:paraId="2B17A38E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FB92822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05-01-010 Alfanumerický displej PCU-VFD 2x20, 5902, na noze, externí (COM)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9264CC0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D5B1214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9D1692C" w14:textId="2033F91B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1BCAA01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DD2CD3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5 900,00 Kč</w:t>
                  </w:r>
                </w:p>
              </w:tc>
            </w:tr>
            <w:tr w:rsidR="00411477" w14:paraId="7BC871F3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4EA39A1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05-01-013 Pokladní tiskárna Epson TM-88V, termo (COM)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463726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6285A64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5209608" w14:textId="4658A713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E28735E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0DEBB6A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9 800,00 Kč</w:t>
                  </w:r>
                </w:p>
              </w:tc>
            </w:tr>
            <w:tr w:rsidR="00411477" w14:paraId="15469E0D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3C86A11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05-01-009 Snímač RF karet  - přístavní karta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0B3CD1B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CD047DE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D61FF4B" w14:textId="612670B4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38BAC72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0638733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8 900,00 Kč</w:t>
                  </w:r>
                </w:p>
              </w:tc>
            </w:tr>
            <w:tr w:rsidR="00411477" w14:paraId="3B2438BE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12A0920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05-01-022 UPS Centrální  typ ONLINE  - zajišťuje ŘVC ČR / dodavatel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A9FD26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0577849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6AE4B35" w14:textId="4D53281F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787FD0F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703E2E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11477" w14:paraId="5EC3FA84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7A1AAC9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01-01-001 SW - Pokladna SHOP 2000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C857393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6AFC99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0D54AA5" w14:textId="7FF0442C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19D7CE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1CD5F0B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65 000,00 Kč</w:t>
                  </w:r>
                </w:p>
              </w:tc>
            </w:tr>
            <w:tr w:rsidR="00411477" w14:paraId="467450D2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F6E8BC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Integrace přístavní karty   do systém SHOP 2000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283B34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181578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A079A60" w14:textId="0E5F463D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0BA47E4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564C8B3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20 000,00 Kč</w:t>
                  </w:r>
                </w:p>
              </w:tc>
            </w:tr>
            <w:tr w:rsidR="00411477" w14:paraId="736C153B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74D614D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Konfigurace centrály FUEL 2000 Enterprise - další stanice v pořadí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1A16910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8485BF5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AFCBB58" w14:textId="25637E5A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CABE3AE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94A535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8 900,00 Kč</w:t>
                  </w:r>
                </w:p>
              </w:tc>
            </w:tr>
            <w:tr w:rsidR="00411477" w14:paraId="47DA4951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477767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03-01-002 Instalační skříň pro hardware komunikace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E5B5CC4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202ACB0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BA79B7A" w14:textId="59D4B805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804725C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DA4017F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2 500,00 Kč</w:t>
                  </w:r>
                </w:p>
              </w:tc>
            </w:tr>
            <w:tr w:rsidR="00411477" w14:paraId="49C6266F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C3B7CB9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03-02-009 Interface pro stojany s elektron./kom.protok. MODBUS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41B6C5C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B18B7EC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E54C2E7" w14:textId="623E0E15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4C626F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0D15568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21 900,00 Kč</w:t>
                  </w:r>
                </w:p>
              </w:tc>
            </w:tr>
            <w:tr w:rsidR="00411477" w14:paraId="5BC3403E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1BD5E3E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06-03-001 Školení SHOP 2000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C41A48C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D5274C3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F5637E1" w14:textId="79E7EBF4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9AA80D0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D1C8FBE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5 000,00 Kč</w:t>
                  </w:r>
                </w:p>
              </w:tc>
            </w:tr>
            <w:tr w:rsidR="00411477" w14:paraId="61365F63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C846AA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06-03-003 Manuál SHOP 2000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95DC1DC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CE2EA32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83F2866" w14:textId="58EFFFC2" w:rsidR="00411477" w:rsidRDefault="00BC4981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9FDBFA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6AE210B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1 500,00 Kč</w:t>
                  </w:r>
                </w:p>
              </w:tc>
            </w:tr>
            <w:tr w:rsidR="00411477" w14:paraId="7B10C7B3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7DF6423C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06-02-001 Instalace - oživení  ČR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29FFBC18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52DFB378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1 ks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6AF4D8C2" w14:textId="79FF51C7" w:rsidR="00411477" w:rsidRDefault="00BC4981" w:rsidP="00BC49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E2C8655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1D2A4E76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22 000,00 Kč</w:t>
                  </w:r>
                </w:p>
              </w:tc>
            </w:tr>
            <w:tr w:rsidR="00411477" w14:paraId="5BD2439F" w14:textId="77777777" w:rsidTr="00411477">
              <w:trPr>
                <w:trHeight w:val="266"/>
              </w:trPr>
              <w:tc>
                <w:tcPr>
                  <w:tcW w:w="1166" w:type="dxa"/>
                  <w:gridSpan w:val="2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DCA1F21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06-02-005 Dopravné dle skutečnosti 15 Kč á km</w:t>
                  </w:r>
                </w:p>
              </w:tc>
              <w:tc>
                <w:tcPr>
                  <w:tcW w:w="11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22CAEC3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07391715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82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34372280" w14:textId="019FF7DC" w:rsidR="00411477" w:rsidRDefault="00BC4981" w:rsidP="00BC49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>xxxx</w:t>
                  </w:r>
                  <w:r w:rsidR="00411477">
                    <w:rPr>
                      <w:rFonts w:ascii="Gill Sans MT" w:hAnsi="Gill Sans MT" w:cs="Gill Sans MT"/>
                      <w:color w:val="333333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331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23356DE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6" w:space="0" w:color="C0C0C0"/>
                    <w:left w:val="nil"/>
                    <w:bottom w:val="single" w:sz="6" w:space="0" w:color="C0C0C0"/>
                    <w:right w:val="nil"/>
                  </w:tcBorders>
                </w:tcPr>
                <w:p w14:paraId="46984D17" w14:textId="77777777" w:rsidR="00411477" w:rsidRDefault="00411477" w:rsidP="00411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Gill Sans MT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</w:tbl>
          <w:p w14:paraId="52412D96" w14:textId="7698EFB3" w:rsidR="004E666E" w:rsidRPr="004E666E" w:rsidRDefault="004E666E" w:rsidP="00411477">
            <w:pPr>
              <w:pStyle w:val="Odstavecseseznamem"/>
              <w:tabs>
                <w:tab w:val="left" w:pos="1418"/>
              </w:tabs>
              <w:ind w:left="1773"/>
              <w:jc w:val="both"/>
              <w:rPr>
                <w:rFonts w:cs="Georgia"/>
              </w:rPr>
            </w:pPr>
          </w:p>
        </w:tc>
      </w:tr>
      <w:tr w:rsidR="00411477" w:rsidRPr="00447AB5" w14:paraId="2BA45496" w14:textId="77777777" w:rsidTr="0055481E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00489A07" w14:textId="0FCFB5C6" w:rsidR="00411477" w:rsidRDefault="00411477" w:rsidP="00411477">
            <w:pPr>
              <w:tabs>
                <w:tab w:val="left" w:pos="1418"/>
              </w:tabs>
              <w:jc w:val="both"/>
            </w:pPr>
            <w:r>
              <w:lastRenderedPageBreak/>
              <w:t xml:space="preserve">Na základě Vaší nabídky č. </w:t>
            </w:r>
            <w:r w:rsidRPr="00566C97">
              <w:t>NAB-25-15</w:t>
            </w:r>
            <w:r>
              <w:t xml:space="preserve">3 </w:t>
            </w:r>
            <w:r w:rsidRPr="00411477">
              <w:t>Vývoj komunikace MODBUS / SHOP 2000 / výdej vody</w:t>
            </w:r>
            <w:r>
              <w:t xml:space="preserve"> v podobě vývoje rozhraní mezi palubním systémem měření úrovní v tancích a průtoků vody realizovaným firmou </w:t>
            </w:r>
            <w:r w:rsidRPr="00411477">
              <w:t>Berg Maritieme Meetsystemen BV</w:t>
            </w:r>
            <w:r>
              <w:t xml:space="preserve"> a pokladním systémem </w:t>
            </w:r>
            <w:r w:rsidRPr="00411477">
              <w:t xml:space="preserve">SHOP 2000 </w:t>
            </w:r>
            <w:r>
              <w:t>na novém servisním plavidle RVC PRAHA, zahrnující:</w:t>
            </w:r>
          </w:p>
          <w:tbl>
            <w:tblPr>
              <w:tblW w:w="84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9"/>
              <w:gridCol w:w="2551"/>
              <w:gridCol w:w="1520"/>
              <w:gridCol w:w="1440"/>
            </w:tblGrid>
            <w:tr w:rsidR="00593F6D" w:rsidRPr="00593F6D" w14:paraId="6B194613" w14:textId="77777777" w:rsidTr="00593F6D">
              <w:trPr>
                <w:trHeight w:val="286"/>
              </w:trPr>
              <w:tc>
                <w:tcPr>
                  <w:tcW w:w="2939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vAlign w:val="center"/>
                  <w:hideMark/>
                </w:tcPr>
                <w:p w14:paraId="05CD2B74" w14:textId="77777777" w:rsidR="00593F6D" w:rsidRPr="00593F6D" w:rsidRDefault="00593F6D" w:rsidP="00593F6D">
                  <w:pPr>
                    <w:spacing w:after="0" w:line="240" w:lineRule="auto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b/>
                      <w:bCs/>
                      <w:color w:val="D2090F"/>
                      <w:sz w:val="16"/>
                      <w:szCs w:val="16"/>
                    </w:rPr>
                    <w:t>Položka</w:t>
                  </w:r>
                </w:p>
              </w:tc>
              <w:tc>
                <w:tcPr>
                  <w:tcW w:w="2551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vAlign w:val="center"/>
                  <w:hideMark/>
                </w:tcPr>
                <w:p w14:paraId="2B08A422" w14:textId="77777777" w:rsidR="00593F6D" w:rsidRPr="00593F6D" w:rsidRDefault="00593F6D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b/>
                      <w:bCs/>
                      <w:color w:val="D2090F"/>
                      <w:sz w:val="16"/>
                      <w:szCs w:val="16"/>
                    </w:rPr>
                    <w:t>Množství</w:t>
                  </w:r>
                </w:p>
              </w:tc>
              <w:tc>
                <w:tcPr>
                  <w:tcW w:w="1520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vAlign w:val="center"/>
                  <w:hideMark/>
                </w:tcPr>
                <w:p w14:paraId="058D7F87" w14:textId="77777777" w:rsidR="00593F6D" w:rsidRPr="00593F6D" w:rsidRDefault="00593F6D" w:rsidP="00593F6D">
                  <w:pPr>
                    <w:spacing w:after="0" w:line="240" w:lineRule="auto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b/>
                      <w:bCs/>
                      <w:color w:val="D2090F"/>
                      <w:sz w:val="16"/>
                      <w:szCs w:val="16"/>
                    </w:rPr>
                    <w:t>Cena za jednotku</w:t>
                  </w:r>
                </w:p>
              </w:tc>
              <w:tc>
                <w:tcPr>
                  <w:tcW w:w="1440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vAlign w:val="center"/>
                  <w:hideMark/>
                </w:tcPr>
                <w:p w14:paraId="206202FC" w14:textId="77777777" w:rsidR="00593F6D" w:rsidRPr="00593F6D" w:rsidRDefault="00593F6D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b/>
                      <w:bCs/>
                      <w:color w:val="D2090F"/>
                      <w:sz w:val="16"/>
                      <w:szCs w:val="16"/>
                    </w:rPr>
                    <w:t>Cena celkem</w:t>
                  </w:r>
                </w:p>
              </w:tc>
            </w:tr>
            <w:tr w:rsidR="00593F6D" w:rsidRPr="00593F6D" w14:paraId="574E8079" w14:textId="77777777" w:rsidTr="00593F6D">
              <w:trPr>
                <w:trHeight w:val="286"/>
              </w:trPr>
              <w:tc>
                <w:tcPr>
                  <w:tcW w:w="2939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43A24083" w14:textId="77777777" w:rsidR="00593F6D" w:rsidRPr="00593F6D" w:rsidRDefault="00593F6D" w:rsidP="00593F6D">
                  <w:pPr>
                    <w:spacing w:after="0" w:line="240" w:lineRule="auto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Analytické práce</w:t>
                  </w:r>
                </w:p>
              </w:tc>
              <w:tc>
                <w:tcPr>
                  <w:tcW w:w="2551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4291B3F0" w14:textId="77777777" w:rsidR="00593F6D" w:rsidRPr="00593F6D" w:rsidRDefault="00593F6D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1,50 MD</w:t>
                  </w:r>
                </w:p>
              </w:tc>
              <w:tc>
                <w:tcPr>
                  <w:tcW w:w="1520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6AB0C990" w14:textId="158EFE22" w:rsidR="00593F6D" w:rsidRPr="00593F6D" w:rsidRDefault="00BC4981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1B318F2D" w14:textId="37B959F3" w:rsidR="00593F6D" w:rsidRPr="00593F6D" w:rsidRDefault="00BC4981" w:rsidP="00593F6D">
                  <w:pPr>
                    <w:spacing w:after="0" w:line="240" w:lineRule="auto"/>
                    <w:jc w:val="right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</w:tr>
            <w:tr w:rsidR="00593F6D" w:rsidRPr="00593F6D" w14:paraId="1557849B" w14:textId="77777777" w:rsidTr="00593F6D">
              <w:trPr>
                <w:trHeight w:val="286"/>
              </w:trPr>
              <w:tc>
                <w:tcPr>
                  <w:tcW w:w="2939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79A3749A" w14:textId="77777777" w:rsidR="00593F6D" w:rsidRPr="00593F6D" w:rsidRDefault="00593F6D" w:rsidP="00593F6D">
                  <w:pPr>
                    <w:spacing w:after="0" w:line="240" w:lineRule="auto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Vývoj</w:t>
                  </w:r>
                </w:p>
              </w:tc>
              <w:tc>
                <w:tcPr>
                  <w:tcW w:w="2551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0EBD1F33" w14:textId="77777777" w:rsidR="00593F6D" w:rsidRPr="00593F6D" w:rsidRDefault="00593F6D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6 MD</w:t>
                  </w:r>
                </w:p>
              </w:tc>
              <w:tc>
                <w:tcPr>
                  <w:tcW w:w="1520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0862A6B2" w14:textId="0A445AF2" w:rsidR="00593F6D" w:rsidRPr="00593F6D" w:rsidRDefault="00BC4981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4BA1B2DC" w14:textId="719B2C1C" w:rsidR="00593F6D" w:rsidRPr="00593F6D" w:rsidRDefault="00BC4981" w:rsidP="00593F6D">
                  <w:pPr>
                    <w:spacing w:after="0" w:line="240" w:lineRule="auto"/>
                    <w:jc w:val="right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</w:tr>
            <w:tr w:rsidR="00593F6D" w:rsidRPr="00593F6D" w14:paraId="5EE9937E" w14:textId="77777777" w:rsidTr="00593F6D">
              <w:trPr>
                <w:trHeight w:val="286"/>
              </w:trPr>
              <w:tc>
                <w:tcPr>
                  <w:tcW w:w="2939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5986EA40" w14:textId="77777777" w:rsidR="00593F6D" w:rsidRPr="00593F6D" w:rsidRDefault="00593F6D" w:rsidP="00593F6D">
                  <w:pPr>
                    <w:spacing w:after="0" w:line="240" w:lineRule="auto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Testy</w:t>
                  </w:r>
                </w:p>
              </w:tc>
              <w:tc>
                <w:tcPr>
                  <w:tcW w:w="2551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27D57F14" w14:textId="77777777" w:rsidR="00593F6D" w:rsidRPr="00593F6D" w:rsidRDefault="00593F6D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2 MD</w:t>
                  </w:r>
                </w:p>
              </w:tc>
              <w:tc>
                <w:tcPr>
                  <w:tcW w:w="1520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4478F656" w14:textId="56577C48" w:rsidR="00593F6D" w:rsidRPr="00593F6D" w:rsidRDefault="00BC4981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6F8F1370" w14:textId="411677C4" w:rsidR="00593F6D" w:rsidRPr="00593F6D" w:rsidRDefault="00BC4981" w:rsidP="00593F6D">
                  <w:pPr>
                    <w:spacing w:after="0" w:line="240" w:lineRule="auto"/>
                    <w:jc w:val="right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</w:tr>
            <w:tr w:rsidR="00593F6D" w:rsidRPr="00593F6D" w14:paraId="1A722D8B" w14:textId="77777777" w:rsidTr="00593F6D">
              <w:trPr>
                <w:trHeight w:val="286"/>
              </w:trPr>
              <w:tc>
                <w:tcPr>
                  <w:tcW w:w="2939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41CC2084" w14:textId="77777777" w:rsidR="00593F6D" w:rsidRPr="00593F6D" w:rsidRDefault="00593F6D" w:rsidP="00593F6D">
                  <w:pPr>
                    <w:spacing w:after="0" w:line="240" w:lineRule="auto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Projekt management</w:t>
                  </w:r>
                </w:p>
              </w:tc>
              <w:tc>
                <w:tcPr>
                  <w:tcW w:w="2551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4F083654" w14:textId="77777777" w:rsidR="00593F6D" w:rsidRPr="00593F6D" w:rsidRDefault="00593F6D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1 MD</w:t>
                  </w:r>
                </w:p>
              </w:tc>
              <w:tc>
                <w:tcPr>
                  <w:tcW w:w="1520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09190E35" w14:textId="138C15C1" w:rsidR="00593F6D" w:rsidRPr="00593F6D" w:rsidRDefault="00BC4981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2142CAFE" w14:textId="4C64C972" w:rsidR="00593F6D" w:rsidRPr="00593F6D" w:rsidRDefault="00BC4981" w:rsidP="00593F6D">
                  <w:pPr>
                    <w:spacing w:after="0" w:line="240" w:lineRule="auto"/>
                    <w:jc w:val="right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</w:tr>
            <w:tr w:rsidR="00593F6D" w:rsidRPr="00593F6D" w14:paraId="7ECD1619" w14:textId="77777777" w:rsidTr="00593F6D">
              <w:trPr>
                <w:trHeight w:val="286"/>
              </w:trPr>
              <w:tc>
                <w:tcPr>
                  <w:tcW w:w="2939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2949FAF9" w14:textId="77777777" w:rsidR="00593F6D" w:rsidRPr="00593F6D" w:rsidRDefault="00593F6D" w:rsidP="00593F6D">
                  <w:pPr>
                    <w:spacing w:after="0" w:line="240" w:lineRule="auto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Infrastruktura</w:t>
                  </w:r>
                </w:p>
              </w:tc>
              <w:tc>
                <w:tcPr>
                  <w:tcW w:w="2551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162DF541" w14:textId="77777777" w:rsidR="00593F6D" w:rsidRPr="00593F6D" w:rsidRDefault="00593F6D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593F6D"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1 MD</w:t>
                  </w:r>
                </w:p>
              </w:tc>
              <w:tc>
                <w:tcPr>
                  <w:tcW w:w="1520" w:type="dxa"/>
                  <w:tcBorders>
                    <w:top w:val="single" w:sz="4" w:space="0" w:color="CFCDCD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7C268D6F" w14:textId="127490C1" w:rsidR="00593F6D" w:rsidRPr="00593F6D" w:rsidRDefault="00BC4981" w:rsidP="00593F6D">
                  <w:pPr>
                    <w:spacing w:after="0" w:line="240" w:lineRule="auto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CFCDCD"/>
                    <w:right w:val="nil"/>
                  </w:tcBorders>
                  <w:hideMark/>
                </w:tcPr>
                <w:p w14:paraId="6E0CDED2" w14:textId="71994931" w:rsidR="00593F6D" w:rsidRPr="00593F6D" w:rsidRDefault="00BC4981" w:rsidP="00593F6D">
                  <w:pPr>
                    <w:spacing w:after="0" w:line="240" w:lineRule="auto"/>
                    <w:jc w:val="right"/>
                    <w:rPr>
                      <w:rFonts w:ascii="Gill Sans MT" w:hAnsi="Gill Sans MT"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color w:val="565655"/>
                      <w:sz w:val="16"/>
                      <w:szCs w:val="16"/>
                    </w:rPr>
                    <w:t>xxxx</w:t>
                  </w:r>
                </w:p>
              </w:tc>
            </w:tr>
          </w:tbl>
          <w:p w14:paraId="14450572" w14:textId="77777777" w:rsidR="00411477" w:rsidRDefault="00411477" w:rsidP="00411477">
            <w:pPr>
              <w:tabs>
                <w:tab w:val="left" w:pos="1418"/>
              </w:tabs>
              <w:jc w:val="both"/>
            </w:pPr>
          </w:p>
          <w:p w14:paraId="5DA15D63" w14:textId="09B9E9BB" w:rsidR="00593F6D" w:rsidRDefault="00593F6D" w:rsidP="00411477">
            <w:pPr>
              <w:tabs>
                <w:tab w:val="left" w:pos="1418"/>
              </w:tabs>
              <w:jc w:val="both"/>
            </w:pPr>
            <w:r>
              <w:t>Fakturován bude skutečný rozsah dodávek a poskytnutých služeb.</w:t>
            </w:r>
          </w:p>
          <w:p w14:paraId="3854E364" w14:textId="135D606B" w:rsidR="00411477" w:rsidRPr="00447AB5" w:rsidRDefault="00411477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98229D" w:rsidRPr="00447AB5" w14:paraId="44F37EC5" w14:textId="77777777" w:rsidTr="0055481E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7B10A7C" w:rsidR="00D67FF4" w:rsidRPr="00447AB5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447AB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447AB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447AB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447AB5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447AB5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r w:rsidR="00AF4A5E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F907E8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22FF4638" w14:textId="4C3CBCEE" w:rsidR="00AF7E54" w:rsidRPr="00447AB5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593F6D" w:rsidRPr="00593F6D">
              <w:rPr>
                <w:rFonts w:cs="Georgia"/>
                <w:b/>
                <w:color w:val="000000"/>
                <w:sz w:val="24"/>
                <w:szCs w:val="24"/>
              </w:rPr>
              <w:t>344 650</w:t>
            </w:r>
            <w:r w:rsidR="00EC05F6" w:rsidRPr="00EC05F6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25E2A026" w14:textId="7225240B" w:rsidR="0055481E" w:rsidRPr="00447AB5" w:rsidRDefault="00AF7E54" w:rsidP="00B718B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593F6D" w:rsidRPr="00593F6D">
              <w:rPr>
                <w:rFonts w:cs="Georgia"/>
                <w:b/>
                <w:color w:val="000000"/>
                <w:sz w:val="24"/>
                <w:szCs w:val="24"/>
              </w:rPr>
              <w:t>417 026,5</w:t>
            </w:r>
            <w:r w:rsidR="00593F6D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447AB5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447AB5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5481E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6FB3D950" w:rsidR="0098229D" w:rsidRPr="0089361D" w:rsidRDefault="00EC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EC05F6">
              <w:rPr>
                <w:rFonts w:cs="Arial"/>
                <w:color w:val="000000"/>
                <w:sz w:val="21"/>
                <w:szCs w:val="21"/>
              </w:rPr>
              <w:t>převodem, splatnost faktury je šedesát (60) dnů ode dne, kdy byla Odběrateli prokazatelně doručena</w:t>
            </w:r>
          </w:p>
        </w:tc>
      </w:tr>
      <w:tr w:rsidR="0098229D" w:rsidRPr="000F53D1" w14:paraId="2DF7CFDD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E763637" w:rsidR="0098229D" w:rsidRPr="00142CB2" w:rsidRDefault="00F907E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566C97">
              <w:rPr>
                <w:rFonts w:cs="Georgia"/>
                <w:color w:val="000000"/>
                <w:sz w:val="21"/>
                <w:szCs w:val="21"/>
              </w:rPr>
              <w:t>30</w:t>
            </w:r>
            <w:r>
              <w:rPr>
                <w:rFonts w:cs="Georgia"/>
                <w:color w:val="000000"/>
                <w:sz w:val="21"/>
                <w:szCs w:val="21"/>
              </w:rPr>
              <w:t>.1.202</w:t>
            </w:r>
            <w:r w:rsidR="00566C97"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0F53D1" w14:paraId="686D046C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7B2DA279" w:rsidR="0098229D" w:rsidRPr="00142CB2" w:rsidRDefault="00F907E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EC05F6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566C97">
              <w:rPr>
                <w:rFonts w:cs="Georgia"/>
                <w:color w:val="000000"/>
                <w:sz w:val="21"/>
                <w:szCs w:val="21"/>
              </w:rPr>
              <w:t>2</w:t>
            </w:r>
            <w:r w:rsidR="00EC05F6">
              <w:rPr>
                <w:rFonts w:cs="Georgia"/>
                <w:color w:val="000000"/>
                <w:sz w:val="21"/>
                <w:szCs w:val="21"/>
              </w:rPr>
              <w:t>. 2025</w:t>
            </w:r>
          </w:p>
        </w:tc>
      </w:tr>
      <w:tr w:rsidR="00566C97" w:rsidRPr="000F53D1" w14:paraId="4DD8B3F1" w14:textId="77777777" w:rsidTr="0055481E">
        <w:trPr>
          <w:cantSplit/>
          <w:trHeight w:val="174"/>
        </w:trPr>
        <w:tc>
          <w:tcPr>
            <w:tcW w:w="2413" w:type="dxa"/>
            <w:vAlign w:val="bottom"/>
          </w:tcPr>
          <w:p w14:paraId="33188F7C" w14:textId="77777777" w:rsidR="00566C97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  <w:p w14:paraId="50455F30" w14:textId="77777777" w:rsidR="00566C97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Georgia"/>
                <w:b/>
                <w:bCs/>
                <w:color w:val="000000"/>
                <w:sz w:val="21"/>
                <w:szCs w:val="21"/>
              </w:rPr>
              <w:t>Fakturace:</w:t>
            </w:r>
          </w:p>
          <w:p w14:paraId="394F9188" w14:textId="4AFEFC0E" w:rsidR="00566C97" w:rsidRPr="000F53D1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82" w:type="dxa"/>
            <w:vAlign w:val="bottom"/>
          </w:tcPr>
          <w:p w14:paraId="106197CC" w14:textId="77777777" w:rsidR="00566C97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Faktury zasílejte do </w:t>
            </w:r>
            <w:r>
              <w:rPr>
                <w:rFonts w:cs="Georgia"/>
                <w:b/>
                <w:bCs/>
                <w:color w:val="000000"/>
                <w:sz w:val="20"/>
                <w:szCs w:val="20"/>
              </w:rPr>
              <w:t>datové schránky ŘVC ČR, IDDS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>
              <w:rPr>
                <w:rFonts w:cs="Georgia"/>
                <w:b/>
                <w:bCs/>
                <w:color w:val="000000"/>
                <w:sz w:val="20"/>
                <w:szCs w:val="20"/>
              </w:rPr>
              <w:t xml:space="preserve">ndn5skh, </w:t>
            </w:r>
          </w:p>
          <w:p w14:paraId="3C8ED045" w14:textId="55DEF609" w:rsidR="00566C97" w:rsidRPr="000F53D1" w:rsidRDefault="00566C97" w:rsidP="0056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>případně</w:t>
            </w:r>
            <w:r>
              <w:rPr>
                <w:rFonts w:cs="Georgia"/>
                <w:b/>
                <w:bCs/>
                <w:color w:val="000000"/>
                <w:sz w:val="20"/>
                <w:szCs w:val="20"/>
              </w:rPr>
              <w:t xml:space="preserve"> e-mailem 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na </w:t>
            </w:r>
            <w:hyperlink r:id="rId9" w:history="1">
              <w:r w:rsidR="00AF4A5E">
                <w:rPr>
                  <w:rStyle w:val="Hypertextovodkaz"/>
                  <w:rFonts w:cs="Georgia"/>
                  <w:b/>
                  <w:bCs/>
                  <w:sz w:val="20"/>
                  <w:szCs w:val="20"/>
                </w:rPr>
                <w:t>XXXX</w:t>
              </w:r>
            </w:hyperlink>
            <w:r>
              <w:rPr>
                <w:rFonts w:cs="Georgi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048EA492" w14:textId="77777777" w:rsidR="001938F6" w:rsidRDefault="001938F6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5D088831" w14:textId="56FF4A9D" w:rsidR="00F907E8" w:rsidRPr="00835255" w:rsidRDefault="00F907E8" w:rsidP="00F9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35255">
        <w:rPr>
          <w:rFonts w:cs="Calibri"/>
          <w:b/>
          <w:bCs/>
        </w:rPr>
        <w:t xml:space="preserve">Plnění bude financováno z: </w:t>
      </w:r>
      <w:r w:rsidRPr="001053D2">
        <w:rPr>
          <w:rFonts w:cs="Calibri"/>
          <w:b/>
          <w:bCs/>
        </w:rPr>
        <w:t xml:space="preserve">SFDI, investiční akce </w:t>
      </w:r>
      <w:r w:rsidR="004156BD" w:rsidRPr="004156BD">
        <w:rPr>
          <w:rFonts w:cs="Calibri"/>
          <w:b/>
          <w:bCs/>
        </w:rPr>
        <w:t>Servisní plavidla Praha, Slapy, Orlík</w:t>
      </w:r>
      <w:r w:rsidRPr="001053D2">
        <w:rPr>
          <w:rFonts w:cs="Calibri"/>
          <w:b/>
          <w:bCs/>
        </w:rPr>
        <w:t xml:space="preserve">, číslo projektu </w:t>
      </w:r>
      <w:r w:rsidR="004156BD" w:rsidRPr="004156BD">
        <w:rPr>
          <w:rFonts w:cs="Calibri"/>
          <w:b/>
          <w:bCs/>
        </w:rPr>
        <w:t>5005510040</w:t>
      </w:r>
      <w:r>
        <w:rPr>
          <w:rFonts w:cs="Calibri"/>
          <w:b/>
          <w:bCs/>
        </w:rPr>
        <w:t xml:space="preserve">, </w:t>
      </w:r>
    </w:p>
    <w:p w14:paraId="2B5DADCC" w14:textId="4E23CA74" w:rsidR="00F907E8" w:rsidRPr="00835255" w:rsidRDefault="00F907E8" w:rsidP="00F907E8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835255">
        <w:rPr>
          <w:rFonts w:cs="Calibri"/>
          <w:b/>
          <w:bCs/>
        </w:rPr>
        <w:t xml:space="preserve">Plnění </w:t>
      </w:r>
      <w:r w:rsidR="00566C97">
        <w:rPr>
          <w:rFonts w:cs="Calibri"/>
          <w:b/>
          <w:bCs/>
        </w:rPr>
        <w:t>je</w:t>
      </w:r>
      <w:r w:rsidRPr="00835255">
        <w:rPr>
          <w:rFonts w:cs="Calibri"/>
          <w:b/>
          <w:bCs/>
        </w:rPr>
        <w:t xml:space="preserve"> pro ekonomickou činnost ŘVC ČR</w:t>
      </w:r>
    </w:p>
    <w:p w14:paraId="61D56171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2758847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6C10CE0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830C468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1232AB8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AF4A5E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E5E8D5E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7964E5">
        <w:rPr>
          <w:b/>
          <w:bCs/>
        </w:rPr>
        <w:t>O</w:t>
      </w:r>
      <w:r w:rsidR="00462EA5">
        <w:rPr>
          <w:b/>
          <w:bCs/>
        </w:rPr>
        <w:t>SP</w:t>
      </w:r>
      <w:r>
        <w:rPr>
          <w:b/>
          <w:bCs/>
        </w:rPr>
        <w:tab/>
        <w:t>ředitel ŘVC ČR</w:t>
      </w:r>
    </w:p>
    <w:p w14:paraId="3986D98F" w14:textId="77777777" w:rsidR="007A6BD0" w:rsidRDefault="007A6BD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53DEDA5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4D95F37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23D2B0E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0A24B90A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AF4A5E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8CF7802" w14:textId="77777777" w:rsidR="002B6295" w:rsidRDefault="002B6295" w:rsidP="004C54FB">
      <w:pPr>
        <w:spacing w:after="0"/>
      </w:pPr>
    </w:p>
    <w:p w14:paraId="5596BDF8" w14:textId="77777777" w:rsidR="002B6295" w:rsidRDefault="002B6295" w:rsidP="004C54FB">
      <w:pPr>
        <w:spacing w:after="0"/>
      </w:pPr>
    </w:p>
    <w:p w14:paraId="6B771E8D" w14:textId="77777777" w:rsidR="002B6295" w:rsidRDefault="002B6295" w:rsidP="004C54FB">
      <w:pPr>
        <w:spacing w:after="0"/>
      </w:pPr>
    </w:p>
    <w:p w14:paraId="1D3232BD" w14:textId="4DBC6C23" w:rsidR="00816AA2" w:rsidRPr="00816AA2" w:rsidRDefault="00816AA2" w:rsidP="00462EA5">
      <w:pPr>
        <w:tabs>
          <w:tab w:val="left" w:pos="3969"/>
          <w:tab w:val="right" w:leader="dot" w:pos="6521"/>
        </w:tabs>
        <w:spacing w:after="0" w:line="240" w:lineRule="auto"/>
      </w:pPr>
      <w:r w:rsidRPr="00B401BB">
        <w:rPr>
          <w:b/>
          <w:bCs/>
        </w:rPr>
        <w:t>Za dodavatele převzal a akceptuje</w:t>
      </w:r>
      <w:r w:rsidR="00B401BB">
        <w:rPr>
          <w:b/>
          <w:bCs/>
        </w:rPr>
        <w:t>:</w:t>
      </w:r>
      <w:r w:rsidR="00AF4A5E">
        <w:rPr>
          <w:b/>
          <w:bCs/>
        </w:rPr>
        <w:t xml:space="preserve"> 02.12.2025</w:t>
      </w:r>
    </w:p>
    <w:p w14:paraId="29D13562" w14:textId="7F846D43" w:rsidR="00816AA2" w:rsidRPr="00566F6C" w:rsidRDefault="00816AA2" w:rsidP="004C54FB">
      <w:pPr>
        <w:spacing w:after="120"/>
      </w:pPr>
    </w:p>
    <w:sectPr w:rsidR="00816AA2" w:rsidRPr="00566F6C" w:rsidSect="007A6BD0">
      <w:footerReference w:type="default" r:id="rId10"/>
      <w:pgSz w:w="11903" w:h="16835"/>
      <w:pgMar w:top="993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5361" w14:textId="77777777" w:rsidR="0037349E" w:rsidRDefault="0037349E">
      <w:pPr>
        <w:spacing w:after="0" w:line="240" w:lineRule="auto"/>
      </w:pPr>
      <w:r>
        <w:separator/>
      </w:r>
    </w:p>
  </w:endnote>
  <w:endnote w:type="continuationSeparator" w:id="0">
    <w:p w14:paraId="18C03A54" w14:textId="77777777" w:rsidR="0037349E" w:rsidRDefault="0037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129B" w14:textId="77777777" w:rsidR="0037349E" w:rsidRDefault="0037349E">
      <w:pPr>
        <w:spacing w:after="0" w:line="240" w:lineRule="auto"/>
      </w:pPr>
      <w:r>
        <w:separator/>
      </w:r>
    </w:p>
  </w:footnote>
  <w:footnote w:type="continuationSeparator" w:id="0">
    <w:p w14:paraId="5F3D5E9D" w14:textId="77777777" w:rsidR="0037349E" w:rsidRDefault="00373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988"/>
    <w:multiLevelType w:val="hybridMultilevel"/>
    <w:tmpl w:val="9A7065E6"/>
    <w:lvl w:ilvl="0" w:tplc="D6E6E62A">
      <w:numFmt w:val="bullet"/>
      <w:lvlText w:val="•"/>
      <w:lvlJc w:val="left"/>
      <w:pPr>
        <w:ind w:left="1773" w:hanging="1413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A50"/>
    <w:multiLevelType w:val="hybridMultilevel"/>
    <w:tmpl w:val="D848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E94D50"/>
    <w:multiLevelType w:val="hybridMultilevel"/>
    <w:tmpl w:val="FC74B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2B0D"/>
    <w:multiLevelType w:val="hybridMultilevel"/>
    <w:tmpl w:val="94BA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5"/>
  </w:num>
  <w:num w:numId="2" w16cid:durableId="552959251">
    <w:abstractNumId w:val="2"/>
  </w:num>
  <w:num w:numId="3" w16cid:durableId="1081803512">
    <w:abstractNumId w:val="1"/>
  </w:num>
  <w:num w:numId="4" w16cid:durableId="294215459">
    <w:abstractNumId w:val="3"/>
  </w:num>
  <w:num w:numId="5" w16cid:durableId="134881996">
    <w:abstractNumId w:val="4"/>
  </w:num>
  <w:num w:numId="6" w16cid:durableId="132416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3033"/>
    <w:rsid w:val="00006AED"/>
    <w:rsid w:val="00007DF0"/>
    <w:rsid w:val="000103CD"/>
    <w:rsid w:val="000255CB"/>
    <w:rsid w:val="00040C19"/>
    <w:rsid w:val="00045E9A"/>
    <w:rsid w:val="00046B65"/>
    <w:rsid w:val="000477D3"/>
    <w:rsid w:val="00055D85"/>
    <w:rsid w:val="000563D1"/>
    <w:rsid w:val="00056FCC"/>
    <w:rsid w:val="00065F35"/>
    <w:rsid w:val="00067C02"/>
    <w:rsid w:val="00067CF9"/>
    <w:rsid w:val="00074BC3"/>
    <w:rsid w:val="00083B76"/>
    <w:rsid w:val="00085BD1"/>
    <w:rsid w:val="00090F8F"/>
    <w:rsid w:val="00092777"/>
    <w:rsid w:val="0009450E"/>
    <w:rsid w:val="00096AFA"/>
    <w:rsid w:val="000A0FEC"/>
    <w:rsid w:val="000B11E8"/>
    <w:rsid w:val="000B3347"/>
    <w:rsid w:val="000B78F4"/>
    <w:rsid w:val="000C0BC7"/>
    <w:rsid w:val="000C40A6"/>
    <w:rsid w:val="000D052F"/>
    <w:rsid w:val="000D521B"/>
    <w:rsid w:val="000E1D6A"/>
    <w:rsid w:val="000F432D"/>
    <w:rsid w:val="000F53D1"/>
    <w:rsid w:val="0010131A"/>
    <w:rsid w:val="001050F4"/>
    <w:rsid w:val="00107D35"/>
    <w:rsid w:val="00110CF9"/>
    <w:rsid w:val="00125477"/>
    <w:rsid w:val="00131935"/>
    <w:rsid w:val="00132A74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8F6"/>
    <w:rsid w:val="001A29F8"/>
    <w:rsid w:val="001D0FE1"/>
    <w:rsid w:val="001E581C"/>
    <w:rsid w:val="001E5ECB"/>
    <w:rsid w:val="001F0568"/>
    <w:rsid w:val="001F3008"/>
    <w:rsid w:val="001F3976"/>
    <w:rsid w:val="00200481"/>
    <w:rsid w:val="00213C03"/>
    <w:rsid w:val="00217F55"/>
    <w:rsid w:val="00220D1A"/>
    <w:rsid w:val="00222C17"/>
    <w:rsid w:val="002250B1"/>
    <w:rsid w:val="00227182"/>
    <w:rsid w:val="0023021D"/>
    <w:rsid w:val="0023044E"/>
    <w:rsid w:val="00236388"/>
    <w:rsid w:val="00243120"/>
    <w:rsid w:val="00243A5C"/>
    <w:rsid w:val="00246C94"/>
    <w:rsid w:val="00251675"/>
    <w:rsid w:val="00255985"/>
    <w:rsid w:val="0026146B"/>
    <w:rsid w:val="00265C74"/>
    <w:rsid w:val="00267539"/>
    <w:rsid w:val="00267AF8"/>
    <w:rsid w:val="00273403"/>
    <w:rsid w:val="00273631"/>
    <w:rsid w:val="00273FDD"/>
    <w:rsid w:val="0027456E"/>
    <w:rsid w:val="00276DCF"/>
    <w:rsid w:val="002770F8"/>
    <w:rsid w:val="00280F94"/>
    <w:rsid w:val="00295790"/>
    <w:rsid w:val="00297309"/>
    <w:rsid w:val="00297614"/>
    <w:rsid w:val="00297AF2"/>
    <w:rsid w:val="002A5EF2"/>
    <w:rsid w:val="002A6A77"/>
    <w:rsid w:val="002B5756"/>
    <w:rsid w:val="002B6295"/>
    <w:rsid w:val="002B71D9"/>
    <w:rsid w:val="002C087F"/>
    <w:rsid w:val="002D437A"/>
    <w:rsid w:val="002E6984"/>
    <w:rsid w:val="002F673C"/>
    <w:rsid w:val="00300D0B"/>
    <w:rsid w:val="00320EF4"/>
    <w:rsid w:val="003347D7"/>
    <w:rsid w:val="0034167F"/>
    <w:rsid w:val="00341E73"/>
    <w:rsid w:val="00345FD9"/>
    <w:rsid w:val="00360C8B"/>
    <w:rsid w:val="0037349E"/>
    <w:rsid w:val="00374631"/>
    <w:rsid w:val="003872C4"/>
    <w:rsid w:val="00390A7A"/>
    <w:rsid w:val="0039145E"/>
    <w:rsid w:val="003A64DD"/>
    <w:rsid w:val="003B25AA"/>
    <w:rsid w:val="003D08ED"/>
    <w:rsid w:val="003D0BA5"/>
    <w:rsid w:val="003E2D12"/>
    <w:rsid w:val="003E50DC"/>
    <w:rsid w:val="003E5966"/>
    <w:rsid w:val="003F2364"/>
    <w:rsid w:val="004013FC"/>
    <w:rsid w:val="00411477"/>
    <w:rsid w:val="004120C5"/>
    <w:rsid w:val="004156BD"/>
    <w:rsid w:val="0043082B"/>
    <w:rsid w:val="004308AD"/>
    <w:rsid w:val="004336B4"/>
    <w:rsid w:val="00433A2A"/>
    <w:rsid w:val="00445B8D"/>
    <w:rsid w:val="00447AB5"/>
    <w:rsid w:val="00452B43"/>
    <w:rsid w:val="00454F7B"/>
    <w:rsid w:val="00455802"/>
    <w:rsid w:val="0046035B"/>
    <w:rsid w:val="00462EA5"/>
    <w:rsid w:val="00463B6A"/>
    <w:rsid w:val="00463D83"/>
    <w:rsid w:val="00483343"/>
    <w:rsid w:val="004909CA"/>
    <w:rsid w:val="004A169C"/>
    <w:rsid w:val="004A292A"/>
    <w:rsid w:val="004C1B08"/>
    <w:rsid w:val="004C1DE1"/>
    <w:rsid w:val="004C4BD3"/>
    <w:rsid w:val="004C54FB"/>
    <w:rsid w:val="004E666E"/>
    <w:rsid w:val="004E6FFC"/>
    <w:rsid w:val="004F0153"/>
    <w:rsid w:val="004F1490"/>
    <w:rsid w:val="00504226"/>
    <w:rsid w:val="00504983"/>
    <w:rsid w:val="00505A0C"/>
    <w:rsid w:val="00521651"/>
    <w:rsid w:val="00534A12"/>
    <w:rsid w:val="00535C2D"/>
    <w:rsid w:val="005410FA"/>
    <w:rsid w:val="00541ACA"/>
    <w:rsid w:val="00542083"/>
    <w:rsid w:val="00542F67"/>
    <w:rsid w:val="00547176"/>
    <w:rsid w:val="0055481E"/>
    <w:rsid w:val="00566C97"/>
    <w:rsid w:val="00566F6C"/>
    <w:rsid w:val="00567701"/>
    <w:rsid w:val="005716E0"/>
    <w:rsid w:val="00582B3C"/>
    <w:rsid w:val="0058508A"/>
    <w:rsid w:val="00585546"/>
    <w:rsid w:val="005928C8"/>
    <w:rsid w:val="00593F6D"/>
    <w:rsid w:val="005A6748"/>
    <w:rsid w:val="005C4C2D"/>
    <w:rsid w:val="005C66AB"/>
    <w:rsid w:val="005D0C92"/>
    <w:rsid w:val="005E4993"/>
    <w:rsid w:val="005F1772"/>
    <w:rsid w:val="005F1E73"/>
    <w:rsid w:val="005F4F98"/>
    <w:rsid w:val="00603131"/>
    <w:rsid w:val="00616F9D"/>
    <w:rsid w:val="006221CE"/>
    <w:rsid w:val="00625F19"/>
    <w:rsid w:val="00626693"/>
    <w:rsid w:val="00631B68"/>
    <w:rsid w:val="006348FC"/>
    <w:rsid w:val="006378B9"/>
    <w:rsid w:val="00651FA4"/>
    <w:rsid w:val="00656ED8"/>
    <w:rsid w:val="0066446B"/>
    <w:rsid w:val="00667C66"/>
    <w:rsid w:val="00670F35"/>
    <w:rsid w:val="00671FEE"/>
    <w:rsid w:val="006757C8"/>
    <w:rsid w:val="00690093"/>
    <w:rsid w:val="006B2D53"/>
    <w:rsid w:val="006B37BF"/>
    <w:rsid w:val="006B71F4"/>
    <w:rsid w:val="006C19DA"/>
    <w:rsid w:val="006D47EE"/>
    <w:rsid w:val="006E65AE"/>
    <w:rsid w:val="006E677B"/>
    <w:rsid w:val="006E75A3"/>
    <w:rsid w:val="006F59A1"/>
    <w:rsid w:val="006F5D79"/>
    <w:rsid w:val="006F7E76"/>
    <w:rsid w:val="007013A3"/>
    <w:rsid w:val="0070144E"/>
    <w:rsid w:val="00704A47"/>
    <w:rsid w:val="0071229C"/>
    <w:rsid w:val="007167D4"/>
    <w:rsid w:val="00717262"/>
    <w:rsid w:val="00720D87"/>
    <w:rsid w:val="00725DCF"/>
    <w:rsid w:val="00730E1E"/>
    <w:rsid w:val="00731934"/>
    <w:rsid w:val="00742CFF"/>
    <w:rsid w:val="007462B0"/>
    <w:rsid w:val="007749D0"/>
    <w:rsid w:val="00775387"/>
    <w:rsid w:val="00775F44"/>
    <w:rsid w:val="007846C5"/>
    <w:rsid w:val="00785B87"/>
    <w:rsid w:val="00785C31"/>
    <w:rsid w:val="00786073"/>
    <w:rsid w:val="0079193B"/>
    <w:rsid w:val="007964E5"/>
    <w:rsid w:val="007A4ABD"/>
    <w:rsid w:val="007A5917"/>
    <w:rsid w:val="007A6BD0"/>
    <w:rsid w:val="007B458E"/>
    <w:rsid w:val="007B4B59"/>
    <w:rsid w:val="007C0851"/>
    <w:rsid w:val="007E37E5"/>
    <w:rsid w:val="007E713C"/>
    <w:rsid w:val="007F333D"/>
    <w:rsid w:val="007F40AB"/>
    <w:rsid w:val="007F5C8C"/>
    <w:rsid w:val="007F6FE4"/>
    <w:rsid w:val="0080434D"/>
    <w:rsid w:val="00805997"/>
    <w:rsid w:val="00816AA2"/>
    <w:rsid w:val="008226DE"/>
    <w:rsid w:val="008302CA"/>
    <w:rsid w:val="0083261E"/>
    <w:rsid w:val="00836EC4"/>
    <w:rsid w:val="00840826"/>
    <w:rsid w:val="00847846"/>
    <w:rsid w:val="00850A1C"/>
    <w:rsid w:val="00852A6D"/>
    <w:rsid w:val="00853A52"/>
    <w:rsid w:val="00864555"/>
    <w:rsid w:val="00873407"/>
    <w:rsid w:val="00880CE9"/>
    <w:rsid w:val="00882612"/>
    <w:rsid w:val="0089361D"/>
    <w:rsid w:val="008B1889"/>
    <w:rsid w:val="008C6BAA"/>
    <w:rsid w:val="008E4C60"/>
    <w:rsid w:val="00901E08"/>
    <w:rsid w:val="00902D83"/>
    <w:rsid w:val="009221F7"/>
    <w:rsid w:val="00937A4B"/>
    <w:rsid w:val="009532C2"/>
    <w:rsid w:val="00957E22"/>
    <w:rsid w:val="00960F21"/>
    <w:rsid w:val="0096143E"/>
    <w:rsid w:val="0096739E"/>
    <w:rsid w:val="009765A3"/>
    <w:rsid w:val="00976DF8"/>
    <w:rsid w:val="0098164E"/>
    <w:rsid w:val="0098229D"/>
    <w:rsid w:val="0098239C"/>
    <w:rsid w:val="00987E92"/>
    <w:rsid w:val="009936F1"/>
    <w:rsid w:val="00994DDF"/>
    <w:rsid w:val="009C087D"/>
    <w:rsid w:val="009C08F8"/>
    <w:rsid w:val="009C15B8"/>
    <w:rsid w:val="009E6599"/>
    <w:rsid w:val="009E79E1"/>
    <w:rsid w:val="009F4CEC"/>
    <w:rsid w:val="00A005F8"/>
    <w:rsid w:val="00A06F7F"/>
    <w:rsid w:val="00A22369"/>
    <w:rsid w:val="00A30A31"/>
    <w:rsid w:val="00A33837"/>
    <w:rsid w:val="00A33A84"/>
    <w:rsid w:val="00A41E43"/>
    <w:rsid w:val="00A43294"/>
    <w:rsid w:val="00A43D3F"/>
    <w:rsid w:val="00A44C32"/>
    <w:rsid w:val="00A461FE"/>
    <w:rsid w:val="00A56C58"/>
    <w:rsid w:val="00A72BBE"/>
    <w:rsid w:val="00A74B91"/>
    <w:rsid w:val="00A762E5"/>
    <w:rsid w:val="00A76EB4"/>
    <w:rsid w:val="00A814FE"/>
    <w:rsid w:val="00A96809"/>
    <w:rsid w:val="00A978BF"/>
    <w:rsid w:val="00AA611A"/>
    <w:rsid w:val="00AA7B05"/>
    <w:rsid w:val="00AB08F2"/>
    <w:rsid w:val="00AC4AF0"/>
    <w:rsid w:val="00AC7366"/>
    <w:rsid w:val="00AD0588"/>
    <w:rsid w:val="00AD0A6B"/>
    <w:rsid w:val="00AE6150"/>
    <w:rsid w:val="00AF11D7"/>
    <w:rsid w:val="00AF2A50"/>
    <w:rsid w:val="00AF4A5E"/>
    <w:rsid w:val="00AF7E54"/>
    <w:rsid w:val="00B00AA5"/>
    <w:rsid w:val="00B04813"/>
    <w:rsid w:val="00B203C6"/>
    <w:rsid w:val="00B401BB"/>
    <w:rsid w:val="00B4150D"/>
    <w:rsid w:val="00B43614"/>
    <w:rsid w:val="00B60931"/>
    <w:rsid w:val="00B66EC2"/>
    <w:rsid w:val="00B718B9"/>
    <w:rsid w:val="00B72B00"/>
    <w:rsid w:val="00B92FF6"/>
    <w:rsid w:val="00B936BA"/>
    <w:rsid w:val="00BA0791"/>
    <w:rsid w:val="00BA1D76"/>
    <w:rsid w:val="00BB050A"/>
    <w:rsid w:val="00BB0921"/>
    <w:rsid w:val="00BB50D1"/>
    <w:rsid w:val="00BB5B51"/>
    <w:rsid w:val="00BC0C75"/>
    <w:rsid w:val="00BC1A7F"/>
    <w:rsid w:val="00BC2AB3"/>
    <w:rsid w:val="00BC4981"/>
    <w:rsid w:val="00BC6236"/>
    <w:rsid w:val="00BC6B04"/>
    <w:rsid w:val="00BD086A"/>
    <w:rsid w:val="00BD2091"/>
    <w:rsid w:val="00BD6EAD"/>
    <w:rsid w:val="00BE072F"/>
    <w:rsid w:val="00BE3707"/>
    <w:rsid w:val="00BF0AB9"/>
    <w:rsid w:val="00C10375"/>
    <w:rsid w:val="00C12BCD"/>
    <w:rsid w:val="00C3169B"/>
    <w:rsid w:val="00C37BCE"/>
    <w:rsid w:val="00C520CE"/>
    <w:rsid w:val="00C53DA1"/>
    <w:rsid w:val="00C7284B"/>
    <w:rsid w:val="00C72860"/>
    <w:rsid w:val="00C80DFF"/>
    <w:rsid w:val="00C80E92"/>
    <w:rsid w:val="00C81B08"/>
    <w:rsid w:val="00C83E3A"/>
    <w:rsid w:val="00C851E4"/>
    <w:rsid w:val="00C91B55"/>
    <w:rsid w:val="00CA159D"/>
    <w:rsid w:val="00CB4B74"/>
    <w:rsid w:val="00CB5760"/>
    <w:rsid w:val="00CC01B0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14041"/>
    <w:rsid w:val="00D334BC"/>
    <w:rsid w:val="00D405C7"/>
    <w:rsid w:val="00D42667"/>
    <w:rsid w:val="00D4300B"/>
    <w:rsid w:val="00D46474"/>
    <w:rsid w:val="00D666B9"/>
    <w:rsid w:val="00D670B1"/>
    <w:rsid w:val="00D67FF4"/>
    <w:rsid w:val="00D71F88"/>
    <w:rsid w:val="00D80D5B"/>
    <w:rsid w:val="00D925E6"/>
    <w:rsid w:val="00D93E5F"/>
    <w:rsid w:val="00D94924"/>
    <w:rsid w:val="00D97030"/>
    <w:rsid w:val="00DA0419"/>
    <w:rsid w:val="00DA2769"/>
    <w:rsid w:val="00DA2F30"/>
    <w:rsid w:val="00DA3294"/>
    <w:rsid w:val="00DA4087"/>
    <w:rsid w:val="00DA7C89"/>
    <w:rsid w:val="00DC200A"/>
    <w:rsid w:val="00DC7D0A"/>
    <w:rsid w:val="00DD0A8E"/>
    <w:rsid w:val="00DD21B3"/>
    <w:rsid w:val="00DD5DA8"/>
    <w:rsid w:val="00DD6AFD"/>
    <w:rsid w:val="00DE0DDE"/>
    <w:rsid w:val="00DF741D"/>
    <w:rsid w:val="00E03AEA"/>
    <w:rsid w:val="00E13208"/>
    <w:rsid w:val="00E14D68"/>
    <w:rsid w:val="00E20339"/>
    <w:rsid w:val="00E24129"/>
    <w:rsid w:val="00E31742"/>
    <w:rsid w:val="00E34032"/>
    <w:rsid w:val="00E510F5"/>
    <w:rsid w:val="00E5115B"/>
    <w:rsid w:val="00E61B1C"/>
    <w:rsid w:val="00E71112"/>
    <w:rsid w:val="00E840A0"/>
    <w:rsid w:val="00E86B44"/>
    <w:rsid w:val="00E86BEE"/>
    <w:rsid w:val="00EA4665"/>
    <w:rsid w:val="00EA547F"/>
    <w:rsid w:val="00EA7FB1"/>
    <w:rsid w:val="00EB1537"/>
    <w:rsid w:val="00EB75C4"/>
    <w:rsid w:val="00EC05F6"/>
    <w:rsid w:val="00EC4EDC"/>
    <w:rsid w:val="00EC6A26"/>
    <w:rsid w:val="00ED13FC"/>
    <w:rsid w:val="00EE1600"/>
    <w:rsid w:val="00EE2D0D"/>
    <w:rsid w:val="00EE5596"/>
    <w:rsid w:val="00EE7917"/>
    <w:rsid w:val="00EF4512"/>
    <w:rsid w:val="00EF5B87"/>
    <w:rsid w:val="00EF79CC"/>
    <w:rsid w:val="00F02A52"/>
    <w:rsid w:val="00F104F1"/>
    <w:rsid w:val="00F1081C"/>
    <w:rsid w:val="00F237B0"/>
    <w:rsid w:val="00F30A08"/>
    <w:rsid w:val="00F3345D"/>
    <w:rsid w:val="00F50067"/>
    <w:rsid w:val="00F526C8"/>
    <w:rsid w:val="00F54D50"/>
    <w:rsid w:val="00F7407D"/>
    <w:rsid w:val="00F85F35"/>
    <w:rsid w:val="00F907E8"/>
    <w:rsid w:val="00F92078"/>
    <w:rsid w:val="00F92A13"/>
    <w:rsid w:val="00FA1A05"/>
    <w:rsid w:val="00FA48AA"/>
    <w:rsid w:val="00FB4D1A"/>
    <w:rsid w:val="00FC40AA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D1684125-B4E5-4662-AA45-17A97ED0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21651"/>
    <w:pPr>
      <w:spacing w:after="0" w:line="240" w:lineRule="auto"/>
      <w:ind w:left="720"/>
    </w:pPr>
    <w:rPr>
      <w:rFonts w:eastAsiaTheme="minorHAnsi" w:cs="Calibri"/>
      <w:lang w:eastAsia="en-US"/>
      <w14:ligatures w14:val="standardContextual"/>
    </w:rPr>
  </w:style>
  <w:style w:type="character" w:customStyle="1" w:styleId="OdstavecseseznamemChar">
    <w:name w:val="Odstavec se seznamem Char"/>
    <w:link w:val="Odstavecseseznamem"/>
    <w:uiPriority w:val="34"/>
    <w:rsid w:val="0055481E"/>
    <w:rPr>
      <w:rFonts w:eastAsiaTheme="minorHAns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rvc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98DE-8D35-436E-A55C-126A965D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dc:description/>
  <cp:lastModifiedBy>Jana Mullerová</cp:lastModifiedBy>
  <cp:revision>5</cp:revision>
  <cp:lastPrinted>2024-11-27T09:35:00Z</cp:lastPrinted>
  <dcterms:created xsi:type="dcterms:W3CDTF">2025-12-05T12:28:00Z</dcterms:created>
  <dcterms:modified xsi:type="dcterms:W3CDTF">2025-12-05T12:38:00Z</dcterms:modified>
</cp:coreProperties>
</file>