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2C81919" w:rsidR="00C24E1B" w:rsidRPr="00DE2BC9" w:rsidRDefault="001F473A" w:rsidP="00574570">
            <w:pPr>
              <w:tabs>
                <w:tab w:val="left" w:pos="6804"/>
              </w:tabs>
              <w:spacing w:line="480" w:lineRule="auto"/>
              <w:rPr>
                <w:snapToGrid w:val="0"/>
                <w:sz w:val="24"/>
              </w:rPr>
            </w:pPr>
            <w:r>
              <w:rPr>
                <w:snapToGrid w:val="0"/>
                <w:sz w:val="24"/>
              </w:rPr>
              <w:t>6</w:t>
            </w:r>
          </w:p>
        </w:tc>
        <w:tc>
          <w:tcPr>
            <w:tcW w:w="397" w:type="dxa"/>
          </w:tcPr>
          <w:p w14:paraId="4DA687C2" w14:textId="717789BA" w:rsidR="00C24E1B" w:rsidRPr="00DE2BC9" w:rsidRDefault="001F473A" w:rsidP="00574570">
            <w:pPr>
              <w:tabs>
                <w:tab w:val="left" w:pos="6804"/>
              </w:tabs>
              <w:spacing w:line="480" w:lineRule="auto"/>
              <w:rPr>
                <w:snapToGrid w:val="0"/>
                <w:sz w:val="24"/>
              </w:rPr>
            </w:pPr>
            <w:r>
              <w:rPr>
                <w:snapToGrid w:val="0"/>
                <w:sz w:val="24"/>
              </w:rPr>
              <w:t>0</w:t>
            </w:r>
          </w:p>
        </w:tc>
        <w:tc>
          <w:tcPr>
            <w:tcW w:w="397" w:type="dxa"/>
          </w:tcPr>
          <w:p w14:paraId="08B2F2F9" w14:textId="11EBA6E0" w:rsidR="00C24E1B" w:rsidRPr="00DE2BC9" w:rsidRDefault="001F473A" w:rsidP="00574570">
            <w:pPr>
              <w:tabs>
                <w:tab w:val="left" w:pos="6804"/>
              </w:tabs>
              <w:spacing w:line="480" w:lineRule="auto"/>
              <w:rPr>
                <w:snapToGrid w:val="0"/>
                <w:sz w:val="24"/>
              </w:rPr>
            </w:pPr>
            <w:r>
              <w:rPr>
                <w:snapToGrid w:val="0"/>
                <w:sz w:val="24"/>
              </w:rPr>
              <w:t>6</w:t>
            </w:r>
          </w:p>
        </w:tc>
        <w:tc>
          <w:tcPr>
            <w:tcW w:w="397" w:type="dxa"/>
          </w:tcPr>
          <w:p w14:paraId="541FF799" w14:textId="48FB21D3" w:rsidR="00C24E1B" w:rsidRPr="00DE2BC9" w:rsidRDefault="001F473A" w:rsidP="00574570">
            <w:pPr>
              <w:tabs>
                <w:tab w:val="left" w:pos="6804"/>
              </w:tabs>
              <w:spacing w:line="480" w:lineRule="auto"/>
              <w:rPr>
                <w:snapToGrid w:val="0"/>
                <w:sz w:val="24"/>
              </w:rPr>
            </w:pPr>
            <w:r>
              <w:rPr>
                <w:snapToGrid w:val="0"/>
                <w:sz w:val="24"/>
              </w:rPr>
              <w:t>2</w:t>
            </w:r>
          </w:p>
        </w:tc>
        <w:tc>
          <w:tcPr>
            <w:tcW w:w="397" w:type="dxa"/>
          </w:tcPr>
          <w:p w14:paraId="696A8AD0" w14:textId="654D89DF" w:rsidR="00C24E1B" w:rsidRPr="00DE2BC9" w:rsidRDefault="001F473A" w:rsidP="00574570">
            <w:pPr>
              <w:tabs>
                <w:tab w:val="left" w:pos="6804"/>
              </w:tabs>
              <w:spacing w:line="480" w:lineRule="auto"/>
              <w:rPr>
                <w:snapToGrid w:val="0"/>
                <w:sz w:val="24"/>
              </w:rPr>
            </w:pPr>
            <w:r>
              <w:rPr>
                <w:snapToGrid w:val="0"/>
                <w:sz w:val="24"/>
              </w:rPr>
              <w:t>3</w:t>
            </w:r>
          </w:p>
        </w:tc>
        <w:tc>
          <w:tcPr>
            <w:tcW w:w="425" w:type="dxa"/>
          </w:tcPr>
          <w:p w14:paraId="375C2C6C" w14:textId="6AAF1144" w:rsidR="00C24E1B" w:rsidRPr="00DE2BC9" w:rsidRDefault="001F473A"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4FEB675D"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1F473A">
        <w:rPr>
          <w:b/>
          <w:snapToGrid w:val="0"/>
          <w:sz w:val="28"/>
          <w:szCs w:val="28"/>
        </w:rPr>
        <w:t>06 – 149</w:t>
      </w:r>
      <w:proofErr w:type="gramEnd"/>
      <w:r w:rsidR="001F473A">
        <w:rPr>
          <w:b/>
          <w:snapToGrid w:val="0"/>
          <w:sz w:val="28"/>
          <w:szCs w:val="28"/>
        </w:rPr>
        <w:t>/2025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1E81816A"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3435C8C1"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9487B">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11CFF630"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F473A">
        <w:rPr>
          <w:rFonts w:ascii="Times New Roman" w:hAnsi="Times New Roman"/>
          <w:snapToGrid w:val="0"/>
          <w:sz w:val="24"/>
        </w:rPr>
        <w:t xml:space="preserve"> 502228001</w:t>
      </w:r>
    </w:p>
    <w:p w14:paraId="0B091745" w14:textId="0B73F389" w:rsidR="004F0DEA" w:rsidRPr="00206D3F" w:rsidRDefault="001F473A"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F473A">
        <w:rPr>
          <w:rFonts w:ascii="Times New Roman" w:hAnsi="Times New Roman"/>
          <w:b/>
          <w:snapToGrid w:val="0"/>
          <w:sz w:val="24"/>
        </w:rPr>
        <w:t xml:space="preserve">VAK </w:t>
      </w:r>
      <w:proofErr w:type="spellStart"/>
      <w:r w:rsidRPr="001F473A">
        <w:rPr>
          <w:rFonts w:ascii="Times New Roman" w:hAnsi="Times New Roman"/>
          <w:b/>
          <w:snapToGrid w:val="0"/>
          <w:sz w:val="24"/>
        </w:rPr>
        <w:t>Domašovsko</w:t>
      </w:r>
      <w:proofErr w:type="spellEnd"/>
      <w:r w:rsidRPr="001F473A">
        <w:rPr>
          <w:rFonts w:ascii="Times New Roman" w:hAnsi="Times New Roman"/>
          <w:b/>
          <w:snapToGrid w:val="0"/>
          <w:sz w:val="24"/>
        </w:rPr>
        <w:t>, s.r.o.</w:t>
      </w:r>
    </w:p>
    <w:p w14:paraId="76CE5821" w14:textId="25833C6B"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F473A" w:rsidRPr="001F473A">
        <w:rPr>
          <w:rFonts w:ascii="Times New Roman" w:hAnsi="Times New Roman"/>
          <w:b/>
          <w:snapToGrid w:val="0"/>
          <w:sz w:val="24"/>
        </w:rPr>
        <w:t>Brněnská 94, 664 83 Domašov</w:t>
      </w:r>
    </w:p>
    <w:p w14:paraId="6517CE51" w14:textId="434F2F4B" w:rsidR="004F0DEA" w:rsidRPr="001F473A" w:rsidRDefault="004F0DEA" w:rsidP="001F473A">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F473A">
        <w:rPr>
          <w:rFonts w:ascii="Times New Roman" w:hAnsi="Times New Roman"/>
          <w:b/>
          <w:snapToGrid w:val="0"/>
          <w:sz w:val="24"/>
        </w:rPr>
        <w:t>a</w:t>
      </w:r>
      <w:r w:rsidRPr="00206D3F">
        <w:rPr>
          <w:rFonts w:ascii="Times New Roman" w:hAnsi="Times New Roman"/>
          <w:b/>
          <w:snapToGrid w:val="0"/>
          <w:sz w:val="24"/>
        </w:rPr>
        <w:t>:</w:t>
      </w:r>
      <w:r w:rsidR="001F473A">
        <w:rPr>
          <w:rFonts w:ascii="Times New Roman" w:hAnsi="Times New Roman"/>
          <w:b/>
          <w:snapToGrid w:val="0"/>
          <w:sz w:val="24"/>
        </w:rPr>
        <w:tab/>
      </w:r>
      <w:r w:rsidR="001F473A">
        <w:rPr>
          <w:rFonts w:ascii="Times New Roman" w:hAnsi="Times New Roman"/>
          <w:bCs/>
          <w:snapToGrid w:val="0"/>
          <w:sz w:val="24"/>
        </w:rPr>
        <w:t xml:space="preserve">Tomášem </w:t>
      </w:r>
      <w:proofErr w:type="spellStart"/>
      <w:r w:rsidR="001F473A">
        <w:rPr>
          <w:rFonts w:ascii="Times New Roman" w:hAnsi="Times New Roman"/>
          <w:bCs/>
          <w:snapToGrid w:val="0"/>
          <w:sz w:val="24"/>
        </w:rPr>
        <w:t>Pitrochou</w:t>
      </w:r>
      <w:proofErr w:type="spellEnd"/>
      <w:r w:rsidR="001F473A">
        <w:rPr>
          <w:rFonts w:ascii="Times New Roman" w:hAnsi="Times New Roman"/>
          <w:bCs/>
          <w:snapToGrid w:val="0"/>
          <w:sz w:val="24"/>
        </w:rPr>
        <w:t>, jednatelem</w:t>
      </w:r>
    </w:p>
    <w:p w14:paraId="5D52DBA8" w14:textId="0333F0B8"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F473A">
        <w:rPr>
          <w:rFonts w:ascii="Times New Roman" w:hAnsi="Times New Roman"/>
          <w:snapToGrid w:val="0"/>
          <w:sz w:val="24"/>
        </w:rPr>
        <w:tab/>
        <w:t>23081601</w:t>
      </w:r>
    </w:p>
    <w:p w14:paraId="4EC19AE4" w14:textId="5C275F9D"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F473A">
        <w:rPr>
          <w:rFonts w:ascii="Times New Roman" w:hAnsi="Times New Roman"/>
          <w:snapToGrid w:val="0"/>
          <w:sz w:val="24"/>
        </w:rPr>
        <w:t>23081601</w:t>
      </w:r>
    </w:p>
    <w:p w14:paraId="745FF504" w14:textId="0EB6FBA2"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1F473A">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1F473A">
        <w:rPr>
          <w:rFonts w:ascii="Times New Roman" w:hAnsi="Times New Roman"/>
          <w:snapToGrid w:val="0"/>
          <w:sz w:val="24"/>
        </w:rPr>
        <w:t>Brně</w:t>
      </w:r>
      <w:r>
        <w:rPr>
          <w:rFonts w:ascii="Times New Roman" w:hAnsi="Times New Roman"/>
          <w:snapToGrid w:val="0"/>
          <w:sz w:val="24"/>
        </w:rPr>
        <w:t xml:space="preserve">, oddíl </w:t>
      </w:r>
      <w:r w:rsidR="001F473A">
        <w:rPr>
          <w:rFonts w:ascii="Times New Roman" w:hAnsi="Times New Roman"/>
          <w:snapToGrid w:val="0"/>
          <w:sz w:val="24"/>
        </w:rPr>
        <w:t>C</w:t>
      </w:r>
      <w:r>
        <w:rPr>
          <w:rFonts w:ascii="Times New Roman" w:hAnsi="Times New Roman"/>
          <w:snapToGrid w:val="0"/>
          <w:sz w:val="24"/>
        </w:rPr>
        <w:t>, vložka</w:t>
      </w:r>
      <w:r w:rsidR="001F473A">
        <w:rPr>
          <w:rFonts w:ascii="Times New Roman" w:hAnsi="Times New Roman"/>
          <w:snapToGrid w:val="0"/>
          <w:sz w:val="24"/>
        </w:rPr>
        <w:t xml:space="preserve"> 144309</w:t>
      </w:r>
    </w:p>
    <w:p w14:paraId="37D9464E" w14:textId="0E636291" w:rsidR="004F0DEA" w:rsidRPr="00A2487D" w:rsidRDefault="004F0DEA" w:rsidP="001F473A">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09BE5ED1"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9487B">
        <w:rPr>
          <w:rFonts w:ascii="Times New Roman" w:hAnsi="Times New Roman"/>
          <w:snapToGrid w:val="0"/>
          <w:sz w:val="24"/>
        </w:rPr>
        <w:t>xxx</w:t>
      </w:r>
      <w:proofErr w:type="spellEnd"/>
    </w:p>
    <w:p w14:paraId="4DA9E4F5" w14:textId="426C65D4" w:rsidR="004F0DEA" w:rsidRPr="00DE2BC9" w:rsidRDefault="004F0DEA" w:rsidP="001F473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F473A" w:rsidRPr="001F473A">
        <w:rPr>
          <w:rFonts w:ascii="Times New Roman" w:hAnsi="Times New Roman"/>
          <w:snapToGrid w:val="0"/>
          <w:sz w:val="24"/>
        </w:rPr>
        <w:t>23081601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F473A">
        <w:rPr>
          <w:rFonts w:ascii="Times New Roman" w:hAnsi="Times New Roman"/>
          <w:snapToGrid w:val="0"/>
          <w:sz w:val="24"/>
        </w:rPr>
        <w:t xml:space="preserve"> --</w:t>
      </w:r>
    </w:p>
    <w:p w14:paraId="09C16FA3" w14:textId="77777777" w:rsidR="004F0DEA"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09AAC38" w14:textId="77777777" w:rsidR="001F473A" w:rsidRDefault="001F473A" w:rsidP="004F0DEA">
      <w:pPr>
        <w:pStyle w:val="Codstavec"/>
        <w:tabs>
          <w:tab w:val="left" w:pos="284"/>
        </w:tabs>
        <w:ind w:firstLine="284"/>
        <w:rPr>
          <w:rFonts w:ascii="Times New Roman" w:hAnsi="Times New Roman"/>
          <w:snapToGrid w:val="0"/>
          <w:sz w:val="24"/>
        </w:rPr>
      </w:pPr>
    </w:p>
    <w:p w14:paraId="331CA069" w14:textId="77777777" w:rsidR="001F473A" w:rsidRDefault="001F473A" w:rsidP="004F0DEA">
      <w:pPr>
        <w:pStyle w:val="Codstavec"/>
        <w:tabs>
          <w:tab w:val="left" w:pos="284"/>
        </w:tabs>
        <w:ind w:firstLine="284"/>
        <w:rPr>
          <w:rFonts w:ascii="Times New Roman" w:hAnsi="Times New Roman"/>
          <w:snapToGrid w:val="0"/>
          <w:sz w:val="24"/>
        </w:rPr>
      </w:pPr>
    </w:p>
    <w:p w14:paraId="51EB48A8" w14:textId="77777777" w:rsidR="001F473A" w:rsidRDefault="001F473A" w:rsidP="004F0DEA">
      <w:pPr>
        <w:pStyle w:val="Codstavec"/>
        <w:tabs>
          <w:tab w:val="left" w:pos="284"/>
        </w:tabs>
        <w:ind w:firstLine="284"/>
        <w:rPr>
          <w:rFonts w:ascii="Times New Roman" w:hAnsi="Times New Roman"/>
          <w:snapToGrid w:val="0"/>
          <w:sz w:val="24"/>
        </w:rPr>
      </w:pPr>
    </w:p>
    <w:p w14:paraId="5A197A71" w14:textId="77777777" w:rsidR="001F473A" w:rsidRPr="00DE2BC9" w:rsidRDefault="001F473A" w:rsidP="004F0DEA">
      <w:pPr>
        <w:pStyle w:val="Codstavec"/>
        <w:tabs>
          <w:tab w:val="left" w:pos="284"/>
        </w:tabs>
        <w:ind w:firstLine="284"/>
        <w:rPr>
          <w:rFonts w:ascii="Times New Roman" w:hAnsi="Times New Roman"/>
          <w:snapToGrid w:val="0"/>
          <w:sz w:val="24"/>
        </w:rPr>
      </w:pPr>
    </w:p>
    <w:p w14:paraId="58D0D9C2" w14:textId="77777777"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016E04" w14:textId="21DB18F1" w:rsidR="00C51D9F" w:rsidRPr="001F473A" w:rsidRDefault="00C51D9F" w:rsidP="001F473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F473A">
        <w:rPr>
          <w:rFonts w:ascii="Times New Roman" w:hAnsi="Times New Roman"/>
          <w:b/>
          <w:snapToGrid w:val="0"/>
          <w:color w:val="3366FF"/>
          <w:sz w:val="24"/>
        </w:rPr>
        <w:t xml:space="preserve"> </w:t>
      </w:r>
      <w:r w:rsidRPr="001F473A">
        <w:rPr>
          <w:rFonts w:ascii="Times New Roman" w:hAnsi="Times New Roman"/>
          <w:b/>
          <w:snapToGrid w:val="0"/>
          <w:sz w:val="24"/>
        </w:rPr>
        <w:t>k nasazení poplatku všem plátcům v kmeni pro inkasní měsíc</w:t>
      </w:r>
      <w:r w:rsidRPr="001F473A">
        <w:rPr>
          <w:rFonts w:ascii="Times New Roman" w:hAnsi="Times New Roman"/>
          <w:snapToGrid w:val="0"/>
          <w:sz w:val="24"/>
        </w:rPr>
        <w:t xml:space="preserve"> s průvodkou 1x měsíčně;</w:t>
      </w:r>
    </w:p>
    <w:p w14:paraId="77732ED2" w14:textId="04525CED" w:rsidR="00C51D9F" w:rsidRPr="001F473A" w:rsidRDefault="00C51D9F" w:rsidP="001F473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F473A">
        <w:rPr>
          <w:rFonts w:ascii="Times New Roman" w:hAnsi="Times New Roman"/>
          <w:snapToGrid w:val="0"/>
          <w:sz w:val="24"/>
        </w:rPr>
        <w:t xml:space="preserve"> požaduje, aby se v případě výskytu chyb ve změnovém souboru </w:t>
      </w:r>
      <w:r w:rsidRPr="001F473A">
        <w:rPr>
          <w:rFonts w:ascii="Times New Roman" w:hAnsi="Times New Roman"/>
          <w:b/>
          <w:snapToGrid w:val="0"/>
          <w:sz w:val="24"/>
        </w:rPr>
        <w:t>změnový soubor zpracoval;</w:t>
      </w:r>
    </w:p>
    <w:p w14:paraId="3885AB56" w14:textId="6E23F6B2" w:rsidR="00C51D9F" w:rsidRPr="001F473A" w:rsidRDefault="00C51D9F" w:rsidP="001F473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F473A">
        <w:rPr>
          <w:rFonts w:ascii="Times New Roman" w:hAnsi="Times New Roman"/>
          <w:sz w:val="24"/>
        </w:rPr>
        <w:t xml:space="preserve"> </w:t>
      </w:r>
      <w:r w:rsidRPr="001F473A">
        <w:rPr>
          <w:rFonts w:ascii="Times New Roman" w:hAnsi="Times New Roman"/>
          <w:sz w:val="24"/>
        </w:rPr>
        <w:t>který bude obsahovat platby za veškeré využívané kódy poplatků za daný inkasní měsíc.</w:t>
      </w:r>
    </w:p>
    <w:p w14:paraId="68459ED8" w14:textId="76E9FC56" w:rsidR="00C51D9F" w:rsidRPr="001F473A" w:rsidRDefault="00C51D9F" w:rsidP="001F473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E379331" w14:textId="59828872" w:rsidR="00C51D9F" w:rsidRPr="001F473A" w:rsidRDefault="00C51D9F" w:rsidP="001F473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F473A">
        <w:rPr>
          <w:rFonts w:ascii="Times New Roman" w:hAnsi="Times New Roman"/>
          <w:snapToGrid w:val="0"/>
          <w:sz w:val="24"/>
        </w:rPr>
        <w:t xml:space="preserve"> 1 x ročně na měsíc </w:t>
      </w:r>
      <w:r w:rsidR="002A1986">
        <w:rPr>
          <w:rFonts w:ascii="Times New Roman" w:hAnsi="Times New Roman"/>
          <w:snapToGrid w:val="0"/>
          <w:sz w:val="24"/>
        </w:rPr>
        <w:t>KVĚTEN</w:t>
      </w:r>
      <w:r w:rsidRPr="001F473A">
        <w:rPr>
          <w:rFonts w:ascii="Times New Roman" w:hAnsi="Times New Roman"/>
          <w:snapToGrid w:val="0"/>
          <w:sz w:val="24"/>
        </w:rPr>
        <w:t>;</w:t>
      </w:r>
    </w:p>
    <w:p w14:paraId="49316559" w14:textId="012A1B40"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CA09B6" w14:textId="794668B3" w:rsidR="00C51D9F" w:rsidRPr="002A1986" w:rsidRDefault="00C51D9F" w:rsidP="002A198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A1986">
        <w:rPr>
          <w:rFonts w:ascii="Times New Roman" w:hAnsi="Times New Roman"/>
          <w:b/>
          <w:snapToGrid w:val="0"/>
          <w:sz w:val="24"/>
        </w:rPr>
        <w:t xml:space="preserve"> k nasazení poplatku všem</w:t>
      </w:r>
      <w:r w:rsidRPr="002A1986">
        <w:rPr>
          <w:rFonts w:ascii="Times New Roman" w:hAnsi="Times New Roman"/>
          <w:snapToGrid w:val="0"/>
          <w:sz w:val="24"/>
        </w:rPr>
        <w:t xml:space="preserve"> plátcům v kmeni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60A40400" w14:textId="63FF3861" w:rsidR="00C51D9F" w:rsidRPr="002A1986" w:rsidRDefault="00C51D9F" w:rsidP="002A198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A1986">
        <w:rPr>
          <w:rFonts w:ascii="Times New Roman" w:hAnsi="Times New Roman"/>
          <w:snapToGrid w:val="0"/>
          <w:color w:val="3366FF"/>
          <w:sz w:val="24"/>
        </w:rPr>
        <w:t xml:space="preserve"> </w:t>
      </w:r>
      <w:r w:rsidRPr="002A1986">
        <w:rPr>
          <w:rFonts w:ascii="Times New Roman" w:hAnsi="Times New Roman"/>
          <w:b/>
          <w:snapToGrid w:val="0"/>
          <w:sz w:val="24"/>
        </w:rPr>
        <w:t xml:space="preserve">souhrnným převodem </w:t>
      </w:r>
      <w:r w:rsidRPr="002A1986">
        <w:rPr>
          <w:rFonts w:ascii="Times New Roman" w:hAnsi="Times New Roman"/>
          <w:snapToGrid w:val="0"/>
          <w:sz w:val="24"/>
        </w:rPr>
        <w:t xml:space="preserve">do 8. dne následujícího měsíce. </w:t>
      </w:r>
    </w:p>
    <w:p w14:paraId="0F3A5D47" w14:textId="28945B8B"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A1986">
        <w:rPr>
          <w:rFonts w:ascii="Times New Roman" w:hAnsi="Times New Roman"/>
          <w:snapToGrid w:val="0"/>
          <w:sz w:val="24"/>
        </w:rPr>
        <w:t>23081601</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652ACD19"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A1986">
        <w:rPr>
          <w:rFonts w:ascii="Times New Roman" w:hAnsi="Times New Roman"/>
          <w:snapToGrid w:val="0"/>
          <w:sz w:val="24"/>
        </w:rPr>
        <w:t xml:space="preserve"> --</w:t>
      </w:r>
    </w:p>
    <w:p w14:paraId="12BE4293" w14:textId="360B2986"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5B047344" w:rsidR="00C51D9F" w:rsidRPr="002A1986" w:rsidRDefault="00C51D9F" w:rsidP="002A198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A1986">
        <w:rPr>
          <w:rFonts w:ascii="Times New Roman" w:hAnsi="Times New Roman"/>
          <w:snapToGrid w:val="0"/>
          <w:sz w:val="24"/>
        </w:rPr>
        <w:t>souhrnně za všechny využívané kódy poplatků (pokud úhrnné platby budou</w:t>
      </w:r>
      <w:r w:rsidRPr="002A1986">
        <w:rPr>
          <w:rFonts w:ascii="Times New Roman" w:hAnsi="Times New Roman"/>
          <w:sz w:val="24"/>
        </w:rPr>
        <w:t xml:space="preserve"> Příkazníkem převáděny v rámci jednoho termínu jedním převodem za všechny využívané kódy poplatků</w:t>
      </w:r>
      <w:r w:rsidRPr="002A1986">
        <w:rPr>
          <w:rFonts w:ascii="Times New Roman" w:hAnsi="Times New Roman"/>
          <w:snapToGrid w:val="0"/>
          <w:sz w:val="24"/>
        </w:rPr>
        <w:t xml:space="preserve">) </w:t>
      </w:r>
      <w:r w:rsidRPr="002A1986">
        <w:rPr>
          <w:rFonts w:ascii="Times New Roman" w:hAnsi="Times New Roman"/>
          <w:b/>
          <w:snapToGrid w:val="0"/>
          <w:sz w:val="24"/>
        </w:rPr>
        <w:t>na e-mailovou adresu Příkazce uvedenou v Příloze č.1, bod 1.3.</w:t>
      </w:r>
    </w:p>
    <w:p w14:paraId="2B56FD96" w14:textId="77777777" w:rsidR="002A1986" w:rsidRDefault="002A1986" w:rsidP="002A1986">
      <w:pPr>
        <w:pStyle w:val="Codstavec"/>
        <w:tabs>
          <w:tab w:val="left" w:pos="709"/>
        </w:tabs>
        <w:spacing w:before="120"/>
        <w:jc w:val="both"/>
        <w:rPr>
          <w:rFonts w:ascii="Times New Roman" w:hAnsi="Times New Roman"/>
          <w:b/>
          <w:snapToGrid w:val="0"/>
          <w:sz w:val="24"/>
        </w:rPr>
      </w:pPr>
    </w:p>
    <w:p w14:paraId="073B221E" w14:textId="77777777" w:rsidR="002A1986" w:rsidRDefault="002A1986" w:rsidP="002A1986">
      <w:pPr>
        <w:pStyle w:val="Codstavec"/>
        <w:tabs>
          <w:tab w:val="left" w:pos="709"/>
        </w:tabs>
        <w:spacing w:before="120"/>
        <w:jc w:val="both"/>
        <w:rPr>
          <w:rFonts w:ascii="Times New Roman" w:hAnsi="Times New Roman"/>
          <w:b/>
          <w:snapToGrid w:val="0"/>
          <w:sz w:val="24"/>
        </w:rPr>
      </w:pPr>
    </w:p>
    <w:p w14:paraId="5C4633F6" w14:textId="77777777" w:rsidR="002A1986" w:rsidRPr="002A1986" w:rsidRDefault="002A1986" w:rsidP="002A1986">
      <w:pPr>
        <w:pStyle w:val="Codstavec"/>
        <w:tabs>
          <w:tab w:val="left" w:pos="709"/>
        </w:tabs>
        <w:spacing w:before="120"/>
        <w:jc w:val="both"/>
        <w:rPr>
          <w:rFonts w:ascii="Times New Roman" w:hAnsi="Times New Roman"/>
          <w:snapToGrid w:val="0"/>
          <w:sz w:val="24"/>
        </w:rPr>
      </w:pPr>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85E660C" w14:textId="7D27EFEE" w:rsidR="00C51D9F" w:rsidRDefault="00C51D9F" w:rsidP="00C51D9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B8EA241" w14:textId="6B66EEEB" w:rsidR="00C51D9F" w:rsidRPr="002A1986" w:rsidRDefault="00C51D9F" w:rsidP="002A1986">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A1986">
        <w:rPr>
          <w:rFonts w:ascii="Times New Roman" w:hAnsi="Times New Roman"/>
          <w:sz w:val="24"/>
        </w:rPr>
        <w:t>na e-mailovou adresu Příkazce uvedenou v Příloze č. 1, bod 1.3.</w:t>
      </w:r>
    </w:p>
    <w:p w14:paraId="59F37A71" w14:textId="77777777" w:rsidR="00C51D9F" w:rsidRDefault="00C51D9F" w:rsidP="00C51D9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4B4BC7B4" w14:textId="77777777" w:rsidR="00C51D9F" w:rsidRDefault="00C51D9F" w:rsidP="00C51D9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39153D" w14:textId="77777777" w:rsidR="00C51D9F" w:rsidRPr="00DE2BC9" w:rsidRDefault="00C51D9F" w:rsidP="00C51D9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09AC596" w14:textId="68D8B6D8" w:rsidR="00C51D9F" w:rsidRPr="002A1986" w:rsidRDefault="00C51D9F" w:rsidP="002A198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2A1986">
        <w:rPr>
          <w:rFonts w:ascii="Times New Roman" w:hAnsi="Times New Roman"/>
          <w:b/>
          <w:sz w:val="24"/>
        </w:rPr>
        <w:t>na e-mailovou adresu Příkazce uvedenou v Příloze č. 1, bod 1.3.</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63D4FA78" w:rsidR="00226595" w:rsidRPr="002A1986" w:rsidRDefault="00226595" w:rsidP="002A198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2A1986">
        <w:rPr>
          <w:rFonts w:ascii="Times New Roman" w:hAnsi="Times New Roman"/>
          <w:snapToGrid w:val="0"/>
          <w:color w:val="3366FF"/>
          <w:sz w:val="24"/>
        </w:rPr>
        <w:t xml:space="preserve"> </w:t>
      </w:r>
      <w:r w:rsidRPr="002A1986">
        <w:rPr>
          <w:rFonts w:ascii="Times New Roman" w:hAnsi="Times New Roman"/>
          <w:b/>
          <w:snapToGrid w:val="0"/>
          <w:sz w:val="24"/>
        </w:rPr>
        <w:t xml:space="preserve">WINDOWS 1250 </w:t>
      </w:r>
      <w:r w:rsidRPr="002A1986">
        <w:rPr>
          <w:rFonts w:ascii="Times New Roman" w:hAnsi="Times New Roman"/>
          <w:snapToGrid w:val="0"/>
          <w:sz w:val="24"/>
        </w:rPr>
        <w:t>(kódová stránka 1250).</w:t>
      </w:r>
    </w:p>
    <w:p w14:paraId="2DF3D29C" w14:textId="77777777" w:rsidR="002A1986" w:rsidRDefault="002A1986" w:rsidP="002A1986">
      <w:pPr>
        <w:pStyle w:val="Codstavec"/>
        <w:tabs>
          <w:tab w:val="left" w:pos="3544"/>
        </w:tabs>
        <w:spacing w:before="120"/>
        <w:jc w:val="both"/>
        <w:rPr>
          <w:rFonts w:ascii="Times New Roman" w:hAnsi="Times New Roman"/>
          <w:snapToGrid w:val="0"/>
          <w:sz w:val="24"/>
        </w:rPr>
      </w:pPr>
    </w:p>
    <w:p w14:paraId="681637A8" w14:textId="77777777" w:rsidR="002A1986" w:rsidRDefault="002A1986" w:rsidP="002A1986">
      <w:pPr>
        <w:pStyle w:val="Codstavec"/>
        <w:tabs>
          <w:tab w:val="left" w:pos="3544"/>
        </w:tabs>
        <w:spacing w:before="120"/>
        <w:jc w:val="both"/>
        <w:rPr>
          <w:rFonts w:ascii="Times New Roman" w:hAnsi="Times New Roman"/>
          <w:snapToGrid w:val="0"/>
          <w:sz w:val="24"/>
        </w:rPr>
      </w:pPr>
    </w:p>
    <w:p w14:paraId="2316C160" w14:textId="77777777" w:rsidR="002A1986" w:rsidRDefault="002A1986" w:rsidP="002A1986">
      <w:pPr>
        <w:pStyle w:val="Codstavec"/>
        <w:tabs>
          <w:tab w:val="left" w:pos="3544"/>
        </w:tabs>
        <w:spacing w:before="120"/>
        <w:jc w:val="both"/>
        <w:rPr>
          <w:rFonts w:ascii="Times New Roman" w:hAnsi="Times New Roman"/>
          <w:snapToGrid w:val="0"/>
          <w:sz w:val="24"/>
        </w:rPr>
      </w:pPr>
    </w:p>
    <w:p w14:paraId="5619211E" w14:textId="77777777" w:rsidR="002A1986" w:rsidRPr="002A1986" w:rsidRDefault="002A1986" w:rsidP="002A1986">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2806BDF" w14:textId="77777777" w:rsidR="002A1986" w:rsidRDefault="002A1986" w:rsidP="002A1986">
      <w:pPr>
        <w:pStyle w:val="Codstavec"/>
        <w:spacing w:before="120"/>
        <w:jc w:val="both"/>
        <w:rPr>
          <w:rFonts w:ascii="Times New Roman" w:hAnsi="Times New Roman"/>
          <w:snapToGrid w:val="0"/>
          <w:sz w:val="24"/>
          <w:szCs w:val="24"/>
        </w:rPr>
      </w:pPr>
    </w:p>
    <w:p w14:paraId="48C06928" w14:textId="77777777" w:rsidR="002A1986" w:rsidRDefault="002A1986" w:rsidP="002A1986">
      <w:pPr>
        <w:pStyle w:val="Codstavec"/>
        <w:spacing w:before="120"/>
        <w:jc w:val="both"/>
        <w:rPr>
          <w:rFonts w:ascii="Times New Roman" w:hAnsi="Times New Roman"/>
          <w:snapToGrid w:val="0"/>
          <w:sz w:val="24"/>
          <w:szCs w:val="24"/>
        </w:rPr>
      </w:pPr>
    </w:p>
    <w:p w14:paraId="43BA133B" w14:textId="77777777" w:rsidR="002A1986" w:rsidRPr="002C454B" w:rsidRDefault="002A1986" w:rsidP="002A1986">
      <w:pPr>
        <w:pStyle w:val="Codstavec"/>
        <w:spacing w:before="120"/>
        <w:jc w:val="both"/>
        <w:rPr>
          <w:rFonts w:ascii="Times New Roman" w:hAnsi="Times New Roman"/>
          <w:snapToGrid w:val="0"/>
          <w:sz w:val="24"/>
          <w:szCs w:val="24"/>
        </w:rPr>
      </w:pPr>
    </w:p>
    <w:p w14:paraId="264EBC95" w14:textId="77777777" w:rsidR="004F0DEA" w:rsidRPr="00F32633" w:rsidRDefault="004F0DEA" w:rsidP="00923030">
      <w:pPr>
        <w:pStyle w:val="Nzev"/>
        <w:spacing w:before="480"/>
        <w:rPr>
          <w:sz w:val="24"/>
          <w:szCs w:val="24"/>
        </w:rPr>
      </w:pPr>
      <w:r>
        <w:rPr>
          <w:sz w:val="24"/>
          <w:szCs w:val="24"/>
        </w:rPr>
        <w:lastRenderedPageBreak/>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27577D69" w14:textId="77777777" w:rsidR="002A1986"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 xml:space="preserve">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3F4FDCC7" w14:textId="6272DBEA" w:rsidR="00760DCB" w:rsidRDefault="002A1986" w:rsidP="00760DCB">
      <w:pPr>
        <w:pStyle w:val="P-NORM-BULL-I"/>
        <w:rPr>
          <w:rFonts w:ascii="Times New Roman" w:hAnsi="Times New Roman"/>
          <w:sz w:val="24"/>
          <w:szCs w:val="24"/>
        </w:rPr>
      </w:pPr>
      <w:r>
        <w:rPr>
          <w:rFonts w:ascii="Times New Roman" w:hAnsi="Times New Roman"/>
          <w:sz w:val="24"/>
          <w:szCs w:val="24"/>
        </w:rPr>
        <w:lastRenderedPageBreak/>
        <w:tab/>
      </w:r>
      <w:r w:rsidR="00760DCB" w:rsidRPr="002166D7">
        <w:rPr>
          <w:rFonts w:ascii="Times New Roman" w:hAnsi="Times New Roman"/>
          <w:sz w:val="24"/>
          <w:szCs w:val="24"/>
        </w:rPr>
        <w:t>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47AFEA6F"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A1986">
        <w:rPr>
          <w:rFonts w:ascii="Times New Roman" w:hAnsi="Times New Roman"/>
          <w:sz w:val="24"/>
        </w:rPr>
        <w:t>Domašově</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4F0DE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2E2758AE"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A1986">
        <w:rPr>
          <w:rFonts w:ascii="Times New Roman" w:hAnsi="Times New Roman"/>
          <w:snapToGrid w:val="0"/>
          <w:sz w:val="24"/>
        </w:rPr>
        <w:t xml:space="preserve">Tomáš </w:t>
      </w:r>
      <w:proofErr w:type="spellStart"/>
      <w:r w:rsidR="002A1986">
        <w:rPr>
          <w:rFonts w:ascii="Times New Roman" w:hAnsi="Times New Roman"/>
          <w:snapToGrid w:val="0"/>
          <w:sz w:val="24"/>
        </w:rPr>
        <w:t>Pitrocha</w:t>
      </w:r>
      <w:proofErr w:type="spellEnd"/>
    </w:p>
    <w:p w14:paraId="657EBF72" w14:textId="1B626A13"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A1986">
        <w:rPr>
          <w:rFonts w:ascii="Times New Roman" w:hAnsi="Times New Roman"/>
          <w:snapToGrid w:val="0"/>
          <w:sz w:val="24"/>
        </w:rPr>
        <w:tab/>
        <w:t>jednatel</w:t>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5DD3E15" w14:textId="77777777" w:rsidR="0099487B" w:rsidRDefault="0099487B" w:rsidP="004F0DEA">
      <w:pPr>
        <w:pStyle w:val="Codstavec"/>
        <w:tabs>
          <w:tab w:val="left" w:pos="1418"/>
          <w:tab w:val="left" w:pos="5387"/>
        </w:tabs>
        <w:spacing w:before="120"/>
        <w:ind w:firstLine="0"/>
        <w:jc w:val="both"/>
        <w:rPr>
          <w:rFonts w:ascii="Times New Roman" w:hAnsi="Times New Roman"/>
          <w:b/>
          <w:snapToGrid w:val="0"/>
          <w:sz w:val="24"/>
        </w:rPr>
      </w:pPr>
    </w:p>
    <w:p w14:paraId="225B48BE" w14:textId="77777777" w:rsidR="0099487B" w:rsidRDefault="0099487B" w:rsidP="004F0DEA">
      <w:pPr>
        <w:pStyle w:val="Codstavec"/>
        <w:tabs>
          <w:tab w:val="left" w:pos="1418"/>
          <w:tab w:val="left" w:pos="5387"/>
        </w:tabs>
        <w:spacing w:before="120"/>
        <w:ind w:firstLine="0"/>
        <w:jc w:val="both"/>
        <w:rPr>
          <w:rFonts w:ascii="Times New Roman" w:hAnsi="Times New Roman"/>
          <w:b/>
          <w:snapToGrid w:val="0"/>
          <w:sz w:val="24"/>
        </w:rPr>
      </w:pPr>
    </w:p>
    <w:p w14:paraId="2F673685" w14:textId="1903C475" w:rsidR="0099487B" w:rsidRPr="008C2A45" w:rsidRDefault="0099487B" w:rsidP="004F0DEA">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99487B"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94C1FE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1F473A">
      <w:rPr>
        <w:sz w:val="16"/>
      </w:rPr>
      <w:t>06 – 149</w:t>
    </w:r>
    <w:proofErr w:type="gramEnd"/>
    <w:r w:rsidR="001F473A">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0019"/>
    <w:rsid w:val="001833D0"/>
    <w:rsid w:val="001874EC"/>
    <w:rsid w:val="001A7C7C"/>
    <w:rsid w:val="001B2211"/>
    <w:rsid w:val="001B69C8"/>
    <w:rsid w:val="001B7060"/>
    <w:rsid w:val="001C3DFE"/>
    <w:rsid w:val="001C3F15"/>
    <w:rsid w:val="001D378F"/>
    <w:rsid w:val="001E00F5"/>
    <w:rsid w:val="001E2CFB"/>
    <w:rsid w:val="001E30FC"/>
    <w:rsid w:val="001F1F02"/>
    <w:rsid w:val="001F4018"/>
    <w:rsid w:val="001F473A"/>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A1986"/>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B572A"/>
    <w:rsid w:val="004C1AA7"/>
    <w:rsid w:val="004C75D6"/>
    <w:rsid w:val="004D0405"/>
    <w:rsid w:val="004E00DF"/>
    <w:rsid w:val="004E09C9"/>
    <w:rsid w:val="004E1878"/>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381"/>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0DCB"/>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05FCC"/>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2A22"/>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87B"/>
    <w:rsid w:val="00994CB5"/>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45B26"/>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3777"/>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8E2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2181</Words>
  <Characters>12570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2025-12-05T11:29:00Z</dcterms:created>
  <dcterms:modified xsi:type="dcterms:W3CDTF">2025-12-05T11:32:00Z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