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cyperhfjzy4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DODATEK Č. 2 KE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Ě O POSKYTOVÁNÍ SLUŽBY ECOMAIL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(dále jen „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Dodatek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“)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uzavřený níže uvedeného dne, měsíce a roku a za níže sjednaných smluvních podmínek, mezi těmito smluvními stranami: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60" w:before="0" w:lineRule="auto"/>
        <w:ind w:left="708.6614173228347" w:hanging="708.6614173228347"/>
        <w:rPr/>
      </w:pPr>
      <w:bookmarkStart w:colFirst="0" w:colLast="0" w:name="_heading=h.30j0zll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ECOMAIL.CZ, s.r.o.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se sídlem na adrese Na Zderaze 1275/15 Praha 2, 120 00, IČO: 02762943, která je zapsaná u Městského soudu v Praze pod sp. zn. C 223183, za kterou jedná Ing. Jakub Stupka, 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76" w:lineRule="auto"/>
        <w:ind w:left="708.6614173228347" w:firstLine="0"/>
        <w:rPr>
          <w:rFonts w:ascii="Montserrat" w:cs="Montserrat" w:eastAsia="Montserrat" w:hAnsi="Montserrat"/>
        </w:rPr>
      </w:pPr>
      <w:bookmarkStart w:colFirst="0" w:colLast="0" w:name="_heading=h.jjsj4x1zjyha" w:id="2"/>
      <w:bookmarkEnd w:id="2"/>
      <w:r w:rsidDel="00000000" w:rsidR="00000000" w:rsidRPr="00000000">
        <w:rPr>
          <w:rFonts w:ascii="Montserrat" w:cs="Montserrat" w:eastAsia="Montserrat" w:hAnsi="Montserrat"/>
          <w:rtl w:val="0"/>
        </w:rPr>
        <w:t xml:space="preserve">(dále jen “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Poskytovatel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 nebo “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Ecomail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“)</w:t>
      </w:r>
    </w:p>
    <w:p w:rsidR="00000000" w:rsidDel="00000000" w:rsidP="00000000" w:rsidRDefault="00000000" w:rsidRPr="00000000" w14:paraId="00000007">
      <w:pPr>
        <w:spacing w:after="60" w:before="0" w:line="276" w:lineRule="auto"/>
        <w:ind w:left="708.6614173228347" w:firstLine="0"/>
        <w:rPr>
          <w:rFonts w:ascii="Montserrat" w:cs="Montserrat" w:eastAsia="Montserrat" w:hAnsi="Montserrat"/>
        </w:rPr>
      </w:pPr>
      <w:bookmarkStart w:colFirst="0" w:colLast="0" w:name="_heading=h.u0fy5xq4oc6r" w:id="3"/>
      <w:bookmarkEnd w:id="3"/>
      <w:r w:rsidDel="00000000" w:rsidR="00000000" w:rsidRPr="00000000">
        <w:rPr>
          <w:rFonts w:ascii="Montserrat" w:cs="Montserrat" w:eastAsia="Montserrat" w:hAnsi="Montserrat"/>
          <w:rtl w:val="0"/>
        </w:rPr>
        <w:t xml:space="preserve">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08" w:hanging="708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Moravská galerie v Brně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IČO: 00094871, se sídlem Husova 18, 662 26 Brno.</w:t>
      </w:r>
    </w:p>
    <w:p w:rsidR="00000000" w:rsidDel="00000000" w:rsidP="00000000" w:rsidRDefault="00000000" w:rsidRPr="00000000" w14:paraId="00000009">
      <w:pPr>
        <w:ind w:firstLine="708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(dále jen “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Uživatel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“)</w:t>
      </w:r>
    </w:p>
    <w:p w:rsidR="00000000" w:rsidDel="00000000" w:rsidP="00000000" w:rsidRDefault="00000000" w:rsidRPr="00000000" w14:paraId="0000000A">
      <w:pPr>
        <w:spacing w:line="276" w:lineRule="auto"/>
        <w:ind w:left="708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Poskytovatel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Uživatel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dále společně jako “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Smluvní strany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 a jednotlivě “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Smluvní strana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“).</w:t>
      </w:r>
    </w:p>
    <w:p w:rsidR="00000000" w:rsidDel="00000000" w:rsidP="00000000" w:rsidRDefault="00000000" w:rsidRPr="00000000" w14:paraId="0000000B">
      <w:pPr>
        <w:spacing w:after="0" w:before="200" w:line="276" w:lineRule="auto"/>
        <w:rPr>
          <w:rFonts w:ascii="Montserrat" w:cs="Montserrat" w:eastAsia="Montserrat" w:hAnsi="Montserrat"/>
        </w:rPr>
      </w:pPr>
      <w:bookmarkStart w:colFirst="0" w:colLast="0" w:name="_heading=h.ut8dkey0dbad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VZHLEDEM K TOMU, ŽE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60" w:line="276" w:lineRule="auto"/>
        <w:ind w:left="566.9291338582675" w:hanging="566.9291338582675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Smluvní strany uzavřely dne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18. 10. 2023 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mlouvu o poskytování služby Ecomail (dále jen “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Smlouva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”), ke které s účinností ke dni 31. 1. 2024 podepsaly dodatek č. 1. (dále jen “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Dodatek č. 1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”); 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before="60" w:line="276" w:lineRule="auto"/>
        <w:ind w:left="566.9291338582675" w:hanging="566.9291338582675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Smluvní strany mají zájem na trvání spolupráce, ale dohodly se na úpravě některých dílčích ujednání Smlouvy ve znění Dodatku č. 1.</w:t>
      </w:r>
    </w:p>
    <w:p w:rsidR="00000000" w:rsidDel="00000000" w:rsidP="00000000" w:rsidRDefault="00000000" w:rsidRPr="00000000" w14:paraId="0000000E">
      <w:pPr>
        <w:spacing w:before="60" w:line="276" w:lineRule="auto"/>
        <w:ind w:left="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SMLUVNÍ STRANY SE DOHODLY NA NÁSLEDUJÍCÍM:</w:t>
      </w:r>
    </w:p>
    <w:p w:rsidR="00000000" w:rsidDel="00000000" w:rsidP="00000000" w:rsidRDefault="00000000" w:rsidRPr="00000000" w14:paraId="0000000F">
      <w:pPr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32" w:right="0" w:hanging="432"/>
        <w:jc w:val="both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k74oc46cgk2r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b w:val="1"/>
          <w:smallCaps w:val="1"/>
          <w:rtl w:val="0"/>
        </w:rPr>
        <w:t xml:space="preserve">ŘEDMĚT DODATKU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before="60" w:line="276" w:lineRule="auto"/>
        <w:ind w:left="708" w:hanging="708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Pojmy a definice uvedené ve Smlouvě ve znění Dodatku č. 1 budou používány i v tomto Dodatku.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before="60" w:line="276" w:lineRule="auto"/>
        <w:ind w:left="708" w:hanging="708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Čl. 13.1. Smlouvy ve znění Dodatku č. 1 se mění tak, že jeho nové znění je:</w:t>
      </w:r>
    </w:p>
    <w:p w:rsidR="00000000" w:rsidDel="00000000" w:rsidP="00000000" w:rsidRDefault="00000000" w:rsidRPr="00000000" w14:paraId="00000012">
      <w:pPr>
        <w:spacing w:before="60" w:line="276" w:lineRule="auto"/>
        <w:ind w:left="708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13.1.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Trvání Smlouvy.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Tato Smlouva se uzavírá na dobu neurčitou.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432" w:right="0" w:hanging="432"/>
        <w:jc w:val="both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seeit0g1p94l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smallCaps w:val="1"/>
          <w:rtl w:val="0"/>
        </w:rPr>
        <w:t xml:space="preserve">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="276" w:lineRule="auto"/>
        <w:ind w:left="708" w:hanging="708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Ostatní ustanovení Smlouvy ve znění Dodatku č. 1 zůstávají tímto Dodatkem nedotčeny.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="276" w:lineRule="auto"/>
        <w:ind w:left="708" w:hanging="708"/>
        <w:rPr/>
      </w:pPr>
      <w:r w:rsidDel="00000000" w:rsidR="00000000" w:rsidRPr="00000000">
        <w:rPr>
          <w:rFonts w:ascii="Montserrat" w:cs="Montserrat" w:eastAsia="Montserrat" w:hAnsi="Montserrat"/>
          <w:color w:val="151515"/>
          <w:rtl w:val="0"/>
        </w:rPr>
        <w:t xml:space="preserve">Tento Dodatek byl sepsán ve dvou (2) stejnopisech, přičemž jeden (1) stejnopis obdrží Poskytovatel a druhý Uživatel.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40" w:before="0" w:line="276" w:lineRule="auto"/>
        <w:ind w:left="708" w:hanging="708"/>
        <w:rPr>
          <w:color w:val="151515"/>
        </w:rPr>
      </w:pPr>
      <w:r w:rsidDel="00000000" w:rsidR="00000000" w:rsidRPr="00000000">
        <w:rPr>
          <w:rFonts w:ascii="Montserrat" w:cs="Montserrat" w:eastAsia="Montserrat" w:hAnsi="Montserrat"/>
          <w:color w:val="151515"/>
          <w:rtl w:val="0"/>
        </w:rPr>
        <w:t xml:space="preserve">Tento Dodatek nabývá platnosti a účinnosti dnem jeho podpisu oběma Smluvními stranami.</w:t>
      </w: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Layout w:type="fixed"/>
        <w:tblLook w:val="0000"/>
      </w:tblPr>
      <w:tblGrid>
        <w:gridCol w:w="4343"/>
        <w:gridCol w:w="250"/>
        <w:gridCol w:w="4971"/>
        <w:tblGridChange w:id="0">
          <w:tblGrid>
            <w:gridCol w:w="4343"/>
            <w:gridCol w:w="250"/>
            <w:gridCol w:w="4971"/>
          </w:tblGrid>
        </w:tblGridChange>
      </w:tblGrid>
      <w:tr>
        <w:trPr>
          <w:cantSplit w:val="0"/>
          <w:trHeight w:val="676.359999999999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0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Za Poskytovatele: </w:t>
            </w:r>
          </w:p>
          <w:p w:rsidR="00000000" w:rsidDel="00000000" w:rsidP="00000000" w:rsidRDefault="00000000" w:rsidRPr="00000000" w14:paraId="0000001B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 ___________ dne ________________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0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0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0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Za Uživatele:</w:t>
            </w:r>
          </w:p>
          <w:p w:rsidR="00000000" w:rsidDel="00000000" w:rsidP="00000000" w:rsidRDefault="00000000" w:rsidRPr="00000000" w14:paraId="00000022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 ___________ dne 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2C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Jméno: Jakub Stupka</w:t>
            </w:r>
          </w:p>
          <w:p w:rsidR="00000000" w:rsidDel="00000000" w:rsidP="00000000" w:rsidRDefault="00000000" w:rsidRPr="00000000" w14:paraId="0000002D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Pozice: jednatel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31">
            <w:pPr>
              <w:spacing w:after="0" w:before="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Jméno: Jan Press</w:t>
            </w:r>
          </w:p>
          <w:p w:rsidR="00000000" w:rsidDel="00000000" w:rsidP="00000000" w:rsidRDefault="00000000" w:rsidRPr="00000000" w14:paraId="00000032">
            <w:pPr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Pozice: </w:t>
            </w: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703"/>
        <w:tab w:val="right" w:leader="none" w:pos="9406"/>
      </w:tabs>
      <w:jc w:val="right"/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sz w:val="20"/>
        <w:szCs w:val="20"/>
        <w:rtl w:val="0"/>
      </w:rPr>
      <w:t xml:space="preserve"> / </w:t>
    </w:r>
    <w:r w:rsidDel="00000000" w:rsidR="00000000" w:rsidRPr="00000000">
      <w:rPr>
        <w:rFonts w:ascii="Montserrat" w:cs="Montserrat" w:eastAsia="Montserrat" w:hAnsi="Montserrat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  <w:tab w:val="center" w:leader="none" w:pos="4488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708" w:hanging="708"/>
      </w:pPr>
      <w:rPr>
        <w:rFonts w:ascii="Montserrat" w:cs="Montserrat" w:eastAsia="Montserrat" w:hAnsi="Montserrat"/>
        <w:b w:val="0"/>
      </w:rPr>
    </w:lvl>
    <w:lvl w:ilvl="2">
      <w:start w:val="1"/>
      <w:numFmt w:val="decimal"/>
      <w:lvlText w:val="%1.%2.%3"/>
      <w:lvlJc w:val="left"/>
      <w:pPr>
        <w:ind w:left="1275" w:hanging="566"/>
      </w:pPr>
      <w:rPr>
        <w:rFonts w:ascii="Montserrat" w:cs="Montserrat" w:eastAsia="Montserrat" w:hAnsi="Montserra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>
        <w:rFonts w:ascii="Montserrat" w:cs="Montserrat" w:eastAsia="Montserrat" w:hAnsi="Montserrat"/>
        <w:b w:val="1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432" w:hanging="432"/>
      </w:pPr>
      <w:rPr>
        <w:highlight w:val="white"/>
      </w:rPr>
    </w:lvl>
    <w:lvl w:ilvl="1">
      <w:start w:val="1"/>
      <w:numFmt w:val="lowerLetter"/>
      <w:lvlText w:val="%2."/>
      <w:lvlJc w:val="left"/>
      <w:pPr>
        <w:ind w:left="708" w:hanging="708"/>
      </w:pPr>
      <w:rPr>
        <w:rFonts w:ascii="Montserrat" w:cs="Montserrat" w:eastAsia="Montserrat" w:hAnsi="Montserrat"/>
        <w:b w:val="0"/>
      </w:rPr>
    </w:lvl>
    <w:lvl w:ilvl="2">
      <w:start w:val="1"/>
      <w:numFmt w:val="lowerRoman"/>
      <w:lvlText w:val="%3."/>
      <w:lvlJc w:val="right"/>
      <w:pPr>
        <w:ind w:left="1275" w:hanging="566"/>
      </w:pPr>
      <w:rPr>
        <w:rFonts w:ascii="Montserrat" w:cs="Montserrat" w:eastAsia="Montserrat" w:hAnsi="Montserrat"/>
        <w:b w:val="0"/>
      </w:rPr>
    </w:lvl>
    <w:lvl w:ilvl="3">
      <w:start w:val="1"/>
      <w:numFmt w:val="decimal"/>
      <w:lvlText w:val="%4."/>
      <w:lvlJc w:val="left"/>
      <w:pPr>
        <w:ind w:left="864" w:hanging="864"/>
      </w:pPr>
      <w:rPr/>
    </w:lvl>
    <w:lvl w:ilvl="4">
      <w:start w:val="1"/>
      <w:numFmt w:val="lowerLetter"/>
      <w:lvlText w:val="%5."/>
      <w:lvlJc w:val="left"/>
      <w:pPr>
        <w:ind w:left="1008" w:hanging="1008"/>
      </w:pPr>
      <w:rPr/>
    </w:lvl>
    <w:lvl w:ilvl="5">
      <w:start w:val="1"/>
      <w:numFmt w:val="lowerRoman"/>
      <w:lvlText w:val="%6."/>
      <w:lvlJc w:val="right"/>
      <w:pPr>
        <w:ind w:left="1152" w:hanging="1152"/>
      </w:pPr>
      <w:rPr/>
    </w:lvl>
    <w:lvl w:ilvl="6">
      <w:start w:val="1"/>
      <w:numFmt w:val="decimal"/>
      <w:lvlText w:val="%7."/>
      <w:lvlJc w:val="left"/>
      <w:pPr>
        <w:ind w:left="1296" w:hanging="1296"/>
      </w:pPr>
      <w:rPr/>
    </w:lvl>
    <w:lvl w:ilvl="7">
      <w:start w:val="1"/>
      <w:numFmt w:val="lowerLetter"/>
      <w:lvlText w:val="%8."/>
      <w:lvlJc w:val="left"/>
      <w:pPr>
        <w:ind w:left="1440" w:hanging="1440"/>
      </w:pPr>
      <w:rPr/>
    </w:lvl>
    <w:lvl w:ilvl="8">
      <w:start w:val="1"/>
      <w:numFmt w:val="lowerRoman"/>
      <w:lvlText w:val="%9."/>
      <w:lvlJc w:val="right"/>
      <w:pPr>
        <w:ind w:left="1584" w:hanging="1584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708" w:hanging="708"/>
      </w:pPr>
      <w:rPr>
        <w:rFonts w:ascii="Montserrat" w:cs="Montserrat" w:eastAsia="Montserrat" w:hAnsi="Montserrat"/>
        <w:b w:val="0"/>
      </w:rPr>
    </w:lvl>
    <w:lvl w:ilvl="2">
      <w:start w:val="1"/>
      <w:numFmt w:val="decimal"/>
      <w:lvlText w:val="%1.%2.%3"/>
      <w:lvlJc w:val="left"/>
      <w:pPr>
        <w:ind w:left="1275" w:hanging="566"/>
      </w:pPr>
      <w:rPr>
        <w:rFonts w:ascii="Montserrat" w:cs="Montserrat" w:eastAsia="Montserrat" w:hAnsi="Montserra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cs-CZ"/>
      </w:rPr>
    </w:rPrDefault>
    <w:pPrDefault>
      <w:pPr>
        <w:spacing w:after="120" w:before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Montserrat Light" w:cs="Montserrat Light" w:eastAsia="Montserrat Light" w:hAnsi="Montserrat Light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widowControl w:val="0"/>
    </w:pPr>
    <w:rPr>
      <w:rFonts w:ascii="Montserrat Light" w:cs="Montserrat Light" w:eastAsia="Montserrat Light" w:hAnsi="Montserrat Light"/>
    </w:rPr>
  </w:style>
  <w:style w:type="paragraph" w:styleId="Heading3">
    <w:name w:val="heading 3"/>
    <w:basedOn w:val="Normal"/>
    <w:next w:val="Normal"/>
    <w:pPr>
      <w:widowControl w:val="0"/>
      <w:ind w:left="1276"/>
    </w:pPr>
    <w:rPr>
      <w:rFonts w:ascii="Montserrat Light" w:cs="Montserrat Light" w:eastAsia="Montserrat Light" w:hAnsi="Montserrat Light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Montserrat Light" w:cs="Montserrat Light" w:eastAsia="Montserrat Light" w:hAnsi="Montserrat Light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widowControl w:val="0"/>
    </w:pPr>
    <w:rPr>
      <w:rFonts w:ascii="Montserrat Light" w:cs="Montserrat Light" w:eastAsia="Montserrat Light" w:hAnsi="Montserrat Light"/>
    </w:rPr>
  </w:style>
  <w:style w:type="paragraph" w:styleId="Heading3">
    <w:name w:val="heading 3"/>
    <w:basedOn w:val="Normal"/>
    <w:next w:val="Normal"/>
    <w:pPr>
      <w:widowControl w:val="0"/>
      <w:ind w:left="1276"/>
    </w:pPr>
    <w:rPr>
      <w:rFonts w:ascii="Montserrat Light" w:cs="Montserrat Light" w:eastAsia="Montserrat Light" w:hAnsi="Montserrat Light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bqNle0QEXyMSuLPiXFbP9zwg0w==">CgMxLjAyDmguY3lwZXJoZmp6eTQ0MgloLjMwajB6bGwyDmguampzajR4MXpqeWhhMg5oLnUwZnk1eHE0b2M2cjIOaC51dDhka2V5MGRiYWQyDmguazc0b2M0NmNnazJyMg5oLnNlZWl0MGcxcDk0bDgAciExTzQzX1JpMll0WGhzYTFzMGVPTHRRYUg1Z2U5aTZld1o=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