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center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heading=h.yvgodmgew3pa" w:id="0"/>
      <w:bookmarkEnd w:id="0"/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DODATEK č. 1 k SERVISNÍ  SMLOUVĚ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495"/>
        </w:tabs>
        <w:spacing w:line="360" w:lineRule="auto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(dále jen Smlouva)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495"/>
        </w:tabs>
        <w:spacing w:line="360" w:lineRule="auto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ev. č. Objednatele: 150/2017 + 12/2018       ev. č. Zhotovitele:  1/2018     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podle ustanovení § 2586 a násl. zákona č. 89/2012 Sb., občanského zákoníku</w:t>
        <w:br w:type="textWrapping"/>
        <w:t xml:space="preserve"> mezi těmito smluvními stranami: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Objednatel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ind w:left="1428" w:hanging="708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Knihovna Technického muzea v Brně 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ind w:left="1428" w:hanging="708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se sídlem  Purkyňova 2950/105, 612 00 Brno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ind w:left="1428" w:hanging="708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IČ: 00101435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ind w:left="1428" w:hanging="708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zastoupen Ing. Ivo Štěpánkem, ředitelem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ind w:left="1428" w:hanging="708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Technické muzeum v Brně je státní příspěvkovou organizací, zřízenou Ministerstvem kultury ČR, Zřizovací listinou č.j.17474/2000 ve znění Rozhodnutí ministryně kultury č. 40/2012 ze dne 20.12.2012  a je oprávněno nakládat s majetkem státu dle z.č. 219/200 Sb. Technické muzeum v Brně je plátcem DPH, muzejní činnost je kulturní činností od DPH osvobozenou dle § 61 ZDPH.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ind w:left="1428" w:hanging="708"/>
        <w:rPr>
          <w:rFonts w:ascii="Georgia" w:cs="Georgia" w:eastAsia="Georgia" w:hAnsi="Georgia"/>
          <w:i w:val="1"/>
          <w:sz w:val="20"/>
          <w:szCs w:val="20"/>
        </w:rPr>
      </w:pPr>
      <w:bookmarkStart w:colFirst="0" w:colLast="0" w:name="_heading=h.27l1ivb3clmk" w:id="1"/>
      <w:bookmarkEnd w:id="1"/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(dále jako „Objednatel“)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Zhotovitel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ind w:left="1428" w:hanging="708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Tritius Solutions a.s.</w:t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ind w:left="1428" w:hanging="708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se sídlem Škrobárenská 502/1, Trnitá, 617 00 Brno, ČR.</w:t>
        <w:br w:type="textWrapping"/>
        <w:t xml:space="preserve">Pošta na Tomkova 2099, 390 01 Tábor, ČR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ind w:left="1428" w:hanging="708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IČ: 05700582,  DIČ: CZ05700582</w:t>
      </w:r>
      <w:r w:rsidDel="00000000" w:rsidR="00000000" w:rsidRPr="00000000">
        <w:rPr>
          <w:rFonts w:ascii="Georgia" w:cs="Georgia" w:eastAsia="Georgia" w:hAnsi="Georgia"/>
          <w:sz w:val="16"/>
          <w:szCs w:val="16"/>
          <w:rtl w:val="0"/>
        </w:rPr>
        <w:t xml:space="preserve"> (také MOSS identifikační číslo)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ind w:left="1428" w:hanging="708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zastoupen členem představenstva Ing. Jiřím Šilhou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ind w:left="1428" w:hanging="708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(dále jako „Zhotovitel“)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ind w:left="708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SMLUVNÍ STRANY UJEDNÁVAJÍ </w:t>
        <w:br w:type="textWrapping"/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ind w:left="720" w:firstLine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1)   nové znění článku č. III servisní smlouvy:</w:t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line="240" w:lineRule="auto"/>
        <w:ind w:left="36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Cena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hd w:fill="ffffff" w:val="clear"/>
        <w:spacing w:line="240" w:lineRule="auto"/>
        <w:ind w:left="792" w:hanging="432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Cena pravidelných servisních a udržovacích činností dle článku 2.2. bod I. této smlouvy vychází z počtu služebních PC ve všech provozech Objednatele včetně poboček, které mají týdně alespoň 10 hodin provozu. Do počtu PC se nepočítají katalogy pro čtenáře.  Objednatel sdělí počet PC do 30.6. a Zhotovitel  následně vypočte cenu ročního mimozáručního servisu dle následující tabulky:</w:t>
        <w:br w:type="textWrapping"/>
      </w:r>
    </w:p>
    <w:tbl>
      <w:tblPr>
        <w:tblStyle w:val="Table1"/>
        <w:tblW w:w="594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50"/>
        <w:gridCol w:w="2490"/>
        <w:tblGridChange w:id="0">
          <w:tblGrid>
            <w:gridCol w:w="3450"/>
            <w:gridCol w:w="249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Počet PC, postupně se cena skládá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Úroveň II. cena bez DPH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PC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372,00 Kč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2.-4. PC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204,00 Kč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5.-10. PC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120,00 Kč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 a další PC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60,00 Kč</w:t>
            </w:r>
          </w:p>
        </w:tc>
      </w:tr>
    </w:tbl>
    <w:p w:rsidR="00000000" w:rsidDel="00000000" w:rsidP="00000000" w:rsidRDefault="00000000" w:rsidRPr="00000000" w14:paraId="00000027">
      <w:pPr>
        <w:shd w:fill="ffffff" w:val="clear"/>
        <w:spacing w:line="240" w:lineRule="auto"/>
        <w:ind w:left="792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ind w:left="792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 ceně není účast na osobních schůzkách. Případné schůzky jsou zpoplatněny:</w:t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ind w:left="2232" w:hanging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Cena účasti servisního technika:</w:t>
        <w:tab/>
        <w:t xml:space="preserve">475 Kč bez DPH / 0,5h</w:t>
      </w:r>
    </w:p>
    <w:p w:rsidR="00000000" w:rsidDel="00000000" w:rsidP="00000000" w:rsidRDefault="00000000" w:rsidRPr="00000000" w14:paraId="0000002A">
      <w:pPr>
        <w:shd w:fill="ffffff" w:val="clear"/>
        <w:spacing w:line="240" w:lineRule="auto"/>
        <w:ind w:left="1512" w:hanging="719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Cena dopravy na schůzku:</w:t>
        <w:tab/>
        <w:tab/>
        <w:t xml:space="preserve">   12 Kč bez DPH / km</w:t>
        <w:br w:type="textWrapping"/>
      </w:r>
    </w:p>
    <w:p w:rsidR="00000000" w:rsidDel="00000000" w:rsidP="00000000" w:rsidRDefault="00000000" w:rsidRPr="00000000" w14:paraId="0000002B">
      <w:pPr>
        <w:shd w:fill="ffffff" w:val="clear"/>
        <w:spacing w:line="240" w:lineRule="auto"/>
        <w:ind w:left="85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Tyto ceny zahrnují veškeré související náklady a výlohy.</w:t>
      </w:r>
      <w:r w:rsidDel="00000000" w:rsidR="00000000" w:rsidRPr="00000000">
        <w:rPr>
          <w:rFonts w:ascii="Georgia" w:cs="Georgia" w:eastAsia="Georgia" w:hAnsi="Georgia"/>
          <w:rtl w:val="0"/>
        </w:rPr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hd w:fill="ffffff" w:val="clear"/>
        <w:spacing w:line="240" w:lineRule="auto"/>
        <w:ind w:left="792" w:hanging="432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Roční aktualizační poplatek ve výši 10 % z aktuální ceny všech dodaných částí a funkcí systému, které jsou po standardní záruce, včetně těch vyvinutých a dodaných zhotovitelem výlučně pro objednatele.</w:t>
      </w:r>
    </w:p>
    <w:p w:rsidR="00000000" w:rsidDel="00000000" w:rsidP="00000000" w:rsidRDefault="00000000" w:rsidRPr="00000000" w14:paraId="0000002D">
      <w:pPr>
        <w:shd w:fill="ffffff" w:val="clear"/>
        <w:spacing w:line="240" w:lineRule="auto"/>
        <w:ind w:left="792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240" w:lineRule="auto"/>
        <w:ind w:left="792" w:firstLine="0"/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Přesnou výši tohoto ročního poplatku pro následující období sdělí zhotovitel objednateli vždy nejpozději do 30. srpna předchozího roku.</w:t>
      </w:r>
    </w:p>
    <w:p w:rsidR="00000000" w:rsidDel="00000000" w:rsidP="00000000" w:rsidRDefault="00000000" w:rsidRPr="00000000" w14:paraId="0000002F">
      <w:pPr>
        <w:shd w:fill="ffffff" w:val="clear"/>
        <w:spacing w:line="240" w:lineRule="auto"/>
        <w:ind w:left="792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hd w:fill="ffffff" w:val="clear"/>
        <w:spacing w:line="240" w:lineRule="auto"/>
        <w:ind w:left="792" w:hanging="432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Pokud bude zhotovitelem prováděna činnost dle článku 2.2. bod III. této smlouvy, je její cena odvozena na základě následujících sazeb:</w:t>
      </w:r>
    </w:p>
    <w:p w:rsidR="00000000" w:rsidDel="00000000" w:rsidP="00000000" w:rsidRDefault="00000000" w:rsidRPr="00000000" w14:paraId="00000031">
      <w:pPr>
        <w:shd w:fill="ffffff" w:val="clear"/>
        <w:spacing w:line="240" w:lineRule="auto"/>
        <w:ind w:left="792" w:hanging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Cena za činnosti podle bodu 3 a), b), c):</w:t>
        <w:tab/>
        <w:t xml:space="preserve">   600 Kč bez DPH / 0,5 h</w:t>
      </w:r>
    </w:p>
    <w:p w:rsidR="00000000" w:rsidDel="00000000" w:rsidP="00000000" w:rsidRDefault="00000000" w:rsidRPr="00000000" w14:paraId="00000032">
      <w:pPr>
        <w:shd w:fill="ffffff" w:val="clear"/>
        <w:spacing w:line="240" w:lineRule="auto"/>
        <w:ind w:left="792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Cena za činnosti podle bodu 3 d), e):  </w:t>
        <w:tab/>
        <w:t xml:space="preserve">   475 Kč bez DPH / 0,5 h</w:t>
      </w:r>
    </w:p>
    <w:p w:rsidR="00000000" w:rsidDel="00000000" w:rsidP="00000000" w:rsidRDefault="00000000" w:rsidRPr="00000000" w14:paraId="00000033">
      <w:pPr>
        <w:shd w:fill="ffffff" w:val="clear"/>
        <w:spacing w:line="240" w:lineRule="auto"/>
        <w:ind w:left="1512" w:hanging="719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Cena dopravy:</w:t>
        <w:tab/>
        <w:tab/>
        <w:tab/>
        <w:tab/>
        <w:t xml:space="preserve">      12 Kč bez DPH / km</w:t>
        <w:br w:type="textWrapping"/>
      </w:r>
    </w:p>
    <w:p w:rsidR="00000000" w:rsidDel="00000000" w:rsidP="00000000" w:rsidRDefault="00000000" w:rsidRPr="00000000" w14:paraId="00000034">
      <w:pPr>
        <w:shd w:fill="ffffff" w:val="clear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 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3.4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Inflační doložka</w:t>
      </w:r>
    </w:p>
    <w:p w:rsidR="00000000" w:rsidDel="00000000" w:rsidP="00000000" w:rsidRDefault="00000000" w:rsidRPr="00000000" w14:paraId="00000035">
      <w:pPr>
        <w:shd w:fill="ffffff" w:val="clear"/>
        <w:spacing w:line="240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3.4.1 Cena sjednaná touto smlouvou bude každoročně upravena podle míry inflace (CPI) zveřejněné Českým statistickým úřadem za předchozí kalendářní rok, </w:t>
        <w:br w:type="textWrapping"/>
        <w:t xml:space="preserve">a to k 1. lednu následujícího roku podle následujících pravidel.</w:t>
      </w:r>
    </w:p>
    <w:p w:rsidR="00000000" w:rsidDel="00000000" w:rsidP="00000000" w:rsidRDefault="00000000" w:rsidRPr="00000000" w14:paraId="00000036">
      <w:pPr>
        <w:shd w:fill="ffffff" w:val="clear"/>
        <w:spacing w:line="240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3.4.2  Pokud míra inflace činí méně než 1 %, bude cena navýšena o 1 %.</w:t>
      </w:r>
    </w:p>
    <w:p w:rsidR="00000000" w:rsidDel="00000000" w:rsidP="00000000" w:rsidRDefault="00000000" w:rsidRPr="00000000" w14:paraId="00000037">
      <w:pPr>
        <w:shd w:fill="ffffff" w:val="clear"/>
        <w:spacing w:line="240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Pokud míra inflace činí 1 % až 6 % včetně, bude cena navýšena o skutečnou míru inflace.</w:t>
      </w:r>
    </w:p>
    <w:p w:rsidR="00000000" w:rsidDel="00000000" w:rsidP="00000000" w:rsidRDefault="00000000" w:rsidRPr="00000000" w14:paraId="00000038">
      <w:pPr>
        <w:shd w:fill="ffffff" w:val="clear"/>
        <w:spacing w:line="240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3.4.3 Pokud míra inflace přesáhne 6 %, bude cena navýšena pouze o 6 %.</w:t>
      </w:r>
    </w:p>
    <w:p w:rsidR="00000000" w:rsidDel="00000000" w:rsidP="00000000" w:rsidRDefault="00000000" w:rsidRPr="00000000" w14:paraId="00000039">
      <w:pPr>
        <w:shd w:fill="ffffff" w:val="clear"/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line="240" w:lineRule="auto"/>
        <w:ind w:left="1512" w:hanging="719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line="24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     2)  V článku VII. Povinnosti objednatele se doplňuje nově bod 7.11:</w:t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ind w:left="792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7.11. Objednatel souhlasí s tím, že Zhotovitel je oprávněn v potřebném rozsahu</w:t>
        <w:br w:type="textWrapping"/>
        <w:t xml:space="preserve"> a s ohledem na zachování provozní bezpečnosti a důvěrnosti systému stahovat, analyzovat, uchovávat a dále využívat data, která vznikají v rámci provozu systému Tritius u Objednatele. </w:t>
      </w:r>
    </w:p>
    <w:p w:rsidR="00000000" w:rsidDel="00000000" w:rsidP="00000000" w:rsidRDefault="00000000" w:rsidRPr="00000000" w14:paraId="0000003D">
      <w:pPr>
        <w:shd w:fill="ffffff" w:val="clear"/>
        <w:spacing w:lin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line="240" w:lineRule="auto"/>
        <w:ind w:left="360" w:firstLine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3)   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Další ujednání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hd w:fill="ffffff" w:val="clear"/>
        <w:spacing w:line="240" w:lineRule="auto"/>
        <w:ind w:left="792" w:hanging="432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Tento dodatek se řídí právním řádem České republiky, zejména podle ustanovení § 2586 a násl. zákona č. 89/2012 Sb., občanského zákoníku.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shd w:fill="ffffff" w:val="clear"/>
        <w:spacing w:line="240" w:lineRule="auto"/>
        <w:ind w:left="792" w:hanging="432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Tento dodatek je vyhotoven ve 2 stejnopisech. Každá smluvní strana obdrží 1 stejnopis tohoto dodatku.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numPr>
          <w:ilvl w:val="1"/>
          <w:numId w:val="2"/>
        </w:numPr>
        <w:shd w:fill="ffffff" w:val="clear"/>
        <w:spacing w:line="240" w:lineRule="auto"/>
        <w:ind w:left="792" w:hanging="432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Smluvní strany prohlašují, že souhlasí s uveřejněním této smlouvy i příp. jejích dodatků v registru smluv dle zákona č. 340/2015 Sb.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hd w:fill="ffffff" w:val="clear"/>
        <w:spacing w:line="240" w:lineRule="auto"/>
        <w:ind w:left="792" w:hanging="432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Tento dodatek nabývá platnosti dnem podpisu obou zúčastněných stran a účinnosti okamžikem zveřejnění v registru smluv dle zákona č. 340/2015 Sb.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300" w:lineRule="auto"/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 Brně dne 31.10.2025</w:t>
        <w:tab/>
        <w:tab/>
        <w:tab/>
        <w:tab/>
        <w:t xml:space="preserve">V Brně</w:t>
        <w:tab/>
        <w:t xml:space="preserve"> dne </w:t>
      </w: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300" w:lineRule="auto"/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300" w:lineRule="auto"/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br w:type="textWrapping"/>
        <w:tab/>
        <w:t xml:space="preserve">-----------------------------------</w:t>
        <w:tab/>
        <w:tab/>
        <w:tab/>
        <w:tab/>
        <w:t xml:space="preserve">-----------------------------------</w:t>
      </w:r>
    </w:p>
    <w:p w:rsidR="00000000" w:rsidDel="00000000" w:rsidP="00000000" w:rsidRDefault="00000000" w:rsidRPr="00000000" w14:paraId="00000048">
      <w:pPr>
        <w:spacing w:line="300" w:lineRule="auto"/>
        <w:ind w:left="720" w:firstLine="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Jiří Šilha, člen představenstva</w:t>
        <w:tab/>
        <w:tab/>
        <w:tab/>
        <w:t xml:space="preserve">Ing. Ivo Štěpánek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ředitel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(Zhotovitel)</w:t>
        <w:tab/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(Objednatel)</w:t>
        <w:tab/>
        <w:tab/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559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4.9999999999998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q8wbykm8CYZcLTwOrlPiudtqJQ==">CgMxLjAyDmgueXZnb2RtZ2V3M3BhMg5oLjI3bDFpdmIzY2xtazgAciExMThvaFZYN1lQdm12RjE3U2dlTlFUamdINkxiUWlXMjY=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2025-10-29T11:39:00Z</dcterms:created>
  <dc:creator>Pavla Stöhrová</dc:creator>
</cp:coreProperties>
</file>