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/>
        <w:keepLines/>
        <w:widowControl w:val="0"/>
        <w:shd w:val="clear" w:color="auto" w:fill="auto"/>
        <w:tabs>
          <w:tab w:pos="1416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“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Loučenský p., ř. km 8,315-9,285 (Lom u Mostu) – probírka BP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[doplnit firmu, sídlo a identifikační číslo], za kterého jedná [doplnit jméno osoby a její funkci] (dále jen „dodavatel“), tímto čestně prohlašuje, že, bude-li s ním uzavřena smlouva na plnění veřejné zakázky, zajistí po celou dobu provádění díla:</w:t>
      </w:r>
      <w:bookmarkEnd w:id="3"/>
      <w:bookmarkEnd w:id="4"/>
      <w:bookmarkEnd w:id="5"/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720" w:right="0" w:hanging="28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9" w:val="left"/>
          <w:tab w:pos="1416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11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4"/>
    </w:p>
    <w:p>
      <w:pPr>
        <w:pStyle w:val="Style1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9" w:val="left"/>
          <w:tab w:pos="1416" w:val="left"/>
        </w:tabs>
        <w:bidi w:val="0"/>
        <w:spacing w:before="0" w:after="0" w:line="240" w:lineRule="auto"/>
        <w:ind w:left="0" w:right="0" w:firstLine="44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5"/>
      <w:bookmarkEnd w:id="16"/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both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0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40" w:line="240" w:lineRule="auto"/>
        <w:ind w:left="720" w:right="0" w:hanging="280"/>
        <w:jc w:val="both"/>
      </w:pPr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20"/>
      <w:bookmarkEnd w:id="21"/>
      <w:bookmarkEnd w:id="23"/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  <w:tab w:pos="4310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870" w:val="left"/>
          <w:tab w:pos="7382" w:val="left"/>
        </w:tabs>
        <w:bidi w:val="0"/>
        <w:spacing w:before="0" w:after="440" w:line="240" w:lineRule="auto"/>
        <w:ind w:left="0" w:right="0" w:firstLine="0"/>
        <w:jc w:val="center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  <w:tab w:pos="4310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14" w:left="1113" w:right="1099" w:bottom="1214" w:header="78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6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  <w:ind w:left="580" w:hanging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