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43"/>
        <w:gridCol w:w="10699"/>
        <w:gridCol w:w="28"/>
      </w:tblGrid>
      <w:tr>
        <w:trPr>
          <w:trHeight w:val="100" w:hRule="atLeast"/>
        </w:trPr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99"/>
            </w:tblGrid>
            <w:tr>
              <w:trPr>
                <w:trHeight w:val="10555" w:hRule="atLeast"/>
              </w:trPr>
              <w:tc>
                <w:tcPr>
                  <w:tcW w:w="1069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>
                    <w:trPr>
                      <w:trHeight w:val="2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205"/>
                          <w:gridCol w:w="90"/>
                          <w:gridCol w:w="5385"/>
                        </w:tblGrid>
                        <w:tr>
                          <w:trPr>
                            <w:trHeight w:val="188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77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Kontakt na odběratele: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Ing. Hlavnička Martin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+420 224 907 868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martin.hlavnicka@czechtrade.cz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5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Název a adresa dodavatele: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PhDr. Igor Záruba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01859366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Krymská 126/2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10100 Praha Vršovice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7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restart"/>
                      </w:tcPr>
                      <w:tbl>
                        <w:tblPr>
                          <w:tblBorders>
                            <w:top w:val="single" w:color="C0C0C0" w:sz="3"/>
                            <w:left w:val="single" w:color="C0C0C0" w:sz="3"/>
                            <w:bottom w:val="single" w:color="C0C0C0" w:sz="3"/>
                            <w:right w:val="single" w:color="C0C0C0" w:sz="3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"/>
                          <w:gridCol w:w="10627"/>
                        </w:tblGrid>
                        <w:tr>
                          <w:trPr>
                            <w:trHeight w:val="56" w:hRule="atLeast"/>
                          </w:trPr>
                          <w:tc>
                            <w:tcPr>
                              <w:tcW w:w="54" w:type="dxa"/>
                              <w:tcBorders>
                                <w:top w:val="single" w:color="C0C0C0" w:sz="3"/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color="C0C0C0" w:sz="3"/>
                              </w:tcBorders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313"/>
                                <w:gridCol w:w="5313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20"/>
                                      </w:rPr>
                                      <w:t xml:space="preserve">INOB201701920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3" w:hRule="atLeast"/>
                          </w:trPr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  <w:bottom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0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402"/>
                          <w:gridCol w:w="8063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Objednáváme toto zboží/služby: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Služby v rámci propagace Astana EXPO 2017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Specifikace: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Obsahem objednávky jsou tyto výstupy: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• Příprava konceptu obsahového třídění webové stránky astanaexpo2017.cz 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• Zpracování obsahu zpráv pro jednotlivé sekce webové stránky 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• Správa fotografií na jednotném disku a výběr fotografií pro publikace na webové stránce 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• Příprava podkladu pro video materiály kanceláře komisaře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• Příprava textových materiálů pro promo kampaň EXPO kanceláře komisaře české účasti 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• Příprava konceptu rozpracování výstupů téma: výsledky EXPO – textové materiály a podklady pro grafika 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Termín plnění : v průběhu konání výstavy do 30.9.2017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Rozsah plnění: maximálně 326 hodin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Hodinová sazba: 230 Kč/hod.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90 726,00 Kč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30.9.2017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Dittrichova 21, 12801 Praha 2, CZ - Česká republika 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bankovním převodem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faxem nebo e-mailem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>
                          <w:trPr>
                            <w:trHeight w:val="41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952" w:hRule="atLeast"/>
                          </w:trPr>
                          <w:tc>
                            <w:tcPr>
                              <w:tcW w:w="316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Objednávku akceptujeme v celém jejím znění</w:t>
                              </w:r>
                            </w:p>
                          </w:tc>
                          <w:tc>
                            <w:tcPr>
                              <w:tcW w:w="26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59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0519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Pokyny pro dodavatele: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číslo objednávky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Pokud nejste plátci DPH, na faktuře uveďte: Nejsme plátci DPH.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pgSz w:w="11905" w:h="16837"/>
      <w:pgMar w:top="566" w:right="566" w:bottom="566" w:left="566" w:header="" w:footer="" w:gutter=""/>
    </w:sectPr>
  </w:body>
</w:document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0771"/>
    </w:tblGrid>
    <w:tr>
      <w:trPr/>
      <w:tc>
        <w:tcPr>
          <w:tcW w:w="10771" w:type="dxa"/>
        </w:tcPr>
        <w:tbl>
          <w:tblPr>
            <w:tblBorders>
              <w:top w:val="nil" w:color="000000" w:sz="7"/>
              <w:left w:val="nil" w:color="000000" w:sz="7"/>
              <w:bottom w:val="nil" w:color="000000" w:sz="7"/>
              <w:right w:val="nil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771"/>
          </w:tblGrid>
          <w:tr>
            <w:trPr>
              <w:trHeight w:val="396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10771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71"/>
                </w:tblGrid>
                <w:tr>
                  <w:trPr>
                    <w:trHeight w:val="807" w:hRule="atLeast"/>
                  </w:trPr>
                  <w:tc>
                    <w:tcPr>
                      <w:tcW w:w="10771" w:type="dxa"/>
                      <w:tcBorders>
                        <w:top w:val="single" w:color="000000" w:sz="3"/>
                        <w:left w:val="single" w:color="000000" w:sz="3"/>
                        <w:bottom w:val="single" w:color="000000" w:sz="3"/>
                        <w:right w:val="single" w:color="000000" w:sz="3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Česká agentura na podporu obchodu / CzechTrade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Adresa: Dittrichova 21, 128 01 Praha 28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ČNB, č.ú.: 87434011/0710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jsme plátci DPH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</w:tr>
          <w:tr>
            <w:trPr>
              <w:trHeight w:val="58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0771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INOBNahled</dc:title>
</cp:coreProperties>
</file>