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940" w:after="0" w:line="240" w:lineRule="auto"/>
        <w:ind w:left="0" w:right="0" w:firstLine="0"/>
        <w:jc w:val="center"/>
      </w:pPr>
      <w:r>
        <w:rPr>
          <w:color w:val="000000"/>
          <w:spacing w:val="0"/>
          <w:w w:val="100"/>
          <w:position w:val="0"/>
          <w:shd w:val="clear" w:color="auto" w:fill="auto"/>
          <w:lang w:val="cs-CZ" w:eastAsia="cs-CZ" w:bidi="cs-CZ"/>
        </w:rPr>
        <w:t>Dodatek č. 2 ke</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7"/>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7"/>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1381/2024</w:t>
      </w:r>
      <w:bookmarkEnd w:id="3"/>
      <w:bookmarkEnd w:id="4"/>
      <w:bookmarkEnd w:id="5"/>
    </w:p>
    <w:p>
      <w:pPr>
        <w:pStyle w:val="Style7"/>
        <w:keepNext/>
        <w:keepLines/>
        <w:widowControl w:val="0"/>
        <w:shd w:val="clear" w:color="auto" w:fill="auto"/>
        <w:bidi w:val="0"/>
        <w:spacing w:before="0" w:line="240" w:lineRule="auto"/>
        <w:ind w:left="260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 Vary - Horova 12 - osobní výtah”</w:t>
      </w:r>
    </w:p>
    <w:p>
      <w:pPr>
        <w:pStyle w:val="Style7"/>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7"/>
        <w:keepNext/>
        <w:keepLines/>
        <w:widowControl w:val="0"/>
        <w:shd w:val="clear" w:color="auto" w:fill="auto"/>
        <w:tabs>
          <w:tab w:pos="2794"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w:t>
      </w:r>
      <w:bookmarkEnd w:id="12"/>
      <w:bookmarkEnd w:id="13"/>
      <w:bookmarkEnd w:id="14"/>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7"/>
        <w:keepNext/>
        <w:keepLines/>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7"/>
        <w:keepNext/>
        <w:keepLines/>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p>
      <w:pPr>
        <w:pStyle w:val="Style7"/>
        <w:keepNext/>
        <w:keepLines/>
        <w:widowControl w:val="0"/>
        <w:shd w:val="clear" w:color="auto" w:fill="auto"/>
        <w:tabs>
          <w:tab w:pos="2794" w:val="left"/>
        </w:tabs>
        <w:bidi w:val="0"/>
        <w:spacing w:before="0" w:after="0" w:line="240" w:lineRule="auto"/>
        <w:ind w:left="0" w:right="0" w:firstLine="0"/>
        <w:jc w:val="left"/>
      </w:pPr>
      <w:bookmarkStart w:id="18" w:name="bookmark18"/>
      <w:bookmarkStart w:id="19" w:name="bookmark19"/>
      <w:r>
        <w:rPr>
          <w:b/>
          <w:bCs/>
          <w:color w:val="000000"/>
          <w:spacing w:val="0"/>
          <w:w w:val="100"/>
          <w:position w:val="0"/>
          <w:shd w:val="clear" w:color="auto" w:fill="auto"/>
          <w:lang w:val="cs-CZ" w:eastAsia="cs-CZ" w:bidi="cs-CZ"/>
        </w:rPr>
        <w:t>zhotovitel:</w:t>
        <w:tab/>
        <w:t>VÝTAHY VANĚRKA s.r.o.</w:t>
      </w:r>
      <w:bookmarkEnd w:id="18"/>
      <w:bookmarkEnd w:id="19"/>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U hrádku 2960, 415 01 Teplice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254 79 296</w:t>
      </w:r>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CZ25479296</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oddíl C, vložka 20025 tel.:</w:t>
        <w:tab/>
        <w:t>e-mail:</w:t>
      </w:r>
    </w:p>
    <w:p>
      <w:pPr>
        <w:pStyle w:val="Style9"/>
        <w:keepNext w:val="0"/>
        <w:keepLines w:val="0"/>
        <w:widowControl w:val="0"/>
        <w:shd w:val="clear" w:color="auto" w:fill="auto"/>
        <w:bidi w:val="0"/>
        <w:spacing w:before="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(dále jen „zhotovitel“)</w:t>
      </w:r>
      <w:bookmarkEnd w:id="21"/>
      <w:bookmarkEnd w:id="22"/>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9"/>
        <w:keepNext w:val="0"/>
        <w:keepLines w:val="0"/>
        <w:widowControl w:val="0"/>
        <w:numPr>
          <w:ilvl w:val="0"/>
          <w:numId w:val="1"/>
        </w:numPr>
        <w:shd w:val="clear" w:color="auto" w:fill="auto"/>
        <w:tabs>
          <w:tab w:pos="397" w:val="left"/>
        </w:tabs>
        <w:bidi w:val="0"/>
        <w:spacing w:before="0" w:after="200" w:line="240" w:lineRule="auto"/>
        <w:ind w:left="0" w:right="0" w:firstLine="0"/>
        <w:jc w:val="both"/>
      </w:pPr>
      <w:bookmarkStart w:id="23" w:name="bookmark23"/>
      <w:bookmarkEnd w:id="23"/>
      <w:r>
        <w:rPr>
          <w:b/>
          <w:bCs/>
          <w:color w:val="000000"/>
          <w:spacing w:val="0"/>
          <w:w w:val="100"/>
          <w:position w:val="0"/>
          <w:shd w:val="clear" w:color="auto" w:fill="auto"/>
          <w:lang w:val="cs-CZ" w:eastAsia="cs-CZ" w:bidi="cs-CZ"/>
        </w:rPr>
        <w:t xml:space="preserve">předmětu díla </w:t>
      </w:r>
      <w:r>
        <w:rPr>
          <w:color w:val="000000"/>
          <w:spacing w:val="0"/>
          <w:w w:val="100"/>
          <w:position w:val="0"/>
          <w:shd w:val="clear" w:color="auto" w:fill="auto"/>
          <w:lang w:val="cs-CZ" w:eastAsia="cs-CZ" w:bidi="cs-CZ"/>
        </w:rPr>
        <w:t>v rozsahu přílohy tohoto dodatku – Oceněného soupisu prací změn závazku ze dne 14.11.2025,</w:t>
      </w:r>
    </w:p>
    <w:p>
      <w:pPr>
        <w:pStyle w:val="Style9"/>
        <w:keepNext w:val="0"/>
        <w:keepLines w:val="0"/>
        <w:widowControl w:val="0"/>
        <w:numPr>
          <w:ilvl w:val="0"/>
          <w:numId w:val="1"/>
        </w:numPr>
        <w:shd w:val="clear" w:color="auto" w:fill="auto"/>
        <w:tabs>
          <w:tab w:pos="406" w:val="left"/>
        </w:tabs>
        <w:bidi w:val="0"/>
        <w:spacing w:before="0" w:after="200" w:line="240" w:lineRule="auto"/>
        <w:ind w:left="0" w:right="0" w:firstLine="0"/>
        <w:jc w:val="both"/>
      </w:pPr>
      <w:bookmarkStart w:id="24" w:name="bookmark24"/>
      <w:bookmarkEnd w:id="24"/>
      <w:r>
        <w:rPr>
          <w:b/>
          <w:bCs/>
          <w:color w:val="000000"/>
          <w:spacing w:val="0"/>
          <w:w w:val="100"/>
          <w:position w:val="0"/>
          <w:shd w:val="clear" w:color="auto" w:fill="auto"/>
          <w:lang w:val="cs-CZ" w:eastAsia="cs-CZ" w:bidi="cs-CZ"/>
        </w:rPr>
        <w:t xml:space="preserve">termínu předání a převzetí dokončeného díla </w:t>
      </w:r>
      <w:r>
        <w:rPr>
          <w:color w:val="000000"/>
          <w:spacing w:val="0"/>
          <w:w w:val="100"/>
          <w:position w:val="0"/>
          <w:shd w:val="clear" w:color="auto" w:fill="auto"/>
          <w:lang w:val="cs-CZ" w:eastAsia="cs-CZ" w:bidi="cs-CZ"/>
        </w:rPr>
        <w:t>z důvodu projednávání a realizace změn plnění závazku,</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5" w:name="bookmark25"/>
      <w:bookmarkEnd w:id="25"/>
      <w:r>
        <w:rPr>
          <w:b/>
          <w:bCs/>
          <w:color w:val="000000"/>
          <w:spacing w:val="0"/>
          <w:w w:val="100"/>
          <w:position w:val="0"/>
          <w:shd w:val="clear" w:color="auto" w:fill="auto"/>
          <w:lang w:val="cs-CZ" w:eastAsia="cs-CZ" w:bidi="cs-CZ"/>
        </w:rPr>
        <w:t>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 14.11.2025 odsouhlaseného oběma smluvními stranami.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200" w:line="240" w:lineRule="auto"/>
        <w:ind w:left="0" w:right="0" w:firstLine="0"/>
        <w:jc w:val="both"/>
      </w:pPr>
      <w:bookmarkStart w:id="26" w:name="bookmark26"/>
      <w:bookmarkEnd w:id="26"/>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se mění v rozsahu přílohy tohoto dodatku – Oceněného soupisu prací změn závazku ze dne 14.11.2025,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27" w:name="bookmark27"/>
      <w:bookmarkEnd w:id="27"/>
      <w:r>
        <w:rPr>
          <w:b/>
          <w:bCs/>
          <w:color w:val="000000"/>
          <w:spacing w:val="0"/>
          <w:w w:val="100"/>
          <w:position w:val="0"/>
          <w:shd w:val="clear" w:color="auto" w:fill="auto"/>
          <w:lang w:val="cs-CZ" w:eastAsia="cs-CZ" w:bidi="cs-CZ"/>
        </w:rPr>
        <w:t xml:space="preserve">Čl. II. Termín plnění, odst. 1. písm. d) předání a převzetí dokončeného díla: </w:t>
      </w:r>
      <w:r>
        <w:rPr>
          <w:color w:val="000000"/>
          <w:spacing w:val="0"/>
          <w:w w:val="100"/>
          <w:position w:val="0"/>
          <w:shd w:val="clear" w:color="auto" w:fill="auto"/>
          <w:lang w:val="cs-CZ" w:eastAsia="cs-CZ" w:bidi="cs-CZ"/>
        </w:rPr>
        <w:t>Původní znění: nejpozději do 30.11.2025</w:t>
      </w:r>
    </w:p>
    <w:p>
      <w:pPr>
        <w:pStyle w:val="Style9"/>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Nové znění: 31.12.2025</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28" w:name="bookmark28"/>
      <w:bookmarkEnd w:id="28"/>
      <w:r>
        <w:rPr>
          <w:b/>
          <w:bCs/>
          <w:color w:val="000000"/>
          <w:spacing w:val="0"/>
          <w:w w:val="100"/>
          <w:position w:val="0"/>
          <w:shd w:val="clear" w:color="auto" w:fill="auto"/>
          <w:lang w:val="cs-CZ" w:eastAsia="cs-CZ" w:bidi="cs-CZ"/>
        </w:rPr>
        <w:t>Čl. III. Cena, bod 4.</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Celková cena je součtem cen dle soupisu prací k akci č. 502929 "K. Vary – Horova 12 - osobní výtah"</w:t>
      </w:r>
    </w:p>
    <w:p>
      <w:pPr>
        <w:pStyle w:val="Style9"/>
        <w:keepNext w:val="0"/>
        <w:keepLines w:val="0"/>
        <w:widowControl w:val="0"/>
        <w:shd w:val="clear" w:color="auto" w:fill="auto"/>
        <w:tabs>
          <w:tab w:pos="2126" w:val="left"/>
          <w:tab w:pos="6658"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Celková smluvní cena bez DPH</w:t>
        <w:tab/>
        <w:t>939.000,00 Kč</w:t>
      </w:r>
    </w:p>
    <w:p>
      <w:pPr>
        <w:pStyle w:val="Style9"/>
        <w:keepNext w:val="0"/>
        <w:keepLines w:val="0"/>
        <w:widowControl w:val="0"/>
        <w:shd w:val="clear" w:color="auto" w:fill="auto"/>
        <w:tabs>
          <w:tab w:pos="2126" w:val="left"/>
          <w:tab w:pos="6432"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Nové znění:</w:t>
        <w:tab/>
        <w:t>Celková smluvní cena bez DPH</w:t>
        <w:tab/>
        <w:t>1.137.848,57 Kč</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Plnění předmětu tohoto dodatku smlouvy před účinností tohoto dodatku smlouvy se považuje za plnění podle tohoto dodatku smlouvy a práva a povinnosti z něj vzniklé se řídí tímto dodatkem smlouvy.</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Příloha č.1 Oceněný soupis prací změn závazku ze dne 14.11.2025</w:t>
      </w:r>
    </w:p>
    <w:tbl>
      <w:tblPr>
        <w:tblOverlap w:val="never"/>
        <w:jc w:val="left"/>
        <w:tblLayout w:type="fixed"/>
      </w:tblPr>
      <w:tblGrid>
        <w:gridCol w:w="4478"/>
        <w:gridCol w:w="3706"/>
      </w:tblGrid>
      <w:tr>
        <w:trPr>
          <w:trHeight w:val="3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V Duchcově</w:t>
            </w:r>
          </w:p>
        </w:tc>
      </w:tr>
      <w:tr>
        <w:trPr>
          <w:trHeight w:val="46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oprávněný zástupce zhotovitele</w:t>
            </w:r>
          </w:p>
        </w:tc>
      </w:tr>
    </w:tbl>
    <w:p>
      <w:pPr>
        <w:sectPr>
          <w:footerReference w:type="default" r:id="rId5"/>
          <w:footnotePr>
            <w:pos w:val="pageBottom"/>
            <w:numFmt w:val="decimal"/>
            <w:numRestart w:val="continuous"/>
          </w:footnotePr>
          <w:pgSz w:w="11909" w:h="16838"/>
          <w:pgMar w:top="1264" w:left="1396" w:right="1386" w:bottom="1858" w:header="836" w:footer="3"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34" w:left="1396" w:right="2870" w:bottom="1334" w:header="0" w:footer="3" w:gutter="0"/>
          <w:cols w:num="2" w:space="2363"/>
          <w:noEndnote/>
          <w:rtlGutter w:val="0"/>
          <w:docGrid w:linePitch="360"/>
        </w:sectPr>
      </w:pPr>
      <w:r>
        <w:rPr>
          <w:color w:val="000000"/>
          <w:spacing w:val="0"/>
          <w:w w:val="100"/>
          <w:position w:val="0"/>
          <w:shd w:val="clear" w:color="auto" w:fill="auto"/>
          <w:lang w:val="cs-CZ" w:eastAsia="cs-CZ" w:bidi="cs-CZ"/>
        </w:rPr>
        <w:t>VÝTAHY VANĚRKA s.r.o.</w:t>
      </w:r>
    </w:p>
    <w:sectPr>
      <w:footnotePr>
        <w:pos w:val="pageBottom"/>
        <w:numFmt w:val="decimal"/>
        <w:numRestart w:val="continuous"/>
      </w:footnotePr>
      <w:type w:val="continuous"/>
      <w:pgSz w:w="11909" w:h="16838"/>
      <w:pgMar w:top="1334" w:left="1396" w:right="2870" w:bottom="1334" w:header="0" w:footer="3" w:gutter="0"/>
      <w:cols w:num="2" w:space="236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5842635</wp:posOffset>
              </wp:positionH>
              <wp:positionV relativeFrom="page">
                <wp:posOffset>10163175</wp:posOffset>
              </wp:positionV>
              <wp:extent cx="822960" cy="204470"/>
              <wp:wrapNone/>
              <wp:docPr id="1" name="Shape 1"/>
              <a:graphic xmlns:a="http://schemas.openxmlformats.org/drawingml/2006/main">
                <a:graphicData uri="http://schemas.microsoft.com/office/word/2010/wordprocessingShape">
                  <wps:wsp>
                    <wps:cNvSpPr txBox="1"/>
                    <wps:spPr>
                      <a:xfrm>
                        <a:ext cx="82296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r>
                            <w:rPr>
                              <w:rFonts w:ascii="Arial" w:eastAsia="Arial" w:hAnsi="Arial" w:cs="Arial"/>
                              <w:color w:val="000000"/>
                              <w:spacing w:val="0"/>
                              <w:w w:val="100"/>
                              <w:position w:val="0"/>
                              <w:sz w:val="22"/>
                              <w:szCs w:val="22"/>
                              <w:shd w:val="clear" w:color="auto" w:fill="auto"/>
                              <w:lang w:val="cs-CZ" w:eastAsia="cs-CZ" w:bidi="cs-CZ"/>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05000000000001pt;margin-top:800.25pt;width:64.79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r>
                      <w:rPr>
                        <w:rFonts w:ascii="Arial" w:eastAsia="Arial" w:hAnsi="Arial" w:cs="Arial"/>
                        <w:color w:val="000000"/>
                        <w:spacing w:val="0"/>
                        <w:w w:val="100"/>
                        <w:position w:val="0"/>
                        <w:sz w:val="22"/>
                        <w:szCs w:val="22"/>
                        <w:shd w:val="clear" w:color="auto" w:fill="auto"/>
                        <w:lang w:val="cs-CZ" w:eastAsia="cs-CZ" w:bidi="cs-CZ"/>
                      </w:rPr>
                      <w:t xml:space="preserve"> z 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470" w:after="9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