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4F1C62B8"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74460A">
        <w:rPr>
          <w:rFonts w:ascii="Calibri" w:hAnsi="Calibri" w:cs="Calibri"/>
          <w:b/>
          <w:bCs/>
          <w:iCs/>
          <w:sz w:val="22"/>
          <w:szCs w:val="22"/>
        </w:rPr>
        <w:t>2</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0AEE2763"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74460A" w:rsidRPr="001C64F5">
        <w:rPr>
          <w:rFonts w:asciiTheme="minorHAnsi" w:hAnsiTheme="minorHAnsi" w:cstheme="minorHAnsi"/>
          <w:b/>
          <w:bCs/>
          <w:noProof/>
          <w:sz w:val="22"/>
          <w:szCs w:val="22"/>
        </w:rPr>
        <w:t>Ústav experimentální botaniky AV ČR, v. v. i.</w:t>
      </w:r>
      <w:r>
        <w:rPr>
          <w:rFonts w:asciiTheme="minorHAnsi" w:hAnsiTheme="minorHAnsi" w:cstheme="minorHAnsi"/>
          <w:b/>
          <w:bCs/>
          <w:sz w:val="22"/>
          <w:szCs w:val="22"/>
        </w:rPr>
        <w:fldChar w:fldCharType="end"/>
      </w:r>
    </w:p>
    <w:p w14:paraId="100F6AC4" w14:textId="4FFCDD03"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74460A" w:rsidRPr="001C64F5">
        <w:rPr>
          <w:rFonts w:asciiTheme="minorHAnsi" w:hAnsiTheme="minorHAnsi" w:cstheme="minorHAnsi"/>
          <w:noProof/>
          <w:sz w:val="22"/>
          <w:szCs w:val="22"/>
        </w:rPr>
        <w:t>61389030</w:t>
      </w:r>
      <w:r w:rsidR="00A21483">
        <w:rPr>
          <w:rFonts w:asciiTheme="minorHAnsi" w:hAnsiTheme="minorHAnsi" w:cstheme="minorHAnsi"/>
          <w:sz w:val="22"/>
          <w:szCs w:val="22"/>
        </w:rPr>
        <w:fldChar w:fldCharType="end"/>
      </w:r>
    </w:p>
    <w:p w14:paraId="6319052B" w14:textId="0110D884"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74460A" w:rsidRPr="001C64F5">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3C195806"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74460A" w:rsidRPr="001C64F5">
        <w:rPr>
          <w:rFonts w:asciiTheme="minorHAnsi" w:hAnsiTheme="minorHAnsi" w:cstheme="minorHAnsi"/>
          <w:noProof/>
          <w:sz w:val="22"/>
          <w:szCs w:val="22"/>
        </w:rPr>
        <w:t>Rozvojová 263, 16500, Praha-Lysolaje</w:t>
      </w:r>
      <w:r w:rsidR="00A21483">
        <w:rPr>
          <w:rFonts w:asciiTheme="minorHAnsi" w:hAnsiTheme="minorHAnsi" w:cstheme="minorHAnsi"/>
          <w:sz w:val="22"/>
          <w:szCs w:val="22"/>
        </w:rPr>
        <w:fldChar w:fldCharType="end"/>
      </w:r>
    </w:p>
    <w:p w14:paraId="56050E13" w14:textId="4CFC3C59"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"Číslo_účtu_příjemce" </w:instrText>
      </w:r>
      <w:r w:rsidR="00A21483">
        <w:rPr>
          <w:rFonts w:asciiTheme="minorHAnsi" w:hAnsiTheme="minorHAnsi" w:cstheme="minorHAnsi"/>
          <w:sz w:val="22"/>
          <w:szCs w:val="22"/>
        </w:rPr>
        <w:fldChar w:fldCharType="separate"/>
      </w:r>
      <w:r w:rsidR="00A21483">
        <w:rPr>
          <w:rFonts w:asciiTheme="minorHAnsi" w:hAnsiTheme="minorHAnsi" w:cstheme="minorHAnsi"/>
          <w:sz w:val="22"/>
          <w:szCs w:val="22"/>
        </w:rPr>
        <w:fldChar w:fldCharType="end"/>
      </w:r>
    </w:p>
    <w:p w14:paraId="1AF9CCB7" w14:textId="62FD0831"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74460A" w:rsidRPr="001C64F5">
        <w:rPr>
          <w:rFonts w:asciiTheme="minorHAnsi" w:hAnsiTheme="minorHAnsi" w:cstheme="minorHAnsi"/>
          <w:bCs/>
          <w:noProof/>
          <w:sz w:val="22"/>
          <w:szCs w:val="22"/>
        </w:rPr>
        <w:t>RNDr. Janem Martincem, CSc.,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43CDE659"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74460A" w:rsidRPr="001C64F5">
        <w:rPr>
          <w:rFonts w:asciiTheme="minorHAnsi" w:hAnsiTheme="minorHAnsi" w:cstheme="minorHAnsi"/>
          <w:b/>
          <w:bCs/>
          <w:noProof/>
          <w:sz w:val="22"/>
          <w:szCs w:val="22"/>
        </w:rPr>
        <w:t>LUC25047</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74460A" w:rsidRPr="001C64F5">
        <w:rPr>
          <w:rFonts w:asciiTheme="minorHAnsi" w:hAnsiTheme="minorHAnsi" w:cstheme="minorHAnsi"/>
          <w:b/>
          <w:bCs/>
          <w:noProof/>
          <w:sz w:val="22"/>
          <w:szCs w:val="22"/>
        </w:rPr>
        <w:t>Příjem, transport a osud plastových nanočástic v podmínkách stresu suchem</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5319CE2C"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4E0005DD"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74460A" w:rsidRPr="001C64F5">
        <w:rPr>
          <w:rFonts w:ascii="Calibri" w:hAnsi="Calibri" w:cs="Calibri"/>
          <w:b/>
          <w:bCs/>
          <w:noProof/>
          <w:color w:val="000000"/>
          <w:sz w:val="22"/>
          <w:szCs w:val="22"/>
        </w:rPr>
        <w:t>2 092 500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74460A" w:rsidRPr="001C64F5">
        <w:rPr>
          <w:rFonts w:ascii="Calibri" w:hAnsi="Calibri" w:cs="Calibri"/>
          <w:b/>
          <w:bCs/>
          <w:noProof/>
          <w:color w:val="000000"/>
          <w:sz w:val="22"/>
          <w:szCs w:val="22"/>
        </w:rPr>
        <w:t>dva miliony devadesát dva tisíc pět set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361A727D"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3D075A">
        <w:rPr>
          <w:rFonts w:asciiTheme="minorHAnsi" w:hAnsiTheme="minorHAnsi" w:cstheme="minorHAnsi"/>
          <w:b/>
          <w:bCs/>
          <w:sz w:val="22"/>
          <w:szCs w:val="22"/>
        </w:rPr>
        <w:t>3. října</w:t>
      </w:r>
      <w:r w:rsidR="00A63ECC">
        <w:rPr>
          <w:rFonts w:asciiTheme="minorHAnsi" w:hAnsiTheme="minorHAnsi" w:cstheme="minorHAnsi"/>
          <w:b/>
          <w:bCs/>
          <w:sz w:val="22"/>
          <w:szCs w:val="22"/>
        </w:rPr>
        <w:t xml:space="preserve">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30D41DC"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74460A" w:rsidRPr="001C64F5">
        <w:rPr>
          <w:rFonts w:asciiTheme="minorHAnsi" w:hAnsiTheme="minorHAnsi" w:cstheme="minorHAnsi"/>
          <w:b/>
          <w:bCs/>
          <w:noProof/>
          <w:sz w:val="22"/>
          <w:szCs w:val="22"/>
        </w:rPr>
        <w:t>2 092 500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74460A" w:rsidRPr="001C64F5">
        <w:rPr>
          <w:rFonts w:ascii="Calibri" w:hAnsi="Calibri" w:cs="Calibri"/>
          <w:b/>
          <w:bCs/>
          <w:noProof/>
          <w:color w:val="000000"/>
          <w:sz w:val="22"/>
          <w:szCs w:val="22"/>
        </w:rPr>
        <w:t>dva miliony devadesát dva tisíc pět set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286D05B5"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74460A" w:rsidRPr="001C64F5">
        <w:rPr>
          <w:rFonts w:asciiTheme="minorHAnsi" w:hAnsiTheme="minorHAnsi" w:cstheme="minorHAnsi"/>
          <w:noProof/>
          <w:sz w:val="22"/>
          <w:szCs w:val="22"/>
        </w:rPr>
        <w:t>RNDr. Jan Martinec, CSc.</w:t>
      </w:r>
      <w:r w:rsidR="00A21483">
        <w:rPr>
          <w:rFonts w:asciiTheme="minorHAnsi" w:hAnsiTheme="minorHAnsi" w:cstheme="minorHAnsi"/>
          <w:sz w:val="22"/>
          <w:szCs w:val="22"/>
        </w:rPr>
        <w:fldChar w:fldCharType="end"/>
      </w:r>
    </w:p>
    <w:p w14:paraId="5812D9A0" w14:textId="1A27C884"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74460A" w:rsidRPr="001C64F5">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7901DC57" w:rsidR="000F5CCA" w:rsidRDefault="00D81D12" w:rsidP="00DB10F7">
    <w:pPr>
      <w:pStyle w:val="Zhlav"/>
      <w:rPr>
        <w:rFonts w:asciiTheme="minorHAnsi" w:hAnsiTheme="minorHAnsi" w:cstheme="minorHAnsi"/>
        <w:i/>
        <w:sz w:val="22"/>
        <w:szCs w:val="22"/>
      </w:rPr>
    </w:pPr>
    <w:r w:rsidRPr="00D81D12">
      <w:rPr>
        <w:rFonts w:asciiTheme="minorHAnsi" w:hAnsiTheme="minorHAnsi" w:cstheme="minorHAnsi"/>
        <w:i/>
        <w:sz w:val="22"/>
        <w:szCs w:val="22"/>
      </w:rPr>
      <w:t>Č. j. MSMT-22960/2025-12                                                                                                                   LUC25047</w:t>
    </w:r>
  </w:p>
  <w:p w14:paraId="565A5DA3" w14:textId="77777777" w:rsidR="00D81D12" w:rsidRDefault="00D81D12"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67F8C"/>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29ED"/>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552D"/>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717"/>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460A"/>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EAA"/>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26CF6"/>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1D12"/>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4155</Words>
  <Characters>24519</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2025-10-23T11:27:00Z</cp:lastPrinted>
  <dcterms:created xsi:type="dcterms:W3CDTF">2025-11-26T14:09:00Z</dcterms:created>
  <dcterms:modified xsi:type="dcterms:W3CDTF">2025-11-26T14:09:00Z</dcterms:modified>
</cp:coreProperties>
</file>