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13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2D1DD6" w:rsidRPr="0080059A" w14:paraId="7164F148" w14:textId="77777777" w:rsidTr="002D1DD6">
        <w:trPr>
          <w:trHeight w:val="156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1B00F7FA" w14:textId="73AA2C8F" w:rsidR="002F1189" w:rsidRDefault="00376A4F" w:rsidP="002F1189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  <w:t xml:space="preserve">TECHNICA HORECA </w:t>
            </w:r>
            <w:proofErr w:type="spellStart"/>
            <w:r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  <w:t>Czechia</w:t>
            </w:r>
            <w:proofErr w:type="spellEnd"/>
            <w:r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  <w:t xml:space="preserve"> s.r.o.</w:t>
            </w:r>
          </w:p>
          <w:p w14:paraId="517AF573" w14:textId="77777777" w:rsidR="00C26D2E" w:rsidRDefault="00C26D2E" w:rsidP="002F1189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</w:p>
          <w:p w14:paraId="58CAB9E1" w14:textId="10D83521" w:rsidR="00376A4F" w:rsidRDefault="00376A4F" w:rsidP="002F1189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  <w:t>Jablunkovská 101</w:t>
            </w:r>
          </w:p>
          <w:p w14:paraId="013C0B5E" w14:textId="04EE4387" w:rsidR="00376A4F" w:rsidRDefault="00376A4F" w:rsidP="002F1189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  <w:t>739 61 Třinec</w:t>
            </w:r>
          </w:p>
          <w:p w14:paraId="1B5CA35B" w14:textId="32FF0EE1" w:rsidR="00376A4F" w:rsidRDefault="00376A4F" w:rsidP="002F1189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  <w:t>IČO: 05646677</w:t>
            </w:r>
          </w:p>
          <w:p w14:paraId="2CC73A7A" w14:textId="75271B09" w:rsidR="00376A4F" w:rsidRPr="002F1189" w:rsidRDefault="00376A4F" w:rsidP="002F1189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  <w:t xml:space="preserve">e-mail: </w:t>
            </w:r>
          </w:p>
          <w:p w14:paraId="413034C3" w14:textId="775A821C" w:rsidR="00582F5F" w:rsidRPr="00C72A38" w:rsidRDefault="00582F5F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</w:p>
        </w:tc>
      </w:tr>
    </w:tbl>
    <w:p w14:paraId="41A02049" w14:textId="73ACF4AD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02AEC55" w14:textId="6C43AC1F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NAŠE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CSPT/</w:t>
      </w:r>
      <w:r w:rsidR="00376A4F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1734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/2025</w:t>
      </w:r>
    </w:p>
    <w:p w14:paraId="5A4D9AAF" w14:textId="78451570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VYŘIZUJE: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21FEE7B" w14:textId="0D545C8E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TEL.: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6C438E09" w14:textId="786F7897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E-MAIL:</w:t>
      </w:r>
      <w:r w:rsidR="006F77CA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 xml:space="preserve"> </w:t>
      </w:r>
    </w:p>
    <w:p w14:paraId="37CC804F" w14:textId="68750CF9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DATUM: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376A4F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02</w:t>
      </w:r>
      <w:r w:rsidR="00642C1E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 xml:space="preserve">. </w:t>
      </w:r>
      <w:r w:rsidR="00376A4F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12</w:t>
      </w:r>
      <w:r w:rsidR="00757088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2025</w:t>
      </w:r>
    </w:p>
    <w:p w14:paraId="5C6C7511" w14:textId="77777777" w:rsidR="00D65331" w:rsidRDefault="00D65331">
      <w:pPr>
        <w:rPr>
          <w:rFonts w:ascii="Calibri" w:eastAsia="Calibri" w:hAnsi="Calibri" w:cs="Calibri"/>
          <w:b/>
          <w:color w:val="0C6390"/>
          <w:sz w:val="32"/>
          <w:szCs w:val="32"/>
        </w:rPr>
      </w:pPr>
    </w:p>
    <w:p w14:paraId="1FD1DC41" w14:textId="181F4306" w:rsidR="00712EE2" w:rsidRPr="00D65331" w:rsidRDefault="00642C1E" w:rsidP="002D1DD6">
      <w:pPr>
        <w:jc w:val="both"/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</w:pPr>
      <w:r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  <w:t>Objednávka</w:t>
      </w:r>
    </w:p>
    <w:p w14:paraId="58BE9F39" w14:textId="47D40044" w:rsidR="009A548A" w:rsidRPr="00D65331" w:rsidRDefault="009A548A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1E41C057" w14:textId="00E60594" w:rsidR="00376A4F" w:rsidRDefault="002F1189" w:rsidP="00376A4F">
      <w:pPr>
        <w:pStyle w:val="Nadpis1"/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</w:pPr>
      <w:r w:rsidRPr="002F1189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Dle Vaší cenové nabídky </w:t>
      </w:r>
      <w:r w:rsidR="00376A4F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č. 4584 </w:t>
      </w:r>
      <w:r w:rsidRPr="002F1189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ze dne </w:t>
      </w:r>
      <w:r w:rsidR="00376A4F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20</w:t>
      </w:r>
      <w:r w:rsidR="00B0099F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. </w:t>
      </w:r>
      <w:r w:rsidR="00376A4F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11</w:t>
      </w:r>
      <w:r w:rsidR="00B0099F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. 2025</w:t>
      </w:r>
      <w:r w:rsidRPr="002F1189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 objednávám</w:t>
      </w:r>
      <w:r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e</w:t>
      </w:r>
      <w:r w:rsid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 na pracoviště Máchova 1134, stravovací úsek</w:t>
      </w:r>
      <w:r w:rsidRPr="002F1189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:</w:t>
      </w:r>
    </w:p>
    <w:p w14:paraId="3DD3F23B" w14:textId="77777777" w:rsidR="006B1162" w:rsidRPr="006B1162" w:rsidRDefault="006B1162" w:rsidP="006B1162">
      <w:pPr>
        <w:rPr>
          <w:lang w:val="cs-CZ"/>
        </w:rPr>
      </w:pPr>
    </w:p>
    <w:p w14:paraId="01184F23" w14:textId="17B36DA6" w:rsidR="006B1162" w:rsidRPr="006B1162" w:rsidRDefault="006B1162" w:rsidP="006B1162">
      <w:pPr>
        <w:pStyle w:val="Odstavecseseznamem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</w:pP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Elektrický sporák s podstavcem, 4 hořáky, GH_P.VE-940-A</w:t>
      </w: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ab/>
      </w:r>
      <w:r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ab/>
      </w: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76</w:t>
      </w:r>
      <w:r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 </w:t>
      </w: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845 Kč s DPH</w:t>
      </w:r>
    </w:p>
    <w:p w14:paraId="21EFC494" w14:textId="77777777" w:rsidR="00376A4F" w:rsidRPr="00376A4F" w:rsidRDefault="00376A4F" w:rsidP="006B1162">
      <w:pPr>
        <w:pStyle w:val="Odstavecseseznamem"/>
        <w:spacing w:line="240" w:lineRule="auto"/>
        <w:ind w:left="2880"/>
        <w:rPr>
          <w:lang w:val="cs-CZ"/>
        </w:rPr>
      </w:pPr>
    </w:p>
    <w:p w14:paraId="33E9E8AA" w14:textId="6F0601D0" w:rsidR="002F1189" w:rsidRPr="006B1162" w:rsidRDefault="002F1189" w:rsidP="006B1162">
      <w:pPr>
        <w:pStyle w:val="Odstavecseseznamem"/>
        <w:numPr>
          <w:ilvl w:val="0"/>
          <w:numId w:val="5"/>
        </w:numPr>
        <w:spacing w:line="240" w:lineRule="auto"/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</w:pP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Doprava</w:t>
      </w:r>
      <w:r w:rsidR="006B1162"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, montáž a demontáž, odvoz a likvidace</w:t>
      </w:r>
      <w:r w:rsid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ab/>
      </w:r>
      <w:r w:rsid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ab/>
      </w:r>
      <w:r w:rsid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ab/>
        <w:t>1 210 Kč s DPH</w:t>
      </w: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ab/>
      </w:r>
    </w:p>
    <w:p w14:paraId="73DE66B2" w14:textId="77777777" w:rsidR="006B1162" w:rsidRDefault="006B1162" w:rsidP="002F1189">
      <w:pPr>
        <w:pStyle w:val="Nadpis1"/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</w:pP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Cena celkem 78</w:t>
      </w:r>
      <w:r w:rsidRPr="006B1162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 055 Kč </w:t>
      </w:r>
      <w:r w:rsidRP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s DPH.</w:t>
      </w:r>
    </w:p>
    <w:p w14:paraId="2F8F7E27" w14:textId="6273144B" w:rsidR="002F1189" w:rsidRPr="002F1189" w:rsidRDefault="002F1189" w:rsidP="002F1189">
      <w:pPr>
        <w:pStyle w:val="Nadpis1"/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</w:pPr>
      <w:r w:rsidRPr="002F1189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Termín dodání do </w:t>
      </w:r>
      <w:r w:rsid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20</w:t>
      </w:r>
      <w:r w:rsidR="00B0099F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.</w:t>
      </w:r>
      <w:r w:rsid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 12.</w:t>
      </w:r>
      <w:r w:rsidRPr="002F1189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 202</w:t>
      </w:r>
      <w:r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>5</w:t>
      </w:r>
      <w:r w:rsidR="006B1162">
        <w:rPr>
          <w:rFonts w:ascii="Calibri" w:eastAsia="Calibri" w:hAnsi="Calibri" w:cs="Calibri"/>
          <w:bCs/>
          <w:iCs/>
          <w:color w:val="0C6390"/>
          <w:sz w:val="24"/>
          <w:szCs w:val="24"/>
          <w:lang w:val="cs-CZ"/>
        </w:rPr>
        <w:t xml:space="preserve"> po předchozí telefonické dohodě.</w:t>
      </w:r>
    </w:p>
    <w:p w14:paraId="328F0F34" w14:textId="77777777" w:rsidR="007F2A7B" w:rsidRPr="004D5ED5" w:rsidRDefault="007F2A7B" w:rsidP="007F2A7B">
      <w:pPr>
        <w:pStyle w:val="Nadpis1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D5ED5">
        <w:rPr>
          <w:rFonts w:ascii="Calibri" w:eastAsia="Calibri" w:hAnsi="Calibri" w:cs="Calibri"/>
          <w:bCs/>
          <w:color w:val="0C6390"/>
          <w:sz w:val="24"/>
          <w:szCs w:val="24"/>
        </w:rPr>
        <w:t>Tato objednávka bude objednatelem po akceptaci zveřejněna v Registru smluv dle zákona    č. 340/2015 Sb., o zvláštních podmínkách účinnosti některých smluv, uveřejňování těchto smluv a o registru smluv (zákon o registru smluv), ve znění pozdějších předpisů, a nabývá účinnosti nejdříve jejím uveřejněním.</w:t>
      </w:r>
    </w:p>
    <w:p w14:paraId="24BB1C82" w14:textId="7777777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0563B406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B9F016E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3C0E03A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6BE0833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BCD7D11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CFDF5A3" w14:textId="2B558B4B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Mgr. Kamil Raszka, MBA</w:t>
      </w:r>
    </w:p>
    <w:p w14:paraId="0F6DFEC4" w14:textId="4A2B1F27" w:rsidR="002D1DD6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ř</w:t>
      </w:r>
      <w:r w:rsidR="00814671" w:rsidRPr="00814671">
        <w:rPr>
          <w:rFonts w:ascii="Calibri" w:eastAsia="Calibri" w:hAnsi="Calibri" w:cs="Calibri"/>
          <w:bCs/>
          <w:color w:val="0C6390"/>
          <w:sz w:val="24"/>
          <w:szCs w:val="24"/>
        </w:rPr>
        <w:t>editel</w:t>
      </w:r>
    </w:p>
    <w:p w14:paraId="5E4B7C5B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7E287BA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E7FA3E4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9E8408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7143A2A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sectPr w:rsidR="00A73A88" w:rsidSect="002D1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268" w:right="1440" w:bottom="1440" w:left="1440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0DF" w14:textId="77777777" w:rsidR="00A400F1" w:rsidRDefault="00A400F1">
      <w:pPr>
        <w:spacing w:line="240" w:lineRule="auto"/>
      </w:pPr>
      <w:r>
        <w:separator/>
      </w:r>
    </w:p>
  </w:endnote>
  <w:endnote w:type="continuationSeparator" w:id="0">
    <w:p w14:paraId="327857DB" w14:textId="77777777" w:rsidR="00A400F1" w:rsidRDefault="00A4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BF1B" w14:textId="77777777" w:rsidR="00C26D2E" w:rsidRDefault="00C26D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7B55" w14:textId="1C857D10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bookmarkStart w:id="0" w:name="_Hlk187920377"/>
    <w:r w:rsidRPr="00184A8E">
      <w:rPr>
        <w:rFonts w:ascii="Calibri" w:eastAsia="Calibri" w:hAnsi="Calibri" w:cs="Calibri"/>
        <w:color w:val="0C6390"/>
        <w:sz w:val="18"/>
        <w:szCs w:val="18"/>
      </w:rPr>
      <w:t>IČO: 75055473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Telefonní spojení:</w:t>
    </w:r>
    <w:r w:rsidR="00C26D2E">
      <w:rPr>
        <w:rFonts w:ascii="Calibri" w:eastAsia="Calibri" w:hAnsi="Calibri" w:cs="Calibri"/>
        <w:color w:val="0C6390"/>
        <w:sz w:val="18"/>
        <w:szCs w:val="18"/>
      </w:rPr>
      <w:tab/>
    </w:r>
    <w:r w:rsidR="00C26D2E">
      <w:rPr>
        <w:rFonts w:ascii="Calibri" w:eastAsia="Calibri" w:hAnsi="Calibri" w:cs="Calibri"/>
        <w:color w:val="0C6390"/>
        <w:sz w:val="18"/>
        <w:szCs w:val="18"/>
      </w:rPr>
      <w:tab/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Bankovní spojení: KB, a. s, ex. Třinec 35-6354230257/0100</w:t>
    </w:r>
  </w:p>
  <w:p w14:paraId="77004CD5" w14:textId="77777777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r w:rsidRPr="00184A8E">
      <w:rPr>
        <w:rFonts w:ascii="Calibri" w:eastAsia="Calibri" w:hAnsi="Calibri" w:cs="Calibri"/>
        <w:color w:val="0C6390"/>
        <w:sz w:val="18"/>
        <w:szCs w:val="18"/>
      </w:rPr>
      <w:t xml:space="preserve">Organizace je zapsána u Krajského soudu v Ostravě, oddíl </w:t>
    </w:r>
    <w:proofErr w:type="spellStart"/>
    <w:r w:rsidRPr="00184A8E">
      <w:rPr>
        <w:rFonts w:ascii="Calibri" w:eastAsia="Calibri" w:hAnsi="Calibri" w:cs="Calibri"/>
        <w:color w:val="0C6390"/>
        <w:sz w:val="18"/>
        <w:szCs w:val="18"/>
      </w:rPr>
      <w:t>Pr</w:t>
    </w:r>
    <w:proofErr w:type="spellEnd"/>
    <w:r w:rsidRPr="00184A8E">
      <w:rPr>
        <w:rFonts w:ascii="Calibri" w:eastAsia="Calibri" w:hAnsi="Calibri" w:cs="Calibri"/>
        <w:color w:val="0C6390"/>
        <w:sz w:val="18"/>
        <w:szCs w:val="18"/>
      </w:rPr>
      <w:t>., vložka 997</w:t>
    </w:r>
  </w:p>
  <w:bookmarkEnd w:id="0"/>
  <w:p w14:paraId="75B67E5F" w14:textId="4B97CD00" w:rsidR="009A548A" w:rsidRDefault="009A54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7262" w14:textId="77777777" w:rsidR="00C26D2E" w:rsidRDefault="00C26D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C31" w14:textId="77777777" w:rsidR="00A400F1" w:rsidRDefault="00A400F1">
      <w:pPr>
        <w:spacing w:line="240" w:lineRule="auto"/>
      </w:pPr>
      <w:r>
        <w:separator/>
      </w:r>
    </w:p>
  </w:footnote>
  <w:footnote w:type="continuationSeparator" w:id="0">
    <w:p w14:paraId="7277C351" w14:textId="77777777" w:rsidR="00A400F1" w:rsidRDefault="00A4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12DA" w14:textId="77777777" w:rsidR="00C26D2E" w:rsidRDefault="00C26D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A32" w14:textId="77777777" w:rsidR="009A548A" w:rsidRDefault="0075512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57E3AA" wp14:editId="21C5BD30">
          <wp:simplePos x="0" y="0"/>
          <wp:positionH relativeFrom="page">
            <wp:posOffset>495300</wp:posOffset>
          </wp:positionH>
          <wp:positionV relativeFrom="page">
            <wp:posOffset>314325</wp:posOffset>
          </wp:positionV>
          <wp:extent cx="6383909" cy="79533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909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9CD2" w14:textId="77777777" w:rsidR="00C26D2E" w:rsidRDefault="00C26D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759D"/>
    <w:multiLevelType w:val="hybridMultilevel"/>
    <w:tmpl w:val="9F82D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73A47"/>
    <w:multiLevelType w:val="hybridMultilevel"/>
    <w:tmpl w:val="5224B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748F8"/>
    <w:multiLevelType w:val="hybridMultilevel"/>
    <w:tmpl w:val="2520A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F4580"/>
    <w:multiLevelType w:val="hybridMultilevel"/>
    <w:tmpl w:val="13946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34491"/>
    <w:multiLevelType w:val="hybridMultilevel"/>
    <w:tmpl w:val="49549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8A"/>
    <w:rsid w:val="00083B30"/>
    <w:rsid w:val="000F3B5F"/>
    <w:rsid w:val="00167D2D"/>
    <w:rsid w:val="001C4595"/>
    <w:rsid w:val="0027205C"/>
    <w:rsid w:val="002968BC"/>
    <w:rsid w:val="002D1DD6"/>
    <w:rsid w:val="002D1F27"/>
    <w:rsid w:val="002F1189"/>
    <w:rsid w:val="0034229C"/>
    <w:rsid w:val="00376A4F"/>
    <w:rsid w:val="003E5C30"/>
    <w:rsid w:val="00423850"/>
    <w:rsid w:val="00424C3C"/>
    <w:rsid w:val="00431486"/>
    <w:rsid w:val="00472F6D"/>
    <w:rsid w:val="004762B0"/>
    <w:rsid w:val="00550442"/>
    <w:rsid w:val="00552B4D"/>
    <w:rsid w:val="00582F5F"/>
    <w:rsid w:val="00592BEF"/>
    <w:rsid w:val="005975FC"/>
    <w:rsid w:val="00642C1E"/>
    <w:rsid w:val="006674CB"/>
    <w:rsid w:val="00672CD5"/>
    <w:rsid w:val="006B1162"/>
    <w:rsid w:val="006B2B04"/>
    <w:rsid w:val="006B6D5E"/>
    <w:rsid w:val="006D485C"/>
    <w:rsid w:val="006F77CA"/>
    <w:rsid w:val="00712EE2"/>
    <w:rsid w:val="0075512A"/>
    <w:rsid w:val="00757088"/>
    <w:rsid w:val="00786D17"/>
    <w:rsid w:val="007F2A7B"/>
    <w:rsid w:val="007F59E4"/>
    <w:rsid w:val="0080059A"/>
    <w:rsid w:val="008061E1"/>
    <w:rsid w:val="00814671"/>
    <w:rsid w:val="008C403C"/>
    <w:rsid w:val="008E5BE4"/>
    <w:rsid w:val="009A548A"/>
    <w:rsid w:val="009A6D76"/>
    <w:rsid w:val="009A73FF"/>
    <w:rsid w:val="00A26CC3"/>
    <w:rsid w:val="00A37DA5"/>
    <w:rsid w:val="00A400F1"/>
    <w:rsid w:val="00A73A88"/>
    <w:rsid w:val="00AD0C15"/>
    <w:rsid w:val="00AD7A98"/>
    <w:rsid w:val="00B0099F"/>
    <w:rsid w:val="00B51C87"/>
    <w:rsid w:val="00B84E8F"/>
    <w:rsid w:val="00B87C6D"/>
    <w:rsid w:val="00C26D2E"/>
    <w:rsid w:val="00C72A38"/>
    <w:rsid w:val="00CB66D8"/>
    <w:rsid w:val="00CF2F62"/>
    <w:rsid w:val="00D57858"/>
    <w:rsid w:val="00D65331"/>
    <w:rsid w:val="00D946B7"/>
    <w:rsid w:val="00E05B86"/>
    <w:rsid w:val="00E15514"/>
    <w:rsid w:val="00E435EC"/>
    <w:rsid w:val="00E500A6"/>
    <w:rsid w:val="00E63C91"/>
    <w:rsid w:val="00F70FD0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D8F"/>
  <w15:docId w15:val="{383B65C5-0C27-4436-9F74-E4128A2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12E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DD6"/>
  </w:style>
  <w:style w:type="paragraph" w:styleId="Zpat">
    <w:name w:val="footer"/>
    <w:basedOn w:val="Normln"/>
    <w:link w:val="Zpat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DD6"/>
  </w:style>
  <w:style w:type="paragraph" w:customStyle="1" w:styleId="Normln0">
    <w:name w:val="Normální~"/>
    <w:basedOn w:val="Normln"/>
    <w:rsid w:val="00814671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2F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1wczHkyLs9Fzcr7WoIaxgwQng==">CgMxLjA4AHIhMUphZ2hFOUxGLURjdlRHRUVNSVZlaUxEUTVhbXYxZEow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Fiačanová Lenka</cp:lastModifiedBy>
  <cp:revision>22</cp:revision>
  <dcterms:created xsi:type="dcterms:W3CDTF">2025-01-21T08:40:00Z</dcterms:created>
  <dcterms:modified xsi:type="dcterms:W3CDTF">2025-12-03T13:25:00Z</dcterms:modified>
</cp:coreProperties>
</file>