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b w:val="1"/>
          <w:sz w:val="36"/>
          <w:szCs w:val="36"/>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ind w:left="0" w:firstLine="0"/>
        <w:jc w:val="center"/>
        <w:rPr>
          <w:rFonts w:ascii="Arial" w:cs="Arial" w:eastAsia="Arial" w:hAnsi="Arial"/>
          <w:b w:val="1"/>
          <w:sz w:val="36"/>
          <w:szCs w:val="36"/>
        </w:rPr>
      </w:pPr>
      <w:r w:rsidDel="00000000" w:rsidR="00000000" w:rsidRPr="00000000">
        <w:rPr>
          <w:rFonts w:ascii="Arial" w:cs="Arial" w:eastAsia="Arial" w:hAnsi="Arial"/>
          <w:b w:val="1"/>
          <w:sz w:val="36"/>
          <w:szCs w:val="36"/>
          <w:rtl w:val="0"/>
        </w:rPr>
        <w:t xml:space="preserve">Servisní smlouva</w:t>
      </w:r>
      <w:r w:rsidDel="00000000" w:rsidR="00000000" w:rsidRPr="00000000">
        <w:rPr>
          <w:rFonts w:ascii="Arial" w:cs="Arial" w:eastAsia="Arial" w:hAnsi="Arial"/>
          <w:b w:val="1"/>
          <w:color w:val="000000"/>
          <w:sz w:val="36"/>
          <w:szCs w:val="36"/>
          <w:rtl w:val="0"/>
        </w:rPr>
        <w:t xml:space="preserve"> na </w:t>
      </w:r>
      <w:r w:rsidDel="00000000" w:rsidR="00000000" w:rsidRPr="00000000">
        <w:rPr>
          <w:rFonts w:ascii="Arial" w:cs="Arial" w:eastAsia="Arial" w:hAnsi="Arial"/>
          <w:b w:val="1"/>
          <w:sz w:val="36"/>
          <w:szCs w:val="36"/>
          <w:rtl w:val="0"/>
        </w:rPr>
        <w:t xml:space="preserve">elektronickou dotykovou tabuli</w:t>
      </w:r>
    </w:p>
    <w:p w:rsidR="00000000" w:rsidDel="00000000" w:rsidP="00000000" w:rsidRDefault="00000000" w:rsidRPr="00000000" w14:paraId="00000003">
      <w:pPr>
        <w:pBdr>
          <w:top w:space="0" w:sz="0" w:val="nil"/>
          <w:left w:space="0" w:sz="0" w:val="nil"/>
          <w:bottom w:space="0" w:sz="0" w:val="nil"/>
          <w:right w:space="0" w:sz="0" w:val="nil"/>
          <w:between w:space="0" w:sz="0" w:val="nil"/>
        </w:pBdr>
        <w:ind w:left="0" w:firstLine="0"/>
        <w:jc w:val="center"/>
        <w:rPr>
          <w:rFonts w:ascii="Arial" w:cs="Arial" w:eastAsia="Arial" w:hAnsi="Arial"/>
          <w:sz w:val="36"/>
          <w:szCs w:val="36"/>
        </w:rPr>
      </w:pPr>
      <w:r w:rsidDel="00000000" w:rsidR="00000000" w:rsidRPr="00000000">
        <w:rPr>
          <w:rFonts w:ascii="Arial" w:cs="Arial" w:eastAsia="Arial" w:hAnsi="Arial"/>
          <w:b w:val="1"/>
          <w:color w:val="0000ff"/>
          <w:sz w:val="36"/>
          <w:szCs w:val="36"/>
          <w:rtl w:val="0"/>
        </w:rPr>
        <w:t xml:space="preserve"> </w:t>
      </w:r>
      <w:r w:rsidDel="00000000" w:rsidR="00000000" w:rsidRPr="00000000">
        <w:rPr>
          <w:rFonts w:ascii="Arial" w:cs="Arial" w:eastAsia="Arial" w:hAnsi="Arial"/>
          <w:b w:val="1"/>
          <w:sz w:val="36"/>
          <w:szCs w:val="36"/>
          <w:rtl w:val="0"/>
        </w:rPr>
        <w:t xml:space="preserve"> </w:t>
      </w: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jc w:val="center"/>
        <w:rPr>
          <w:rFonts w:ascii="Arial" w:cs="Arial" w:eastAsia="Arial" w:hAnsi="Arial"/>
          <w:color w:val="000000"/>
          <w:sz w:val="22"/>
          <w:szCs w:val="22"/>
        </w:rPr>
      </w:pPr>
      <w:r w:rsidDel="00000000" w:rsidR="00000000" w:rsidRPr="00000000">
        <w:rPr>
          <w:rFonts w:ascii="Arial" w:cs="Arial" w:eastAsia="Arial" w:hAnsi="Arial"/>
          <w:i w:val="1"/>
          <w:color w:val="000000"/>
          <w:sz w:val="22"/>
          <w:szCs w:val="22"/>
          <w:rtl w:val="0"/>
        </w:rPr>
        <w:t xml:space="preserve">(uzavřená dle § 2586 a násl. občanského zákoníku)</w:t>
      </w: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spacing w:after="120" w:before="120" w:lineRule="auto"/>
        <w:jc w:val="center"/>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06">
      <w:pPr>
        <w:pBdr>
          <w:top w:space="0" w:sz="0" w:val="nil"/>
          <w:left w:space="0" w:sz="0" w:val="nil"/>
          <w:bottom w:space="0" w:sz="0" w:val="nil"/>
          <w:right w:space="0" w:sz="0" w:val="nil"/>
          <w:between w:space="0" w:sz="0" w:val="nil"/>
        </w:pBdr>
        <w:jc w:val="center"/>
        <w:rPr>
          <w:rFonts w:ascii="Arial" w:cs="Arial" w:eastAsia="Arial" w:hAnsi="Arial"/>
          <w:color w:val="000000"/>
          <w:sz w:val="22"/>
          <w:szCs w:val="22"/>
        </w:rPr>
      </w:pPr>
      <w:r w:rsidDel="00000000" w:rsidR="00000000" w:rsidRPr="00000000">
        <w:rPr>
          <w:rFonts w:ascii="Arial" w:cs="Arial" w:eastAsia="Arial" w:hAnsi="Arial"/>
          <w:b w:val="1"/>
          <w:color w:val="000000"/>
          <w:sz w:val="22"/>
          <w:szCs w:val="22"/>
          <w:rtl w:val="0"/>
        </w:rPr>
        <w:t xml:space="preserve">Článek 1</w:t>
      </w:r>
      <w:r w:rsidDel="00000000" w:rsidR="00000000" w:rsidRPr="00000000">
        <w:rPr>
          <w:rtl w:val="0"/>
        </w:rPr>
      </w:r>
    </w:p>
    <w:p w:rsidR="00000000" w:rsidDel="00000000" w:rsidP="00000000" w:rsidRDefault="00000000" w:rsidRPr="00000000" w14:paraId="00000007">
      <w:pPr>
        <w:pBdr>
          <w:top w:space="0" w:sz="0" w:val="nil"/>
          <w:left w:space="0" w:sz="0" w:val="nil"/>
          <w:bottom w:space="0" w:sz="0" w:val="nil"/>
          <w:right w:space="0" w:sz="0" w:val="nil"/>
          <w:between w:space="0" w:sz="0" w:val="nil"/>
        </w:pBdr>
        <w:jc w:val="center"/>
        <w:rPr>
          <w:rFonts w:ascii="Arial" w:cs="Arial" w:eastAsia="Arial" w:hAnsi="Arial"/>
          <w:color w:val="000000"/>
          <w:sz w:val="22"/>
          <w:szCs w:val="22"/>
        </w:rPr>
      </w:pPr>
      <w:r w:rsidDel="00000000" w:rsidR="00000000" w:rsidRPr="00000000">
        <w:rPr>
          <w:rFonts w:ascii="Arial" w:cs="Arial" w:eastAsia="Arial" w:hAnsi="Arial"/>
          <w:b w:val="1"/>
          <w:color w:val="000000"/>
          <w:sz w:val="22"/>
          <w:szCs w:val="22"/>
          <w:rtl w:val="0"/>
        </w:rPr>
        <w:t xml:space="preserve">Smluvní strany</w:t>
      </w:r>
      <w:r w:rsidDel="00000000" w:rsidR="00000000" w:rsidRPr="00000000">
        <w:rPr>
          <w:rtl w:val="0"/>
        </w:rPr>
      </w:r>
    </w:p>
    <w:p w:rsidR="00000000" w:rsidDel="00000000" w:rsidP="00000000" w:rsidRDefault="00000000" w:rsidRPr="00000000" w14:paraId="00000008">
      <w:pPr>
        <w:spacing w:after="120" w:before="120" w:lineRule="auto"/>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1.1. Objednatel: </w:t>
      </w:r>
      <w:r w:rsidDel="00000000" w:rsidR="00000000" w:rsidRPr="00000000">
        <w:rPr>
          <w:rtl w:val="0"/>
        </w:rPr>
      </w:r>
    </w:p>
    <w:p w:rsidR="00000000" w:rsidDel="00000000" w:rsidP="00000000" w:rsidRDefault="00000000" w:rsidRPr="00000000" w14:paraId="00000009">
      <w:pP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Obchodní jméno: </w:t>
        <w:tab/>
        <w:tab/>
        <w:t xml:space="preserve">Gymnázium Ladislava Jaroše Holešov</w:t>
      </w:r>
    </w:p>
    <w:p w:rsidR="00000000" w:rsidDel="00000000" w:rsidP="00000000" w:rsidRDefault="00000000" w:rsidRPr="00000000" w14:paraId="0000000A">
      <w:pPr>
        <w:rPr>
          <w:rFonts w:ascii="Arial" w:cs="Arial" w:eastAsia="Arial" w:hAnsi="Arial"/>
          <w:sz w:val="22"/>
          <w:szCs w:val="22"/>
        </w:rPr>
      </w:pPr>
      <w:r w:rsidDel="00000000" w:rsidR="00000000" w:rsidRPr="00000000">
        <w:rPr>
          <w:rFonts w:ascii="Arial" w:cs="Arial" w:eastAsia="Arial" w:hAnsi="Arial"/>
          <w:sz w:val="22"/>
          <w:szCs w:val="22"/>
          <w:rtl w:val="0"/>
        </w:rPr>
        <w:t xml:space="preserve">sídlo: </w:t>
        <w:tab/>
        <w:tab/>
        <w:tab/>
        <w:tab/>
      </w:r>
      <w:r w:rsidDel="00000000" w:rsidR="00000000" w:rsidRPr="00000000">
        <w:rPr>
          <w:rFonts w:ascii="Arial" w:cs="Arial" w:eastAsia="Arial" w:hAnsi="Arial"/>
          <w:sz w:val="22"/>
          <w:szCs w:val="22"/>
          <w:highlight w:val="white"/>
          <w:rtl w:val="0"/>
        </w:rPr>
        <w:t xml:space="preserve">Palackého 524/37, 769 01 Holešov</w:t>
      </w:r>
      <w:r w:rsidDel="00000000" w:rsidR="00000000" w:rsidRPr="00000000">
        <w:rPr>
          <w:rtl w:val="0"/>
        </w:rPr>
      </w:r>
    </w:p>
    <w:p w:rsidR="00000000" w:rsidDel="00000000" w:rsidP="00000000" w:rsidRDefault="00000000" w:rsidRPr="00000000" w14:paraId="0000000B">
      <w:pPr>
        <w:rPr>
          <w:rFonts w:ascii="Arial" w:cs="Arial" w:eastAsia="Arial" w:hAnsi="Arial"/>
          <w:sz w:val="22"/>
          <w:szCs w:val="22"/>
        </w:rPr>
      </w:pPr>
      <w:r w:rsidDel="00000000" w:rsidR="00000000" w:rsidRPr="00000000">
        <w:rPr>
          <w:rFonts w:ascii="Arial" w:cs="Arial" w:eastAsia="Arial" w:hAnsi="Arial"/>
          <w:sz w:val="22"/>
          <w:szCs w:val="22"/>
          <w:rtl w:val="0"/>
        </w:rPr>
        <w:t xml:space="preserve">Zastoupený:</w:t>
        <w:tab/>
        <w:tab/>
        <w:tab/>
        <w:t xml:space="preserve">Mgr. Kuczmanová Miriam, MBA, ředitelka</w:t>
      </w:r>
    </w:p>
    <w:p w:rsidR="00000000" w:rsidDel="00000000" w:rsidP="00000000" w:rsidRDefault="00000000" w:rsidRPr="00000000" w14:paraId="0000000C">
      <w:pPr>
        <w:rPr>
          <w:rFonts w:ascii="Arial" w:cs="Arial" w:eastAsia="Arial" w:hAnsi="Arial"/>
          <w:sz w:val="22"/>
          <w:szCs w:val="22"/>
        </w:rPr>
      </w:pPr>
      <w:r w:rsidDel="00000000" w:rsidR="00000000" w:rsidRPr="00000000">
        <w:rPr>
          <w:rFonts w:ascii="Arial" w:cs="Arial" w:eastAsia="Arial" w:hAnsi="Arial"/>
          <w:sz w:val="22"/>
          <w:szCs w:val="22"/>
          <w:rtl w:val="0"/>
        </w:rPr>
        <w:t xml:space="preserve">IČO: </w:t>
        <w:tab/>
        <w:tab/>
        <w:tab/>
        <w:tab/>
        <w:t xml:space="preserve">47935774</w:t>
        <w:tab/>
        <w:tab/>
        <w:tab/>
        <w:tab/>
        <w:tab/>
        <w:tab/>
      </w:r>
    </w:p>
    <w:p w:rsidR="00000000" w:rsidDel="00000000" w:rsidP="00000000" w:rsidRDefault="00000000" w:rsidRPr="00000000" w14:paraId="0000000D">
      <w:pPr>
        <w:rPr>
          <w:rFonts w:ascii="Arial" w:cs="Arial" w:eastAsia="Arial" w:hAnsi="Arial"/>
          <w:sz w:val="22"/>
          <w:szCs w:val="22"/>
        </w:rPr>
      </w:pPr>
      <w:r w:rsidDel="00000000" w:rsidR="00000000" w:rsidRPr="00000000">
        <w:rPr>
          <w:rFonts w:ascii="Arial" w:cs="Arial" w:eastAsia="Arial" w:hAnsi="Arial"/>
          <w:sz w:val="22"/>
          <w:szCs w:val="22"/>
          <w:rtl w:val="0"/>
        </w:rPr>
        <w:t xml:space="preserve">bankovní spojení: </w:t>
        <w:tab/>
        <w:tab/>
        <w:t xml:space="preserve">Komerční banka a.s., č. ú.: 8382660237/01002</w:t>
      </w:r>
    </w:p>
    <w:p w:rsidR="00000000" w:rsidDel="00000000" w:rsidP="00000000" w:rsidRDefault="00000000" w:rsidRPr="00000000" w14:paraId="0000000E">
      <w:pPr>
        <w:tabs>
          <w:tab w:val="left" w:leader="none" w:pos="2835"/>
        </w:tabs>
        <w:jc w:val="both"/>
        <w:rPr>
          <w:rFonts w:ascii="Arial" w:cs="Arial" w:eastAsia="Arial" w:hAnsi="Arial"/>
          <w:b w:val="1"/>
          <w:sz w:val="22"/>
          <w:szCs w:val="22"/>
        </w:rPr>
      </w:pPr>
      <w:r w:rsidDel="00000000" w:rsidR="00000000" w:rsidRPr="00000000">
        <w:rPr>
          <w:rFonts w:ascii="Arial" w:cs="Arial" w:eastAsia="Arial" w:hAnsi="Arial"/>
          <w:sz w:val="22"/>
          <w:szCs w:val="22"/>
          <w:rtl w:val="0"/>
        </w:rPr>
        <w:tab/>
        <w:tab/>
        <w:tab/>
        <w:tab/>
      </w:r>
      <w:r w:rsidDel="00000000" w:rsidR="00000000" w:rsidRPr="00000000">
        <w:rPr>
          <w:rtl w:val="0"/>
        </w:rPr>
      </w:r>
    </w:p>
    <w:p w:rsidR="00000000" w:rsidDel="00000000" w:rsidP="00000000" w:rsidRDefault="00000000" w:rsidRPr="00000000" w14:paraId="0000000F">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2">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(dále jen „</w:t>
      </w:r>
      <w:r w:rsidDel="00000000" w:rsidR="00000000" w:rsidRPr="00000000">
        <w:rPr>
          <w:rFonts w:ascii="Arial" w:cs="Arial" w:eastAsia="Arial" w:hAnsi="Arial"/>
          <w:b w:val="1"/>
          <w:sz w:val="22"/>
          <w:szCs w:val="22"/>
          <w:rtl w:val="0"/>
        </w:rPr>
        <w:t xml:space="preserve">Objednatel“</w:t>
      </w:r>
      <w:r w:rsidDel="00000000" w:rsidR="00000000" w:rsidRPr="00000000">
        <w:rPr>
          <w:rFonts w:ascii="Arial" w:cs="Arial" w:eastAsia="Arial" w:hAnsi="Arial"/>
          <w:sz w:val="22"/>
          <w:szCs w:val="22"/>
          <w:rtl w:val="0"/>
        </w:rPr>
        <w:t xml:space="preserve">) na straně jedné </w:t>
      </w:r>
    </w:p>
    <w:p w:rsidR="00000000" w:rsidDel="00000000" w:rsidP="00000000" w:rsidRDefault="00000000" w:rsidRPr="00000000" w14:paraId="00000013">
      <w:pPr>
        <w:pBdr>
          <w:top w:space="0" w:sz="0" w:val="nil"/>
          <w:left w:space="0" w:sz="0" w:val="nil"/>
          <w:bottom w:space="0" w:sz="0" w:val="nil"/>
          <w:right w:space="0" w:sz="0" w:val="nil"/>
          <w:between w:space="0" w:sz="0" w:val="nil"/>
        </w:pBd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4">
      <w:pPr>
        <w:pBdr>
          <w:top w:space="0" w:sz="0" w:val="nil"/>
          <w:left w:space="0" w:sz="0" w:val="nil"/>
          <w:bottom w:space="0" w:sz="0" w:val="nil"/>
          <w:right w:space="0" w:sz="0" w:val="nil"/>
          <w:between w:space="0" w:sz="0" w:val="nil"/>
        </w:pBd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spacing w:after="120" w:before="120" w:lineRule="auto"/>
        <w:jc w:val="center"/>
        <w:rPr>
          <w:rFonts w:ascii="Arial" w:cs="Arial" w:eastAsia="Arial" w:hAnsi="Arial"/>
          <w:color w:val="000000"/>
          <w:sz w:val="22"/>
          <w:szCs w:val="22"/>
        </w:rPr>
      </w:pPr>
      <w:r w:rsidDel="00000000" w:rsidR="00000000" w:rsidRPr="00000000">
        <w:rPr>
          <w:rFonts w:ascii="Arial" w:cs="Arial" w:eastAsia="Arial" w:hAnsi="Arial"/>
          <w:b w:val="1"/>
          <w:color w:val="000000"/>
          <w:sz w:val="22"/>
          <w:szCs w:val="22"/>
          <w:rtl w:val="0"/>
        </w:rPr>
        <w:t xml:space="preserve">a</w:t>
      </w:r>
      <w:r w:rsidDel="00000000" w:rsidR="00000000" w:rsidRPr="00000000">
        <w:rPr>
          <w:rtl w:val="0"/>
        </w:rPr>
      </w:r>
    </w:p>
    <w:p w:rsidR="00000000" w:rsidDel="00000000" w:rsidP="00000000" w:rsidRDefault="00000000" w:rsidRPr="00000000" w14:paraId="00000016">
      <w:pPr>
        <w:pBdr>
          <w:top w:space="0" w:sz="0" w:val="nil"/>
          <w:left w:space="0" w:sz="0" w:val="nil"/>
          <w:bottom w:space="0" w:sz="0" w:val="nil"/>
          <w:right w:space="0" w:sz="0" w:val="nil"/>
          <w:between w:space="0" w:sz="0" w:val="nil"/>
        </w:pBd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7">
      <w:pPr>
        <w:pBdr>
          <w:top w:space="0" w:sz="0" w:val="nil"/>
          <w:left w:space="0" w:sz="0" w:val="nil"/>
          <w:bottom w:space="0" w:sz="0" w:val="nil"/>
          <w:right w:space="0" w:sz="0" w:val="nil"/>
          <w:between w:space="0" w:sz="0" w:val="nil"/>
        </w:pBd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8">
      <w:pPr>
        <w:pBdr>
          <w:top w:space="0" w:sz="0" w:val="nil"/>
          <w:left w:space="0" w:sz="0" w:val="nil"/>
          <w:bottom w:space="0" w:sz="0" w:val="nil"/>
          <w:right w:space="0" w:sz="0" w:val="nil"/>
          <w:between w:space="0" w:sz="0" w:val="nil"/>
        </w:pBdr>
        <w:spacing w:after="120" w:before="120" w:lineRule="auto"/>
        <w:jc w:val="both"/>
        <w:rPr>
          <w:rFonts w:ascii="Arial" w:cs="Arial" w:eastAsia="Arial" w:hAnsi="Arial"/>
          <w:color w:val="000000"/>
          <w:sz w:val="22"/>
          <w:szCs w:val="22"/>
        </w:rPr>
      </w:pPr>
      <w:r w:rsidDel="00000000" w:rsidR="00000000" w:rsidRPr="00000000">
        <w:rPr>
          <w:rFonts w:ascii="Arial" w:cs="Arial" w:eastAsia="Arial" w:hAnsi="Arial"/>
          <w:b w:val="1"/>
          <w:color w:val="000000"/>
          <w:sz w:val="22"/>
          <w:szCs w:val="22"/>
          <w:rtl w:val="0"/>
        </w:rPr>
        <w:t xml:space="preserve">1.2 Zhotovitel: </w:t>
      </w:r>
      <w:r w:rsidDel="00000000" w:rsidR="00000000" w:rsidRPr="00000000">
        <w:rPr>
          <w:rtl w:val="0"/>
        </w:rPr>
      </w:r>
    </w:p>
    <w:p w:rsidR="00000000" w:rsidDel="00000000" w:rsidP="00000000" w:rsidRDefault="00000000" w:rsidRPr="00000000" w14:paraId="00000019">
      <w:pPr>
        <w:pBdr>
          <w:top w:space="0" w:sz="0" w:val="nil"/>
          <w:left w:space="0" w:sz="0" w:val="nil"/>
          <w:bottom w:space="0" w:sz="0" w:val="nil"/>
          <w:right w:space="0" w:sz="0" w:val="nil"/>
          <w:between w:space="0" w:sz="0" w:val="nil"/>
        </w:pBdr>
        <w:jc w:val="both"/>
        <w:rPr>
          <w:rFonts w:ascii="Arial" w:cs="Arial" w:eastAsia="Arial" w:hAnsi="Arial"/>
          <w:color w:val="000000"/>
          <w:sz w:val="22"/>
          <w:szCs w:val="22"/>
        </w:rPr>
      </w:pPr>
      <w:r w:rsidDel="00000000" w:rsidR="00000000" w:rsidRPr="00000000">
        <w:rPr>
          <w:rFonts w:ascii="Arial" w:cs="Arial" w:eastAsia="Arial" w:hAnsi="Arial"/>
          <w:b w:val="1"/>
          <w:sz w:val="22"/>
          <w:szCs w:val="22"/>
          <w:rtl w:val="0"/>
        </w:rPr>
        <w:t xml:space="preserve">obchodní jméno: </w:t>
        <w:tab/>
        <w:tab/>
        <w:t xml:space="preserve">DigiDay Czech s.r.o.</w:t>
      </w:r>
      <w:r w:rsidDel="00000000" w:rsidR="00000000" w:rsidRPr="00000000">
        <w:rPr>
          <w:rtl w:val="0"/>
        </w:rPr>
      </w:r>
    </w:p>
    <w:p w:rsidR="00000000" w:rsidDel="00000000" w:rsidP="00000000" w:rsidRDefault="00000000" w:rsidRPr="00000000" w14:paraId="0000001A">
      <w:pPr>
        <w:pBdr>
          <w:top w:space="0" w:sz="0" w:val="nil"/>
          <w:left w:space="0" w:sz="0" w:val="nil"/>
          <w:bottom w:space="0" w:sz="0" w:val="nil"/>
          <w:right w:space="0" w:sz="0" w:val="nil"/>
          <w:between w:space="0" w:sz="0" w:val="nil"/>
        </w:pBdr>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Sídlo: </w:t>
        <w:tab/>
        <w:tab/>
        <w:tab/>
        <w:tab/>
      </w:r>
      <w:r w:rsidDel="00000000" w:rsidR="00000000" w:rsidRPr="00000000">
        <w:rPr>
          <w:rFonts w:ascii="Arial" w:cs="Arial" w:eastAsia="Arial" w:hAnsi="Arial"/>
          <w:sz w:val="22"/>
          <w:szCs w:val="22"/>
          <w:rtl w:val="0"/>
        </w:rPr>
        <w:t xml:space="preserve">1. máje 481/16, Mariánské Hory a Hulváky, 709 00 Ostrava </w:t>
      </w:r>
      <w:r w:rsidDel="00000000" w:rsidR="00000000" w:rsidRPr="00000000">
        <w:rPr>
          <w:rtl w:val="0"/>
        </w:rPr>
      </w:r>
    </w:p>
    <w:p w:rsidR="00000000" w:rsidDel="00000000" w:rsidP="00000000" w:rsidRDefault="00000000" w:rsidRPr="00000000" w14:paraId="0000001B">
      <w:pPr>
        <w:pBdr>
          <w:top w:space="0" w:sz="0" w:val="nil"/>
          <w:left w:space="0" w:sz="0" w:val="nil"/>
          <w:bottom w:space="0" w:sz="0" w:val="nil"/>
          <w:right w:space="0" w:sz="0" w:val="nil"/>
          <w:between w:space="0" w:sz="0" w:val="nil"/>
        </w:pBdr>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Zastoupen</w:t>
      </w:r>
      <w:r w:rsidDel="00000000" w:rsidR="00000000" w:rsidRPr="00000000">
        <w:rPr>
          <w:rFonts w:ascii="Arial" w:cs="Arial" w:eastAsia="Arial" w:hAnsi="Arial"/>
          <w:sz w:val="22"/>
          <w:szCs w:val="22"/>
          <w:rtl w:val="0"/>
        </w:rPr>
        <w:t xml:space="preserve">ý</w:t>
      </w:r>
      <w:r w:rsidDel="00000000" w:rsidR="00000000" w:rsidRPr="00000000">
        <w:rPr>
          <w:rFonts w:ascii="Arial" w:cs="Arial" w:eastAsia="Arial" w:hAnsi="Arial"/>
          <w:color w:val="000000"/>
          <w:sz w:val="22"/>
          <w:szCs w:val="22"/>
          <w:rtl w:val="0"/>
        </w:rPr>
        <w:t xml:space="preserve">: </w:t>
        <w:tab/>
        <w:tab/>
        <w:tab/>
      </w:r>
      <w:r w:rsidDel="00000000" w:rsidR="00000000" w:rsidRPr="00000000">
        <w:rPr>
          <w:rFonts w:ascii="Arial" w:cs="Arial" w:eastAsia="Arial" w:hAnsi="Arial"/>
          <w:sz w:val="22"/>
          <w:szCs w:val="22"/>
          <w:rtl w:val="0"/>
        </w:rPr>
        <w:t xml:space="preserve">Ing. David Stružka, jednatel společnosti </w:t>
      </w:r>
      <w:r w:rsidDel="00000000" w:rsidR="00000000" w:rsidRPr="00000000">
        <w:rPr>
          <w:rtl w:val="0"/>
        </w:rPr>
      </w:r>
    </w:p>
    <w:p w:rsidR="00000000" w:rsidDel="00000000" w:rsidP="00000000" w:rsidRDefault="00000000" w:rsidRPr="00000000" w14:paraId="0000001C">
      <w:pPr>
        <w:pBdr>
          <w:top w:space="0" w:sz="0" w:val="nil"/>
          <w:left w:space="0" w:sz="0" w:val="nil"/>
          <w:bottom w:space="0" w:sz="0" w:val="nil"/>
          <w:right w:space="0" w:sz="0" w:val="nil"/>
          <w:between w:space="0" w:sz="0" w:val="nil"/>
        </w:pBdr>
        <w:jc w:val="both"/>
        <w:rPr>
          <w:rFonts w:ascii="Arial" w:cs="Arial" w:eastAsia="Arial" w:hAnsi="Arial"/>
          <w:color w:val="000000"/>
          <w:sz w:val="22"/>
          <w:szCs w:val="22"/>
        </w:rPr>
      </w:pPr>
      <w:bookmarkStart w:colFirst="0" w:colLast="0" w:name="_heading=h.gjdgxs" w:id="0"/>
      <w:bookmarkEnd w:id="0"/>
      <w:r w:rsidDel="00000000" w:rsidR="00000000" w:rsidRPr="00000000">
        <w:rPr>
          <w:rFonts w:ascii="Arial" w:cs="Arial" w:eastAsia="Arial" w:hAnsi="Arial"/>
          <w:color w:val="000000"/>
          <w:sz w:val="22"/>
          <w:szCs w:val="22"/>
          <w:rtl w:val="0"/>
        </w:rPr>
        <w:t xml:space="preserve">IČO: </w:t>
        <w:tab/>
        <w:tab/>
        <w:tab/>
        <w:tab/>
      </w:r>
      <w:r w:rsidDel="00000000" w:rsidR="00000000" w:rsidRPr="00000000">
        <w:rPr>
          <w:rFonts w:ascii="Arial" w:cs="Arial" w:eastAsia="Arial" w:hAnsi="Arial"/>
          <w:sz w:val="22"/>
          <w:szCs w:val="22"/>
          <w:rtl w:val="0"/>
        </w:rPr>
        <w:t xml:space="preserve">06078362</w:t>
      </w:r>
      <w:r w:rsidDel="00000000" w:rsidR="00000000" w:rsidRPr="00000000">
        <w:rPr>
          <w:rtl w:val="0"/>
        </w:rPr>
      </w:r>
    </w:p>
    <w:p w:rsidR="00000000" w:rsidDel="00000000" w:rsidP="00000000" w:rsidRDefault="00000000" w:rsidRPr="00000000" w14:paraId="0000001D">
      <w:pPr>
        <w:pBdr>
          <w:top w:space="0" w:sz="0" w:val="nil"/>
          <w:left w:space="0" w:sz="0" w:val="nil"/>
          <w:bottom w:space="0" w:sz="0" w:val="nil"/>
          <w:right w:space="0" w:sz="0" w:val="nil"/>
          <w:between w:space="0" w:sz="0" w:val="nil"/>
        </w:pBdr>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DIČ: </w:t>
        <w:tab/>
        <w:tab/>
        <w:tab/>
        <w:tab/>
      </w:r>
      <w:r w:rsidDel="00000000" w:rsidR="00000000" w:rsidRPr="00000000">
        <w:rPr>
          <w:rFonts w:ascii="Arial" w:cs="Arial" w:eastAsia="Arial" w:hAnsi="Arial"/>
          <w:sz w:val="22"/>
          <w:szCs w:val="22"/>
          <w:rtl w:val="0"/>
        </w:rPr>
        <w:t xml:space="preserve">CZ06078362</w:t>
      </w:r>
      <w:r w:rsidDel="00000000" w:rsidR="00000000" w:rsidRPr="00000000">
        <w:rPr>
          <w:rtl w:val="0"/>
        </w:rPr>
      </w:r>
    </w:p>
    <w:p w:rsidR="00000000" w:rsidDel="00000000" w:rsidP="00000000" w:rsidRDefault="00000000" w:rsidRPr="00000000" w14:paraId="0000001E">
      <w:pPr>
        <w:pBdr>
          <w:top w:space="0" w:sz="0" w:val="nil"/>
          <w:left w:space="0" w:sz="0" w:val="nil"/>
          <w:bottom w:space="0" w:sz="0" w:val="nil"/>
          <w:right w:space="0" w:sz="0" w:val="nil"/>
          <w:between w:space="0" w:sz="0" w:val="nil"/>
        </w:pBdr>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Bankovní spojení: </w:t>
        <w:tab/>
        <w:tab/>
      </w:r>
      <w:r w:rsidDel="00000000" w:rsidR="00000000" w:rsidRPr="00000000">
        <w:rPr>
          <w:rFonts w:ascii="Arial" w:cs="Arial" w:eastAsia="Arial" w:hAnsi="Arial"/>
          <w:sz w:val="22"/>
          <w:szCs w:val="22"/>
          <w:rtl w:val="0"/>
        </w:rPr>
        <w:t xml:space="preserve">Komerční banka a.s., č. ú.: 123-4948540237/0100</w:t>
      </w:r>
      <w:r w:rsidDel="00000000" w:rsidR="00000000" w:rsidRPr="00000000">
        <w:rPr>
          <w:rtl w:val="0"/>
        </w:rPr>
      </w:r>
    </w:p>
    <w:p w:rsidR="00000000" w:rsidDel="00000000" w:rsidP="00000000" w:rsidRDefault="00000000" w:rsidRPr="00000000" w14:paraId="0000001F">
      <w:pPr>
        <w:pBdr>
          <w:top w:space="0" w:sz="0" w:val="nil"/>
          <w:left w:space="0" w:sz="0" w:val="nil"/>
          <w:bottom w:space="0" w:sz="0" w:val="nil"/>
          <w:right w:space="0" w:sz="0" w:val="nil"/>
          <w:between w:space="0" w:sz="0" w:val="nil"/>
        </w:pBdr>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Osoby oprávněné k jednání za zhotovitele ve věcech technických:</w:t>
      </w:r>
    </w:p>
    <w:p w:rsidR="00000000" w:rsidDel="00000000" w:rsidP="00000000" w:rsidRDefault="00000000" w:rsidRPr="00000000" w14:paraId="00000020">
      <w:pPr>
        <w:pBdr>
          <w:top w:space="0" w:sz="0" w:val="nil"/>
          <w:left w:space="0" w:sz="0" w:val="nil"/>
          <w:bottom w:space="0" w:sz="0" w:val="nil"/>
          <w:right w:space="0" w:sz="0" w:val="nil"/>
          <w:between w:space="0" w:sz="0" w:val="nil"/>
        </w:pBd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Petr Biolek, tel. +420 773 710 527, e-mail: </w:t>
      </w:r>
      <w:hyperlink r:id="rId7">
        <w:r w:rsidDel="00000000" w:rsidR="00000000" w:rsidRPr="00000000">
          <w:rPr>
            <w:rFonts w:ascii="Arial" w:cs="Arial" w:eastAsia="Arial" w:hAnsi="Arial"/>
            <w:color w:val="1155cc"/>
            <w:sz w:val="22"/>
            <w:szCs w:val="22"/>
            <w:u w:val="single"/>
            <w:rtl w:val="0"/>
          </w:rPr>
          <w:t xml:space="preserve">reklamace@digiday.cz</w:t>
        </w:r>
      </w:hyperlink>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21">
      <w:pPr>
        <w:pBdr>
          <w:top w:space="0" w:sz="0" w:val="nil"/>
          <w:left w:space="0" w:sz="0" w:val="nil"/>
          <w:bottom w:space="0" w:sz="0" w:val="nil"/>
          <w:right w:space="0" w:sz="0" w:val="nil"/>
          <w:between w:space="0" w:sz="0" w:val="nil"/>
        </w:pBdr>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22">
      <w:pPr>
        <w:pBdr>
          <w:top w:space="0" w:sz="0" w:val="nil"/>
          <w:left w:space="0" w:sz="0" w:val="nil"/>
          <w:bottom w:space="0" w:sz="0" w:val="nil"/>
          <w:right w:space="0" w:sz="0" w:val="nil"/>
          <w:between w:space="0" w:sz="0" w:val="nil"/>
        </w:pBdr>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(dále jen </w:t>
      </w:r>
      <w:r w:rsidDel="00000000" w:rsidR="00000000" w:rsidRPr="00000000">
        <w:rPr>
          <w:rFonts w:ascii="Arial" w:cs="Arial" w:eastAsia="Arial" w:hAnsi="Arial"/>
          <w:b w:val="1"/>
          <w:color w:val="000000"/>
          <w:sz w:val="22"/>
          <w:szCs w:val="22"/>
          <w:rtl w:val="0"/>
        </w:rPr>
        <w:t xml:space="preserve">„Zhotovitel“</w:t>
      </w:r>
      <w:r w:rsidDel="00000000" w:rsidR="00000000" w:rsidRPr="00000000">
        <w:rPr>
          <w:rFonts w:ascii="Arial" w:cs="Arial" w:eastAsia="Arial" w:hAnsi="Arial"/>
          <w:color w:val="000000"/>
          <w:sz w:val="22"/>
          <w:szCs w:val="22"/>
          <w:rtl w:val="0"/>
        </w:rPr>
        <w:t xml:space="preserve">) na straně druhé </w:t>
      </w:r>
    </w:p>
    <w:p w:rsidR="00000000" w:rsidDel="00000000" w:rsidP="00000000" w:rsidRDefault="00000000" w:rsidRPr="00000000" w14:paraId="00000023">
      <w:pPr>
        <w:pBdr>
          <w:top w:space="0" w:sz="0" w:val="nil"/>
          <w:left w:space="0" w:sz="0" w:val="nil"/>
          <w:bottom w:space="0" w:sz="0" w:val="nil"/>
          <w:right w:space="0" w:sz="0" w:val="nil"/>
          <w:between w:space="0" w:sz="0" w:val="nil"/>
        </w:pBdr>
        <w:jc w:val="both"/>
        <w:rPr>
          <w:rFonts w:ascii="Arial" w:cs="Arial" w:eastAsia="Arial" w:hAnsi="Arial"/>
          <w:b w:val="1"/>
          <w:strike w:val="1"/>
          <w:sz w:val="22"/>
          <w:szCs w:val="22"/>
        </w:rPr>
      </w:pPr>
      <w:r w:rsidDel="00000000" w:rsidR="00000000" w:rsidRPr="00000000">
        <w:rPr>
          <w:rtl w:val="0"/>
        </w:rPr>
      </w:r>
    </w:p>
    <w:p w:rsidR="00000000" w:rsidDel="00000000" w:rsidP="00000000" w:rsidRDefault="00000000" w:rsidRPr="00000000" w14:paraId="00000024">
      <w:pPr>
        <w:pBdr>
          <w:top w:space="0" w:sz="0" w:val="nil"/>
          <w:left w:space="0" w:sz="0" w:val="nil"/>
          <w:bottom w:space="0" w:sz="0" w:val="nil"/>
          <w:right w:space="0" w:sz="0" w:val="nil"/>
          <w:between w:space="0" w:sz="0" w:val="nil"/>
        </w:pBdr>
        <w:jc w:val="left"/>
        <w:rPr>
          <w:rFonts w:ascii="Arial" w:cs="Arial" w:eastAsia="Arial" w:hAnsi="Arial"/>
          <w:b w:val="1"/>
          <w:strike w:val="1"/>
          <w:sz w:val="22"/>
          <w:szCs w:val="22"/>
        </w:rPr>
      </w:pPr>
      <w:r w:rsidDel="00000000" w:rsidR="00000000" w:rsidRPr="00000000">
        <w:rPr>
          <w:rtl w:val="0"/>
        </w:rPr>
      </w:r>
    </w:p>
    <w:p w:rsidR="00000000" w:rsidDel="00000000" w:rsidP="00000000" w:rsidRDefault="00000000" w:rsidRPr="00000000" w14:paraId="00000025">
      <w:pPr>
        <w:pBdr>
          <w:top w:space="0" w:sz="0" w:val="nil"/>
          <w:left w:space="0" w:sz="0" w:val="nil"/>
          <w:bottom w:space="0" w:sz="0" w:val="nil"/>
          <w:right w:space="0" w:sz="0" w:val="nil"/>
          <w:between w:space="0" w:sz="0" w:val="nil"/>
        </w:pBdr>
        <w:jc w:val="left"/>
        <w:rPr>
          <w:rFonts w:ascii="Arial" w:cs="Arial" w:eastAsia="Arial" w:hAnsi="Arial"/>
          <w:b w:val="1"/>
          <w:strike w:val="1"/>
          <w:sz w:val="22"/>
          <w:szCs w:val="22"/>
        </w:rPr>
      </w:pPr>
      <w:r w:rsidDel="00000000" w:rsidR="00000000" w:rsidRPr="00000000">
        <w:rPr>
          <w:rtl w:val="0"/>
        </w:rPr>
      </w:r>
    </w:p>
    <w:p w:rsidR="00000000" w:rsidDel="00000000" w:rsidP="00000000" w:rsidRDefault="00000000" w:rsidRPr="00000000" w14:paraId="00000026">
      <w:pPr>
        <w:pBdr>
          <w:top w:space="0" w:sz="0" w:val="nil"/>
          <w:left w:space="0" w:sz="0" w:val="nil"/>
          <w:bottom w:space="0" w:sz="0" w:val="nil"/>
          <w:right w:space="0" w:sz="0" w:val="nil"/>
          <w:between w:space="0" w:sz="0" w:val="nil"/>
        </w:pBdr>
        <w:jc w:val="left"/>
        <w:rPr>
          <w:rFonts w:ascii="Arial" w:cs="Arial" w:eastAsia="Arial" w:hAnsi="Arial"/>
          <w:b w:val="1"/>
          <w:strike w:val="1"/>
          <w:sz w:val="22"/>
          <w:szCs w:val="22"/>
        </w:rPr>
      </w:pPr>
      <w:r w:rsidDel="00000000" w:rsidR="00000000" w:rsidRPr="00000000">
        <w:rPr>
          <w:rtl w:val="0"/>
        </w:rPr>
      </w:r>
    </w:p>
    <w:p w:rsidR="00000000" w:rsidDel="00000000" w:rsidP="00000000" w:rsidRDefault="00000000" w:rsidRPr="00000000" w14:paraId="00000027">
      <w:pPr>
        <w:pBdr>
          <w:top w:space="0" w:sz="0" w:val="nil"/>
          <w:left w:space="0" w:sz="0" w:val="nil"/>
          <w:bottom w:space="0" w:sz="0" w:val="nil"/>
          <w:right w:space="0" w:sz="0" w:val="nil"/>
          <w:between w:space="0" w:sz="0" w:val="nil"/>
        </w:pBdr>
        <w:jc w:val="left"/>
        <w:rPr>
          <w:rFonts w:ascii="Arial" w:cs="Arial" w:eastAsia="Arial" w:hAnsi="Arial"/>
          <w:b w:val="1"/>
          <w:strike w:val="1"/>
          <w:sz w:val="22"/>
          <w:szCs w:val="22"/>
        </w:rPr>
      </w:pPr>
      <w:r w:rsidDel="00000000" w:rsidR="00000000" w:rsidRPr="00000000">
        <w:rPr>
          <w:rtl w:val="0"/>
        </w:rPr>
      </w:r>
    </w:p>
    <w:p w:rsidR="00000000" w:rsidDel="00000000" w:rsidP="00000000" w:rsidRDefault="00000000" w:rsidRPr="00000000" w14:paraId="00000028">
      <w:pPr>
        <w:pBdr>
          <w:top w:space="0" w:sz="0" w:val="nil"/>
          <w:left w:space="0" w:sz="0" w:val="nil"/>
          <w:bottom w:space="0" w:sz="0" w:val="nil"/>
          <w:right w:space="0" w:sz="0" w:val="nil"/>
          <w:between w:space="0" w:sz="0" w:val="nil"/>
        </w:pBdr>
        <w:jc w:val="left"/>
        <w:rPr>
          <w:rFonts w:ascii="Arial" w:cs="Arial" w:eastAsia="Arial" w:hAnsi="Arial"/>
          <w:b w:val="1"/>
          <w:strike w:val="1"/>
          <w:sz w:val="22"/>
          <w:szCs w:val="22"/>
        </w:rPr>
      </w:pPr>
      <w:r w:rsidDel="00000000" w:rsidR="00000000" w:rsidRPr="00000000">
        <w:rPr>
          <w:rtl w:val="0"/>
        </w:rPr>
      </w:r>
    </w:p>
    <w:p w:rsidR="00000000" w:rsidDel="00000000" w:rsidP="00000000" w:rsidRDefault="00000000" w:rsidRPr="00000000" w14:paraId="00000029">
      <w:pPr>
        <w:pBdr>
          <w:top w:space="0" w:sz="0" w:val="nil"/>
          <w:left w:space="0" w:sz="0" w:val="nil"/>
          <w:bottom w:space="0" w:sz="0" w:val="nil"/>
          <w:right w:space="0" w:sz="0" w:val="nil"/>
          <w:between w:space="0" w:sz="0" w:val="nil"/>
        </w:pBdr>
        <w:jc w:val="left"/>
        <w:rPr>
          <w:rFonts w:ascii="Arial" w:cs="Arial" w:eastAsia="Arial" w:hAnsi="Arial"/>
          <w:b w:val="1"/>
          <w:strike w:val="1"/>
          <w:sz w:val="22"/>
          <w:szCs w:val="22"/>
        </w:rPr>
      </w:pPr>
      <w:r w:rsidDel="00000000" w:rsidR="00000000" w:rsidRPr="00000000">
        <w:rPr>
          <w:rtl w:val="0"/>
        </w:rPr>
      </w:r>
    </w:p>
    <w:p w:rsidR="00000000" w:rsidDel="00000000" w:rsidP="00000000" w:rsidRDefault="00000000" w:rsidRPr="00000000" w14:paraId="0000002A">
      <w:pPr>
        <w:pBdr>
          <w:top w:space="0" w:sz="0" w:val="nil"/>
          <w:left w:space="0" w:sz="0" w:val="nil"/>
          <w:bottom w:space="0" w:sz="0" w:val="nil"/>
          <w:right w:space="0" w:sz="0" w:val="nil"/>
          <w:between w:space="0" w:sz="0" w:val="nil"/>
        </w:pBdr>
        <w:jc w:val="left"/>
        <w:rPr>
          <w:rFonts w:ascii="Arial" w:cs="Arial" w:eastAsia="Arial" w:hAnsi="Arial"/>
          <w:b w:val="1"/>
          <w:strike w:val="1"/>
          <w:sz w:val="22"/>
          <w:szCs w:val="22"/>
        </w:rPr>
      </w:pPr>
      <w:r w:rsidDel="00000000" w:rsidR="00000000" w:rsidRPr="00000000">
        <w:rPr>
          <w:rtl w:val="0"/>
        </w:rPr>
      </w:r>
    </w:p>
    <w:p w:rsidR="00000000" w:rsidDel="00000000" w:rsidP="00000000" w:rsidRDefault="00000000" w:rsidRPr="00000000" w14:paraId="0000002B">
      <w:pPr>
        <w:pBdr>
          <w:top w:space="0" w:sz="0" w:val="nil"/>
          <w:left w:space="0" w:sz="0" w:val="nil"/>
          <w:bottom w:space="0" w:sz="0" w:val="nil"/>
          <w:right w:space="0" w:sz="0" w:val="nil"/>
          <w:between w:space="0" w:sz="0" w:val="nil"/>
        </w:pBdr>
        <w:jc w:val="left"/>
        <w:rPr>
          <w:rFonts w:ascii="Arial" w:cs="Arial" w:eastAsia="Arial" w:hAnsi="Arial"/>
          <w:b w:val="1"/>
          <w:strike w:val="1"/>
          <w:sz w:val="22"/>
          <w:szCs w:val="22"/>
        </w:rPr>
      </w:pPr>
      <w:r w:rsidDel="00000000" w:rsidR="00000000" w:rsidRPr="00000000">
        <w:rPr>
          <w:rtl w:val="0"/>
        </w:rPr>
      </w:r>
    </w:p>
    <w:p w:rsidR="00000000" w:rsidDel="00000000" w:rsidP="00000000" w:rsidRDefault="00000000" w:rsidRPr="00000000" w14:paraId="0000002C">
      <w:pPr>
        <w:pBdr>
          <w:top w:space="0" w:sz="0" w:val="nil"/>
          <w:left w:space="0" w:sz="0" w:val="nil"/>
          <w:bottom w:space="0" w:sz="0" w:val="nil"/>
          <w:right w:space="0" w:sz="0" w:val="nil"/>
          <w:between w:space="0" w:sz="0" w:val="nil"/>
        </w:pBdr>
        <w:jc w:val="left"/>
        <w:rPr>
          <w:rFonts w:ascii="Arial" w:cs="Arial" w:eastAsia="Arial" w:hAnsi="Arial"/>
          <w:b w:val="1"/>
          <w:strike w:val="1"/>
          <w:sz w:val="22"/>
          <w:szCs w:val="22"/>
        </w:rPr>
      </w:pPr>
      <w:r w:rsidDel="00000000" w:rsidR="00000000" w:rsidRPr="00000000">
        <w:rPr>
          <w:rtl w:val="0"/>
        </w:rPr>
      </w:r>
    </w:p>
    <w:p w:rsidR="00000000" w:rsidDel="00000000" w:rsidP="00000000" w:rsidRDefault="00000000" w:rsidRPr="00000000" w14:paraId="0000002D">
      <w:pPr>
        <w:pBdr>
          <w:top w:space="0" w:sz="0" w:val="nil"/>
          <w:left w:space="0" w:sz="0" w:val="nil"/>
          <w:bottom w:space="0" w:sz="0" w:val="nil"/>
          <w:right w:space="0" w:sz="0" w:val="nil"/>
          <w:between w:space="0" w:sz="0" w:val="nil"/>
        </w:pBdr>
        <w:jc w:val="left"/>
        <w:rPr>
          <w:rFonts w:ascii="Arial" w:cs="Arial" w:eastAsia="Arial" w:hAnsi="Arial"/>
          <w:b w:val="1"/>
          <w:strike w:val="1"/>
          <w:sz w:val="22"/>
          <w:szCs w:val="22"/>
        </w:rPr>
      </w:pPr>
      <w:r w:rsidDel="00000000" w:rsidR="00000000" w:rsidRPr="00000000">
        <w:rPr>
          <w:rtl w:val="0"/>
        </w:rPr>
      </w:r>
    </w:p>
    <w:p w:rsidR="00000000" w:rsidDel="00000000" w:rsidP="00000000" w:rsidRDefault="00000000" w:rsidRPr="00000000" w14:paraId="0000002E">
      <w:pPr>
        <w:pBdr>
          <w:top w:space="0" w:sz="0" w:val="nil"/>
          <w:left w:space="0" w:sz="0" w:val="nil"/>
          <w:bottom w:space="0" w:sz="0" w:val="nil"/>
          <w:right w:space="0" w:sz="0" w:val="nil"/>
          <w:between w:space="0" w:sz="0" w:val="nil"/>
        </w:pBdr>
        <w:jc w:val="left"/>
        <w:rPr>
          <w:rFonts w:ascii="Arial" w:cs="Arial" w:eastAsia="Arial" w:hAnsi="Arial"/>
          <w:b w:val="1"/>
          <w:strike w:val="1"/>
          <w:sz w:val="22"/>
          <w:szCs w:val="22"/>
        </w:rPr>
      </w:pPr>
      <w:r w:rsidDel="00000000" w:rsidR="00000000" w:rsidRPr="00000000">
        <w:rPr>
          <w:rtl w:val="0"/>
        </w:rPr>
      </w:r>
    </w:p>
    <w:p w:rsidR="00000000" w:rsidDel="00000000" w:rsidP="00000000" w:rsidRDefault="00000000" w:rsidRPr="00000000" w14:paraId="0000002F">
      <w:pPr>
        <w:pBdr>
          <w:top w:space="0" w:sz="0" w:val="nil"/>
          <w:left w:space="0" w:sz="0" w:val="nil"/>
          <w:bottom w:space="0" w:sz="0" w:val="nil"/>
          <w:right w:space="0" w:sz="0" w:val="nil"/>
          <w:between w:space="0" w:sz="0" w:val="nil"/>
        </w:pBdr>
        <w:jc w:val="left"/>
        <w:rPr>
          <w:rFonts w:ascii="Arial" w:cs="Arial" w:eastAsia="Arial" w:hAnsi="Arial"/>
          <w:b w:val="1"/>
          <w:strike w:val="1"/>
          <w:sz w:val="22"/>
          <w:szCs w:val="22"/>
        </w:rPr>
      </w:pPr>
      <w:r w:rsidDel="00000000" w:rsidR="00000000" w:rsidRPr="00000000">
        <w:rPr>
          <w:rtl w:val="0"/>
        </w:rPr>
      </w:r>
    </w:p>
    <w:p w:rsidR="00000000" w:rsidDel="00000000" w:rsidP="00000000" w:rsidRDefault="00000000" w:rsidRPr="00000000" w14:paraId="00000030">
      <w:pPr>
        <w:pBdr>
          <w:top w:space="0" w:sz="0" w:val="nil"/>
          <w:left w:space="0" w:sz="0" w:val="nil"/>
          <w:bottom w:space="0" w:sz="0" w:val="nil"/>
          <w:right w:space="0" w:sz="0" w:val="nil"/>
          <w:between w:space="0" w:sz="0" w:val="nil"/>
        </w:pBdr>
        <w:jc w:val="left"/>
        <w:rPr>
          <w:rFonts w:ascii="Arial" w:cs="Arial" w:eastAsia="Arial" w:hAnsi="Arial"/>
          <w:b w:val="1"/>
          <w:strike w:val="1"/>
          <w:sz w:val="22"/>
          <w:szCs w:val="22"/>
        </w:rPr>
      </w:pPr>
      <w:r w:rsidDel="00000000" w:rsidR="00000000" w:rsidRPr="00000000">
        <w:rPr>
          <w:rtl w:val="0"/>
        </w:rPr>
      </w:r>
    </w:p>
    <w:p w:rsidR="00000000" w:rsidDel="00000000" w:rsidP="00000000" w:rsidRDefault="00000000" w:rsidRPr="00000000" w14:paraId="00000031">
      <w:pPr>
        <w:pBdr>
          <w:top w:space="0" w:sz="0" w:val="nil"/>
          <w:left w:space="0" w:sz="0" w:val="nil"/>
          <w:bottom w:space="0" w:sz="0" w:val="nil"/>
          <w:right w:space="0" w:sz="0" w:val="nil"/>
          <w:between w:space="0" w:sz="0" w:val="nil"/>
        </w:pBdr>
        <w:jc w:val="left"/>
        <w:rPr>
          <w:rFonts w:ascii="Arial" w:cs="Arial" w:eastAsia="Arial" w:hAnsi="Arial"/>
          <w:b w:val="1"/>
          <w:strike w:val="1"/>
          <w:sz w:val="22"/>
          <w:szCs w:val="22"/>
        </w:rPr>
      </w:pPr>
      <w:r w:rsidDel="00000000" w:rsidR="00000000" w:rsidRPr="00000000">
        <w:rPr>
          <w:rtl w:val="0"/>
        </w:rPr>
      </w:r>
    </w:p>
    <w:p w:rsidR="00000000" w:rsidDel="00000000" w:rsidP="00000000" w:rsidRDefault="00000000" w:rsidRPr="00000000" w14:paraId="00000032">
      <w:pPr>
        <w:pBdr>
          <w:top w:space="0" w:sz="0" w:val="nil"/>
          <w:left w:space="0" w:sz="0" w:val="nil"/>
          <w:bottom w:space="0" w:sz="0" w:val="nil"/>
          <w:right w:space="0" w:sz="0" w:val="nil"/>
          <w:between w:space="0" w:sz="0" w:val="nil"/>
        </w:pBdr>
        <w:jc w:val="center"/>
        <w:rPr>
          <w:rFonts w:ascii="Arial" w:cs="Arial" w:eastAsia="Arial" w:hAnsi="Arial"/>
          <w:color w:val="000000"/>
          <w:sz w:val="22"/>
          <w:szCs w:val="22"/>
        </w:rPr>
      </w:pPr>
      <w:r w:rsidDel="00000000" w:rsidR="00000000" w:rsidRPr="00000000">
        <w:rPr>
          <w:rFonts w:ascii="Arial" w:cs="Arial" w:eastAsia="Arial" w:hAnsi="Arial"/>
          <w:b w:val="1"/>
          <w:color w:val="000000"/>
          <w:sz w:val="22"/>
          <w:szCs w:val="22"/>
          <w:rtl w:val="0"/>
        </w:rPr>
        <w:t xml:space="preserve">Článek 2</w:t>
      </w:r>
      <w:r w:rsidDel="00000000" w:rsidR="00000000" w:rsidRPr="00000000">
        <w:rPr>
          <w:rtl w:val="0"/>
        </w:rPr>
      </w:r>
    </w:p>
    <w:p w:rsidR="00000000" w:rsidDel="00000000" w:rsidP="00000000" w:rsidRDefault="00000000" w:rsidRPr="00000000" w14:paraId="00000033">
      <w:pPr>
        <w:pBdr>
          <w:top w:space="0" w:sz="0" w:val="nil"/>
          <w:left w:space="0" w:sz="0" w:val="nil"/>
          <w:bottom w:space="0" w:sz="0" w:val="nil"/>
          <w:right w:space="0" w:sz="0" w:val="nil"/>
          <w:between w:space="0" w:sz="0" w:val="nil"/>
        </w:pBdr>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Předmět smlouvy</w:t>
      </w:r>
    </w:p>
    <w:p w:rsidR="00000000" w:rsidDel="00000000" w:rsidP="00000000" w:rsidRDefault="00000000" w:rsidRPr="00000000" w14:paraId="00000034">
      <w:pPr>
        <w:pBdr>
          <w:top w:space="0" w:sz="0" w:val="nil"/>
          <w:left w:space="0" w:sz="0" w:val="nil"/>
          <w:bottom w:space="0" w:sz="0" w:val="nil"/>
          <w:right w:space="0" w:sz="0" w:val="nil"/>
          <w:between w:space="0" w:sz="0" w:val="nil"/>
        </w:pBdr>
        <w:spacing w:after="280" w:before="280" w:lineRule="auto"/>
        <w:jc w:val="both"/>
        <w:rPr>
          <w:rFonts w:ascii="Arial" w:cs="Arial" w:eastAsia="Arial" w:hAnsi="Arial"/>
          <w:sz w:val="22"/>
          <w:szCs w:val="22"/>
        </w:rPr>
      </w:pPr>
      <w:r w:rsidDel="00000000" w:rsidR="00000000" w:rsidRPr="00000000">
        <w:rPr>
          <w:rFonts w:ascii="Arial" w:cs="Arial" w:eastAsia="Arial" w:hAnsi="Arial"/>
          <w:color w:val="000000"/>
          <w:sz w:val="22"/>
          <w:szCs w:val="22"/>
          <w:rtl w:val="0"/>
        </w:rPr>
        <w:t xml:space="preserve">2.</w:t>
      </w:r>
      <w:r w:rsidDel="00000000" w:rsidR="00000000" w:rsidRPr="00000000">
        <w:rPr>
          <w:rFonts w:ascii="Arial" w:cs="Arial" w:eastAsia="Arial" w:hAnsi="Arial"/>
          <w:sz w:val="22"/>
          <w:szCs w:val="22"/>
          <w:rtl w:val="0"/>
        </w:rPr>
        <w:t xml:space="preserve">1</w:t>
      </w:r>
      <w:r w:rsidDel="00000000" w:rsidR="00000000" w:rsidRPr="00000000">
        <w:rPr>
          <w:rFonts w:ascii="Arial" w:cs="Arial" w:eastAsia="Arial" w:hAnsi="Arial"/>
          <w:color w:val="000000"/>
          <w:sz w:val="22"/>
          <w:szCs w:val="22"/>
          <w:rtl w:val="0"/>
        </w:rPr>
        <w:t xml:space="preserve"> </w:t>
      </w:r>
      <w:r w:rsidDel="00000000" w:rsidR="00000000" w:rsidRPr="00000000">
        <w:rPr>
          <w:rFonts w:ascii="Arial" w:cs="Arial" w:eastAsia="Arial" w:hAnsi="Arial"/>
          <w:sz w:val="22"/>
          <w:szCs w:val="22"/>
          <w:rtl w:val="0"/>
        </w:rPr>
        <w:t xml:space="preserve">Účelem této servisní smlouvy je určení a definice závazku smluvních stran ve smyslu poskytování servisní podpory a souvisejících služeb (dále jen „servis nebo servisní podpora”). Zhotovitelem pro potřeby Objednatele ve vztahu k dílu, a to zejména časové        a věcné vymezení způsobu provádění servisních činností Zhotovitelem, stanovení předmětu a rozsahu servisních činností, určení ceny těchto činností a způsobu její úhrady v případech, na nichž se neuplatní práva z vad a záruky dle uvedené smlouvy o dílo.</w:t>
      </w:r>
    </w:p>
    <w:p w:rsidR="00000000" w:rsidDel="00000000" w:rsidP="00000000" w:rsidRDefault="00000000" w:rsidRPr="00000000" w14:paraId="00000035">
      <w:pPr>
        <w:pBdr>
          <w:top w:space="0" w:sz="0" w:val="nil"/>
          <w:left w:space="0" w:sz="0" w:val="nil"/>
          <w:bottom w:space="0" w:sz="0" w:val="nil"/>
          <w:right w:space="0" w:sz="0" w:val="nil"/>
          <w:between w:space="0" w:sz="0" w:val="nil"/>
        </w:pBdr>
        <w:spacing w:after="280" w:before="28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2.2 Smluvní strany shodně prohlašují, že identifikační údaje uvedené ve smlouvě jsou v souladu s právní skutečností v době uzavření smlouvy.</w:t>
      </w:r>
    </w:p>
    <w:p w:rsidR="00000000" w:rsidDel="00000000" w:rsidP="00000000" w:rsidRDefault="00000000" w:rsidRPr="00000000" w14:paraId="00000036">
      <w:pPr>
        <w:pBdr>
          <w:top w:space="0" w:sz="0" w:val="nil"/>
          <w:left w:space="0" w:sz="0" w:val="nil"/>
          <w:bottom w:space="0" w:sz="0" w:val="nil"/>
          <w:right w:space="0" w:sz="0" w:val="nil"/>
          <w:between w:space="0" w:sz="0" w:val="nil"/>
        </w:pBdr>
        <w:spacing w:after="280" w:before="28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2.3. Zhotovitel prohlašuje, že je odborně způsobilý k zajištění předmětu smlouvy.</w:t>
      </w:r>
    </w:p>
    <w:p w:rsidR="00000000" w:rsidDel="00000000" w:rsidP="00000000" w:rsidRDefault="00000000" w:rsidRPr="00000000" w14:paraId="00000037">
      <w:pPr>
        <w:pBdr>
          <w:top w:space="0" w:sz="0" w:val="nil"/>
          <w:left w:space="0" w:sz="0" w:val="nil"/>
          <w:bottom w:space="0" w:sz="0" w:val="nil"/>
          <w:right w:space="0" w:sz="0" w:val="nil"/>
          <w:between w:space="0" w:sz="0" w:val="nil"/>
        </w:pBdr>
        <w:spacing w:after="280" w:before="28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2.4. Zhotovitel a Objednatel se zavazují ke vzájemné součinnosti za účelem plnění předmětu smlouvy.</w:t>
      </w:r>
    </w:p>
    <w:p w:rsidR="00000000" w:rsidDel="00000000" w:rsidP="00000000" w:rsidRDefault="00000000" w:rsidRPr="00000000" w14:paraId="00000038">
      <w:pPr>
        <w:pBdr>
          <w:top w:space="0" w:sz="0" w:val="nil"/>
          <w:left w:space="0" w:sz="0" w:val="nil"/>
          <w:bottom w:space="0" w:sz="0" w:val="nil"/>
          <w:right w:space="0" w:sz="0" w:val="nil"/>
          <w:between w:space="0" w:sz="0" w:val="nil"/>
        </w:pBdr>
        <w:spacing w:after="280" w:before="280"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9">
      <w:pPr>
        <w:pBdr>
          <w:top w:space="0" w:sz="0" w:val="nil"/>
          <w:left w:space="0" w:sz="0" w:val="nil"/>
          <w:bottom w:space="0" w:sz="0" w:val="nil"/>
          <w:right w:space="0" w:sz="0" w:val="nil"/>
          <w:between w:space="0" w:sz="0" w:val="nil"/>
        </w:pBdr>
        <w:spacing w:after="60" w:before="60" w:lineRule="auto"/>
        <w:jc w:val="center"/>
        <w:rPr>
          <w:rFonts w:ascii="Arial" w:cs="Arial" w:eastAsia="Arial" w:hAnsi="Arial"/>
          <w:color w:val="000000"/>
          <w:sz w:val="22"/>
          <w:szCs w:val="22"/>
        </w:rPr>
      </w:pPr>
      <w:r w:rsidDel="00000000" w:rsidR="00000000" w:rsidRPr="00000000">
        <w:rPr>
          <w:rFonts w:ascii="Arial" w:cs="Arial" w:eastAsia="Arial" w:hAnsi="Arial"/>
          <w:b w:val="1"/>
          <w:color w:val="000000"/>
          <w:sz w:val="22"/>
          <w:szCs w:val="22"/>
          <w:rtl w:val="0"/>
        </w:rPr>
        <w:t xml:space="preserve">Článek 3</w:t>
      </w:r>
      <w:r w:rsidDel="00000000" w:rsidR="00000000" w:rsidRPr="00000000">
        <w:rPr>
          <w:rtl w:val="0"/>
        </w:rPr>
      </w:r>
    </w:p>
    <w:p w:rsidR="00000000" w:rsidDel="00000000" w:rsidP="00000000" w:rsidRDefault="00000000" w:rsidRPr="00000000" w14:paraId="0000003A">
      <w:pPr>
        <w:pBdr>
          <w:top w:space="0" w:sz="0" w:val="nil"/>
          <w:left w:space="0" w:sz="0" w:val="nil"/>
          <w:bottom w:space="0" w:sz="0" w:val="nil"/>
          <w:right w:space="0" w:sz="0" w:val="nil"/>
          <w:between w:space="0" w:sz="0" w:val="nil"/>
        </w:pBdr>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Určení typu servisní podpory </w:t>
      </w:r>
    </w:p>
    <w:p w:rsidR="00000000" w:rsidDel="00000000" w:rsidP="00000000" w:rsidRDefault="00000000" w:rsidRPr="00000000" w14:paraId="0000003B">
      <w:pPr>
        <w:pBdr>
          <w:top w:space="0" w:sz="0" w:val="nil"/>
          <w:left w:space="0" w:sz="0" w:val="nil"/>
          <w:bottom w:space="0" w:sz="0" w:val="nil"/>
          <w:right w:space="0" w:sz="0" w:val="nil"/>
          <w:between w:space="0" w:sz="0" w:val="nil"/>
        </w:pBdr>
        <w:spacing w:after="280" w:before="280" w:lineRule="auto"/>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3.</w:t>
      </w:r>
      <w:r w:rsidDel="00000000" w:rsidR="00000000" w:rsidRPr="00000000">
        <w:rPr>
          <w:rFonts w:ascii="Arial" w:cs="Arial" w:eastAsia="Arial" w:hAnsi="Arial"/>
          <w:sz w:val="22"/>
          <w:szCs w:val="22"/>
          <w:rtl w:val="0"/>
        </w:rPr>
        <w:t xml:space="preserve">1</w:t>
      </w:r>
      <w:r w:rsidDel="00000000" w:rsidR="00000000" w:rsidRPr="00000000">
        <w:rPr>
          <w:rFonts w:ascii="Arial" w:cs="Arial" w:eastAsia="Arial" w:hAnsi="Arial"/>
          <w:color w:val="000000"/>
          <w:sz w:val="22"/>
          <w:szCs w:val="22"/>
          <w:rtl w:val="0"/>
        </w:rPr>
        <w:t xml:space="preserve"> Objednatel se zavazuje </w:t>
      </w:r>
      <w:r w:rsidDel="00000000" w:rsidR="00000000" w:rsidRPr="00000000">
        <w:rPr>
          <w:rFonts w:ascii="Arial" w:cs="Arial" w:eastAsia="Arial" w:hAnsi="Arial"/>
          <w:sz w:val="22"/>
          <w:szCs w:val="22"/>
          <w:rtl w:val="0"/>
        </w:rPr>
        <w:t xml:space="preserve">poskytnout</w:t>
      </w:r>
      <w:r w:rsidDel="00000000" w:rsidR="00000000" w:rsidRPr="00000000">
        <w:rPr>
          <w:rFonts w:ascii="Arial" w:cs="Arial" w:eastAsia="Arial" w:hAnsi="Arial"/>
          <w:color w:val="000000"/>
          <w:sz w:val="22"/>
          <w:szCs w:val="22"/>
          <w:rtl w:val="0"/>
        </w:rPr>
        <w:t xml:space="preserve"> Zhotoviteli potřebné informace a podklady, které jsou nezbytné k</w:t>
      </w:r>
      <w:r w:rsidDel="00000000" w:rsidR="00000000" w:rsidRPr="00000000">
        <w:rPr>
          <w:rFonts w:ascii="Arial" w:cs="Arial" w:eastAsia="Arial" w:hAnsi="Arial"/>
          <w:sz w:val="22"/>
          <w:szCs w:val="22"/>
          <w:rtl w:val="0"/>
        </w:rPr>
        <w:t xml:space="preserve"> plnění předmětu smlouvy</w:t>
      </w:r>
      <w:r w:rsidDel="00000000" w:rsidR="00000000" w:rsidRPr="00000000">
        <w:rPr>
          <w:rFonts w:ascii="Arial" w:cs="Arial" w:eastAsia="Arial" w:hAnsi="Arial"/>
          <w:color w:val="000000"/>
          <w:sz w:val="22"/>
          <w:szCs w:val="22"/>
          <w:rtl w:val="0"/>
        </w:rPr>
        <w:t xml:space="preserve">.</w:t>
      </w:r>
    </w:p>
    <w:p w:rsidR="00000000" w:rsidDel="00000000" w:rsidP="00000000" w:rsidRDefault="00000000" w:rsidRPr="00000000" w14:paraId="0000003C">
      <w:pPr>
        <w:pBdr>
          <w:top w:space="0" w:sz="0" w:val="nil"/>
          <w:left w:space="0" w:sz="0" w:val="nil"/>
          <w:bottom w:space="0" w:sz="0" w:val="nil"/>
          <w:right w:space="0" w:sz="0" w:val="nil"/>
          <w:between w:space="0" w:sz="0" w:val="nil"/>
        </w:pBdr>
        <w:spacing w:before="28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3.2 Servisní podpora a s ní související služby jsou specifikovány v příloze č.1 Vymezení servisní podpory a souvisejících služeb, která je nedílnou součástí této smlouvy.</w:t>
      </w:r>
    </w:p>
    <w:p w:rsidR="00000000" w:rsidDel="00000000" w:rsidP="00000000" w:rsidRDefault="00000000" w:rsidRPr="00000000" w14:paraId="0000003D">
      <w:pPr>
        <w:pBdr>
          <w:top w:space="0" w:sz="0" w:val="nil"/>
          <w:left w:space="0" w:sz="0" w:val="nil"/>
          <w:bottom w:space="0" w:sz="0" w:val="nil"/>
          <w:right w:space="0" w:sz="0" w:val="nil"/>
          <w:between w:space="0" w:sz="0" w:val="nil"/>
        </w:pBdr>
        <w:spacing w:after="280" w:before="280" w:lineRule="auto"/>
        <w:jc w:val="both"/>
        <w:rPr>
          <w:rFonts w:ascii="Arial" w:cs="Arial" w:eastAsia="Arial" w:hAnsi="Arial"/>
          <w:sz w:val="22"/>
          <w:szCs w:val="22"/>
        </w:rPr>
      </w:pPr>
      <w:r w:rsidDel="00000000" w:rsidR="00000000" w:rsidRPr="00000000">
        <w:rPr>
          <w:rFonts w:ascii="Arial" w:cs="Arial" w:eastAsia="Arial" w:hAnsi="Arial"/>
          <w:color w:val="000000"/>
          <w:sz w:val="22"/>
          <w:szCs w:val="22"/>
          <w:rtl w:val="0"/>
        </w:rPr>
        <w:t xml:space="preserve">3.</w:t>
      </w:r>
      <w:r w:rsidDel="00000000" w:rsidR="00000000" w:rsidRPr="00000000">
        <w:rPr>
          <w:rFonts w:ascii="Arial" w:cs="Arial" w:eastAsia="Arial" w:hAnsi="Arial"/>
          <w:sz w:val="22"/>
          <w:szCs w:val="22"/>
          <w:rtl w:val="0"/>
        </w:rPr>
        <w:t xml:space="preserve">3</w:t>
      </w:r>
      <w:r w:rsidDel="00000000" w:rsidR="00000000" w:rsidRPr="00000000">
        <w:rPr>
          <w:rFonts w:ascii="Arial" w:cs="Arial" w:eastAsia="Arial" w:hAnsi="Arial"/>
          <w:color w:val="000000"/>
          <w:sz w:val="22"/>
          <w:szCs w:val="22"/>
          <w:rtl w:val="0"/>
        </w:rPr>
        <w:t xml:space="preserve"> </w:t>
      </w:r>
      <w:r w:rsidDel="00000000" w:rsidR="00000000" w:rsidRPr="00000000">
        <w:rPr>
          <w:rFonts w:ascii="Arial" w:cs="Arial" w:eastAsia="Arial" w:hAnsi="Arial"/>
          <w:sz w:val="22"/>
          <w:szCs w:val="22"/>
          <w:rtl w:val="0"/>
        </w:rPr>
        <w:t xml:space="preserve">Zhotovitel zajistí, že veškeré vlastnosti díla, včetně jeho update, legislativního update, upgrade a legislativního upgrade budou po celou dobu účinnosti této smlouvy odpovídat vždy aktuálním obecně platným právním předpisům ČR a platným standardům informačních systémů veřejné správy.</w:t>
      </w:r>
    </w:p>
    <w:p w:rsidR="00000000" w:rsidDel="00000000" w:rsidP="00000000" w:rsidRDefault="00000000" w:rsidRPr="00000000" w14:paraId="0000003E">
      <w:pPr>
        <w:pBdr>
          <w:top w:space="0" w:sz="0" w:val="nil"/>
          <w:left w:space="0" w:sz="0" w:val="nil"/>
          <w:bottom w:space="0" w:sz="0" w:val="nil"/>
          <w:right w:space="0" w:sz="0" w:val="nil"/>
          <w:between w:space="0" w:sz="0" w:val="nil"/>
        </w:pBdr>
        <w:spacing w:after="280" w:before="28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3.4 Zhotovitel zajistí v rámci běžného rozvoje jednotlivých modulů informačního systému Zhotovitele poskytnutí aktualizovaných verzí nejpozději do 1 měsíce po uvolnění Zhotovitelem nové verze k distribuci.</w:t>
      </w:r>
    </w:p>
    <w:p w:rsidR="00000000" w:rsidDel="00000000" w:rsidP="00000000" w:rsidRDefault="00000000" w:rsidRPr="00000000" w14:paraId="0000003F">
      <w:pPr>
        <w:pBdr>
          <w:top w:space="0" w:sz="0" w:val="nil"/>
          <w:left w:space="0" w:sz="0" w:val="nil"/>
          <w:bottom w:space="0" w:sz="0" w:val="nil"/>
          <w:right w:space="0" w:sz="0" w:val="nil"/>
          <w:between w:space="0" w:sz="0" w:val="nil"/>
        </w:pBdr>
        <w:spacing w:after="280" w:before="28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3.5 Technická podpora a servis zařízení HW a SW budou realizovány Zhotovitelem, případně prostřednictvím odpovídajícího servisního kanálu výrobce.</w:t>
      </w:r>
    </w:p>
    <w:p w:rsidR="00000000" w:rsidDel="00000000" w:rsidP="00000000" w:rsidRDefault="00000000" w:rsidRPr="00000000" w14:paraId="00000040">
      <w:pPr>
        <w:pBdr>
          <w:top w:space="0" w:sz="0" w:val="nil"/>
          <w:left w:space="0" w:sz="0" w:val="nil"/>
          <w:bottom w:space="0" w:sz="0" w:val="nil"/>
          <w:right w:space="0" w:sz="0" w:val="nil"/>
          <w:between w:space="0" w:sz="0" w:val="nil"/>
        </w:pBdr>
        <w:spacing w:after="280" w:before="28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3.6 Technická podpora a servis budou realizovány v místě Objednatele. Výjimku tvoří činnosti realizované vzdáleným připojením Zhotovitele do prostředí Objednatele.</w:t>
      </w:r>
    </w:p>
    <w:p w:rsidR="00000000" w:rsidDel="00000000" w:rsidP="00000000" w:rsidRDefault="00000000" w:rsidRPr="00000000" w14:paraId="00000041">
      <w:pPr>
        <w:pBdr>
          <w:top w:space="0" w:sz="0" w:val="nil"/>
          <w:left w:space="0" w:sz="0" w:val="nil"/>
          <w:bottom w:space="0" w:sz="0" w:val="nil"/>
          <w:right w:space="0" w:sz="0" w:val="nil"/>
          <w:between w:space="0" w:sz="0" w:val="nil"/>
        </w:pBdr>
        <w:spacing w:after="280" w:before="28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3.7 Veškeré požadavky budou evidovány v systému servisní podpory Zhotovitele (Hot-Line).</w:t>
      </w:r>
    </w:p>
    <w:p w:rsidR="00000000" w:rsidDel="00000000" w:rsidP="00000000" w:rsidRDefault="00000000" w:rsidRPr="00000000" w14:paraId="00000042">
      <w:pPr>
        <w:pBdr>
          <w:top w:space="0" w:sz="0" w:val="nil"/>
          <w:left w:space="0" w:sz="0" w:val="nil"/>
          <w:bottom w:space="0" w:sz="0" w:val="nil"/>
          <w:right w:space="0" w:sz="0" w:val="nil"/>
          <w:between w:space="0" w:sz="0" w:val="nil"/>
        </w:pBdr>
        <w:spacing w:after="280" w:before="280"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3">
      <w:pPr>
        <w:pBdr>
          <w:top w:space="0" w:sz="0" w:val="nil"/>
          <w:left w:space="0" w:sz="0" w:val="nil"/>
          <w:bottom w:space="0" w:sz="0" w:val="nil"/>
          <w:right w:space="0" w:sz="0" w:val="nil"/>
          <w:between w:space="0" w:sz="0" w:val="nil"/>
        </w:pBdr>
        <w:spacing w:after="280" w:before="280"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4">
      <w:pPr>
        <w:pBdr>
          <w:top w:space="0" w:sz="0" w:val="nil"/>
          <w:left w:space="0" w:sz="0" w:val="nil"/>
          <w:bottom w:space="0" w:sz="0" w:val="nil"/>
          <w:right w:space="0" w:sz="0" w:val="nil"/>
          <w:between w:space="0" w:sz="0" w:val="nil"/>
        </w:pBdr>
        <w:spacing w:after="280" w:before="28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3.8 Služba Hot-Line umožní příjem požadavku na servisní zásah v českém jazyce na telefonním čísle: +420 593 033 348, v režimu 5x10 (10 hodin v pracovní dny) v době od 08:00 do 18:00 hod, příjem požadavku bude zajištěn lidskou obsluhou.</w:t>
      </w:r>
    </w:p>
    <w:p w:rsidR="00000000" w:rsidDel="00000000" w:rsidP="00000000" w:rsidRDefault="00000000" w:rsidRPr="00000000" w14:paraId="00000045">
      <w:pPr>
        <w:pBdr>
          <w:top w:space="0" w:sz="0" w:val="nil"/>
          <w:left w:space="0" w:sz="0" w:val="nil"/>
          <w:bottom w:space="0" w:sz="0" w:val="nil"/>
          <w:right w:space="0" w:sz="0" w:val="nil"/>
          <w:between w:space="0" w:sz="0" w:val="nil"/>
        </w:pBdr>
        <w:spacing w:after="280" w:before="28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3.9 Cena spotřebního materiálu a náhradních dílů není zahrnuta v ceně servisní podpory ani souvisejících služeb. Na vyřešení oprávněných požadavků, které souvisí s řešením v rámci záruční doby díla, se tento bod nevztahuje.</w:t>
      </w:r>
    </w:p>
    <w:p w:rsidR="00000000" w:rsidDel="00000000" w:rsidP="00000000" w:rsidRDefault="00000000" w:rsidRPr="00000000" w14:paraId="00000046">
      <w:pPr>
        <w:pBdr>
          <w:top w:space="0" w:sz="0" w:val="nil"/>
          <w:left w:space="0" w:sz="0" w:val="nil"/>
          <w:bottom w:space="0" w:sz="0" w:val="nil"/>
          <w:right w:space="0" w:sz="0" w:val="nil"/>
          <w:between w:space="0" w:sz="0" w:val="nil"/>
        </w:pBdr>
        <w:spacing w:after="280" w:before="28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3.10 Náklady na dopravné a práce technika nebo programátora v hodinové sazbě nejsou v případě řešení záležitosti odpovídající záručním podmínkám zpoplatněny. V případě, že se jedná o zásah, řešení situací po záruční době, nejsou náklady na dopravné a práce technika v hodinové sazbě zahrnuty v servisním poplatku a jsou sjednány na základě cenové nabídky této smlouvy dle článku 4, odstavce 4.2 této smlouvy.</w:t>
      </w:r>
    </w:p>
    <w:p w:rsidR="00000000" w:rsidDel="00000000" w:rsidP="00000000" w:rsidRDefault="00000000" w:rsidRPr="00000000" w14:paraId="00000047">
      <w:pPr>
        <w:jc w:val="center"/>
        <w:rPr>
          <w:rFonts w:ascii="Arial" w:cs="Arial" w:eastAsia="Arial" w:hAnsi="Arial"/>
          <w:sz w:val="22"/>
          <w:szCs w:val="22"/>
        </w:rPr>
      </w:pPr>
      <w:r w:rsidDel="00000000" w:rsidR="00000000" w:rsidRPr="00000000">
        <w:rPr>
          <w:rFonts w:ascii="Arial" w:cs="Arial" w:eastAsia="Arial" w:hAnsi="Arial"/>
          <w:b w:val="1"/>
          <w:sz w:val="22"/>
          <w:szCs w:val="22"/>
          <w:rtl w:val="0"/>
        </w:rPr>
        <w:t xml:space="preserve">Článek 4</w:t>
      </w:r>
      <w:r w:rsidDel="00000000" w:rsidR="00000000" w:rsidRPr="00000000">
        <w:rPr>
          <w:rtl w:val="0"/>
        </w:rPr>
      </w:r>
    </w:p>
    <w:p w:rsidR="00000000" w:rsidDel="00000000" w:rsidP="00000000" w:rsidRDefault="00000000" w:rsidRPr="00000000" w14:paraId="00000048">
      <w:pPr>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Profylaxe</w:t>
      </w:r>
    </w:p>
    <w:p w:rsidR="00000000" w:rsidDel="00000000" w:rsidP="00000000" w:rsidRDefault="00000000" w:rsidRPr="00000000" w14:paraId="00000049">
      <w:pPr>
        <w:pBdr>
          <w:top w:space="0" w:sz="0" w:val="nil"/>
          <w:left w:space="0" w:sz="0" w:val="nil"/>
          <w:bottom w:space="0" w:sz="0" w:val="nil"/>
          <w:right w:space="0" w:sz="0" w:val="nil"/>
          <w:between w:space="0" w:sz="0" w:val="nil"/>
        </w:pBdr>
        <w:spacing w:after="280" w:before="28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4.1 U Profylaxe HW se Zhotovitel zavazuje kompletně zkontrolovat elektronickou dotykovou tabuli především její funkčnost, vyčistit vnitřní prostor elektronické dotykové tabule a jejich komponentů vzduchem, vyměnit prachové filtry, provést preventivní kontrolu a funkční zkoušku elektronické dotykové tabule a všech jejích komponent. Profylaxe je prováděna v sídle Objednatele, kde je dílo  nainstalováno. </w:t>
      </w:r>
    </w:p>
    <w:p w:rsidR="00000000" w:rsidDel="00000000" w:rsidP="00000000" w:rsidRDefault="00000000" w:rsidRPr="00000000" w14:paraId="0000004A">
      <w:pPr>
        <w:pBdr>
          <w:top w:space="0" w:sz="0" w:val="nil"/>
          <w:left w:space="0" w:sz="0" w:val="nil"/>
          <w:bottom w:space="0" w:sz="0" w:val="nil"/>
          <w:right w:space="0" w:sz="0" w:val="nil"/>
          <w:between w:space="0" w:sz="0" w:val="nil"/>
        </w:pBdr>
        <w:spacing w:after="280" w:before="28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4.2 Termín provedení Profylaxe oznamuje Zhotovitel Objednateli e-mailem nejméně 7 dní předem. Po provedení Maintenance SW oznámí Dodavatel Objednateli důležité změny SW.</w:t>
      </w:r>
    </w:p>
    <w:p w:rsidR="00000000" w:rsidDel="00000000" w:rsidP="00000000" w:rsidRDefault="00000000" w:rsidRPr="00000000" w14:paraId="0000004B">
      <w:pPr>
        <w:pBdr>
          <w:top w:space="0" w:sz="0" w:val="nil"/>
          <w:left w:space="0" w:sz="0" w:val="nil"/>
          <w:bottom w:space="0" w:sz="0" w:val="nil"/>
          <w:right w:space="0" w:sz="0" w:val="nil"/>
          <w:between w:space="0" w:sz="0" w:val="nil"/>
        </w:pBdr>
        <w:jc w:val="center"/>
        <w:rPr>
          <w:rFonts w:ascii="Arial" w:cs="Arial" w:eastAsia="Arial" w:hAnsi="Arial"/>
          <w:color w:val="000000"/>
          <w:sz w:val="22"/>
          <w:szCs w:val="22"/>
        </w:rPr>
      </w:pPr>
      <w:r w:rsidDel="00000000" w:rsidR="00000000" w:rsidRPr="00000000">
        <w:rPr>
          <w:rFonts w:ascii="Arial" w:cs="Arial" w:eastAsia="Arial" w:hAnsi="Arial"/>
          <w:b w:val="1"/>
          <w:color w:val="000000"/>
          <w:sz w:val="22"/>
          <w:szCs w:val="22"/>
          <w:rtl w:val="0"/>
        </w:rPr>
        <w:t xml:space="preserve">Článek </w:t>
      </w:r>
      <w:r w:rsidDel="00000000" w:rsidR="00000000" w:rsidRPr="00000000">
        <w:rPr>
          <w:rFonts w:ascii="Arial" w:cs="Arial" w:eastAsia="Arial" w:hAnsi="Arial"/>
          <w:b w:val="1"/>
          <w:sz w:val="22"/>
          <w:szCs w:val="22"/>
          <w:rtl w:val="0"/>
        </w:rPr>
        <w:t xml:space="preserve">5</w:t>
      </w:r>
      <w:r w:rsidDel="00000000" w:rsidR="00000000" w:rsidRPr="00000000">
        <w:rPr>
          <w:rtl w:val="0"/>
        </w:rPr>
      </w:r>
    </w:p>
    <w:p w:rsidR="00000000" w:rsidDel="00000000" w:rsidP="00000000" w:rsidRDefault="00000000" w:rsidRPr="00000000" w14:paraId="0000004C">
      <w:pPr>
        <w:pBdr>
          <w:top w:space="0" w:sz="0" w:val="nil"/>
          <w:left w:space="0" w:sz="0" w:val="nil"/>
          <w:bottom w:space="0" w:sz="0" w:val="nil"/>
          <w:right w:space="0" w:sz="0" w:val="nil"/>
          <w:between w:space="0" w:sz="0" w:val="nil"/>
        </w:pBdr>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Ceny</w:t>
      </w:r>
    </w:p>
    <w:p w:rsidR="00000000" w:rsidDel="00000000" w:rsidP="00000000" w:rsidRDefault="00000000" w:rsidRPr="00000000" w14:paraId="0000004D">
      <w:pPr>
        <w:pBdr>
          <w:top w:space="0" w:sz="0" w:val="nil"/>
          <w:left w:space="0" w:sz="0" w:val="nil"/>
          <w:bottom w:space="0" w:sz="0" w:val="nil"/>
          <w:right w:space="0" w:sz="0" w:val="nil"/>
          <w:between w:space="0" w:sz="0" w:val="nil"/>
        </w:pBdr>
        <w:spacing w:after="280" w:before="28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5</w:t>
      </w:r>
      <w:r w:rsidDel="00000000" w:rsidR="00000000" w:rsidRPr="00000000">
        <w:rPr>
          <w:rFonts w:ascii="Arial" w:cs="Arial" w:eastAsia="Arial" w:hAnsi="Arial"/>
          <w:color w:val="000000"/>
          <w:sz w:val="22"/>
          <w:szCs w:val="22"/>
          <w:rtl w:val="0"/>
        </w:rPr>
        <w:t xml:space="preserve">.1 </w:t>
      </w:r>
      <w:r w:rsidDel="00000000" w:rsidR="00000000" w:rsidRPr="00000000">
        <w:rPr>
          <w:rFonts w:ascii="Arial" w:cs="Arial" w:eastAsia="Arial" w:hAnsi="Arial"/>
          <w:sz w:val="22"/>
          <w:szCs w:val="22"/>
          <w:rtl w:val="0"/>
        </w:rPr>
        <w:t xml:space="preserve">Cena za měsíční poskytování servisní podpory a souvisejících služeb je uvedena            v příloze č.1 Ceník servisní podpory a souvisejících služeb, která je nedílnou součástí této smlouvy.</w:t>
      </w:r>
    </w:p>
    <w:p w:rsidR="00000000" w:rsidDel="00000000" w:rsidP="00000000" w:rsidRDefault="00000000" w:rsidRPr="00000000" w14:paraId="0000004E">
      <w:pPr>
        <w:pBdr>
          <w:top w:space="0" w:sz="0" w:val="nil"/>
          <w:left w:space="0" w:sz="0" w:val="nil"/>
          <w:bottom w:space="0" w:sz="0" w:val="nil"/>
          <w:right w:space="0" w:sz="0" w:val="nil"/>
          <w:between w:space="0" w:sz="0" w:val="nil"/>
        </w:pBdr>
        <w:spacing w:after="280" w:before="28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5.2 Lhůta splatnosti faktury je do 14 kalendářních dnů ode dne jejího doručení Objednateli. Stejná lhůta splatnosti platí i při placení jiných plateb (oprav, smluvních pokut, úroků              z prodlení, náhrady škody apod.).</w:t>
      </w:r>
    </w:p>
    <w:p w:rsidR="00000000" w:rsidDel="00000000" w:rsidP="00000000" w:rsidRDefault="00000000" w:rsidRPr="00000000" w14:paraId="0000004F">
      <w:pPr>
        <w:pBdr>
          <w:top w:space="0" w:sz="0" w:val="nil"/>
          <w:left w:space="0" w:sz="0" w:val="nil"/>
          <w:bottom w:space="0" w:sz="0" w:val="nil"/>
          <w:right w:space="0" w:sz="0" w:val="nil"/>
          <w:between w:space="0" w:sz="0" w:val="nil"/>
        </w:pBdr>
        <w:spacing w:after="280" w:before="28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5.3 Povinnost zaplatit cenu servisu a ostatní platby jsou splněny dnem odepsání příslušné částky z účtu Objednatele.</w:t>
      </w:r>
    </w:p>
    <w:p w:rsidR="00000000" w:rsidDel="00000000" w:rsidP="00000000" w:rsidRDefault="00000000" w:rsidRPr="00000000" w14:paraId="00000050">
      <w:pPr>
        <w:pBdr>
          <w:top w:space="0" w:sz="0" w:val="nil"/>
          <w:left w:space="0" w:sz="0" w:val="nil"/>
          <w:bottom w:space="0" w:sz="0" w:val="nil"/>
          <w:right w:space="0" w:sz="0" w:val="nil"/>
          <w:between w:space="0" w:sz="0" w:val="nil"/>
        </w:pBdr>
        <w:spacing w:after="280" w:before="28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5.4 Počínaje druhým rokem může být cena za poskytování servisní podpory a souvisejících služeb dle této smlouvy automaticky navyšována o míru inflace vyjádřenou přírůstkem průměrného ročního indexu spotřebitelských cen (dále jen „inflační doložka“).</w:t>
      </w:r>
    </w:p>
    <w:p w:rsidR="00000000" w:rsidDel="00000000" w:rsidP="00000000" w:rsidRDefault="00000000" w:rsidRPr="00000000" w14:paraId="00000051">
      <w:pPr>
        <w:pBdr>
          <w:top w:space="0" w:sz="0" w:val="nil"/>
          <w:left w:space="0" w:sz="0" w:val="nil"/>
          <w:bottom w:space="0" w:sz="0" w:val="nil"/>
          <w:right w:space="0" w:sz="0" w:val="nil"/>
          <w:between w:space="0" w:sz="0" w:val="nil"/>
        </w:pBdr>
        <w:spacing w:after="280" w:before="28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5.5 Faktura bude vystavena v souladu se zákonem č. 563/1991 Sb., o účetnictví, ve znění pozdějších předpisů, a bude obsahovat údaje v souladu s § 435 zákona č. 89/2012 Sb., Občanského zákoníku, ve znění pozdějších předpisů a náležitosti daňového dokladu dle      § 29 zákona č. 235/2004 Sb., o dani z přidané hodnoty, ve znění pozdějších předpisů.  </w:t>
      </w:r>
    </w:p>
    <w:p w:rsidR="00000000" w:rsidDel="00000000" w:rsidP="00000000" w:rsidRDefault="00000000" w:rsidRPr="00000000" w14:paraId="00000052">
      <w:pPr>
        <w:pBdr>
          <w:top w:space="0" w:sz="0" w:val="nil"/>
          <w:left w:space="0" w:sz="0" w:val="nil"/>
          <w:bottom w:space="0" w:sz="0" w:val="nil"/>
          <w:right w:space="0" w:sz="0" w:val="nil"/>
          <w:between w:space="0" w:sz="0" w:val="nil"/>
        </w:pBdr>
        <w:jc w:val="center"/>
        <w:rPr>
          <w:rFonts w:ascii="Arial" w:cs="Arial" w:eastAsia="Arial" w:hAnsi="Arial"/>
          <w:color w:val="000000"/>
          <w:sz w:val="22"/>
          <w:szCs w:val="22"/>
        </w:rPr>
      </w:pPr>
      <w:r w:rsidDel="00000000" w:rsidR="00000000" w:rsidRPr="00000000">
        <w:rPr>
          <w:rFonts w:ascii="Arial" w:cs="Arial" w:eastAsia="Arial" w:hAnsi="Arial"/>
          <w:b w:val="1"/>
          <w:color w:val="000000"/>
          <w:sz w:val="22"/>
          <w:szCs w:val="22"/>
          <w:rtl w:val="0"/>
        </w:rPr>
        <w:t xml:space="preserve">Článek </w:t>
      </w:r>
      <w:r w:rsidDel="00000000" w:rsidR="00000000" w:rsidRPr="00000000">
        <w:rPr>
          <w:rFonts w:ascii="Arial" w:cs="Arial" w:eastAsia="Arial" w:hAnsi="Arial"/>
          <w:b w:val="1"/>
          <w:sz w:val="22"/>
          <w:szCs w:val="22"/>
          <w:rtl w:val="0"/>
        </w:rPr>
        <w:t xml:space="preserve">6</w:t>
      </w:r>
      <w:r w:rsidDel="00000000" w:rsidR="00000000" w:rsidRPr="00000000">
        <w:rPr>
          <w:rtl w:val="0"/>
        </w:rPr>
      </w:r>
    </w:p>
    <w:p w:rsidR="00000000" w:rsidDel="00000000" w:rsidP="00000000" w:rsidRDefault="00000000" w:rsidRPr="00000000" w14:paraId="00000053">
      <w:pPr>
        <w:pBdr>
          <w:top w:space="0" w:sz="0" w:val="nil"/>
          <w:left w:space="0" w:sz="0" w:val="nil"/>
          <w:bottom w:space="0" w:sz="0" w:val="nil"/>
          <w:right w:space="0" w:sz="0" w:val="nil"/>
          <w:between w:space="0" w:sz="0" w:val="nil"/>
        </w:pBdr>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Součinnost smluvních stran </w:t>
      </w:r>
    </w:p>
    <w:p w:rsidR="00000000" w:rsidDel="00000000" w:rsidP="00000000" w:rsidRDefault="00000000" w:rsidRPr="00000000" w14:paraId="00000054">
      <w:pPr>
        <w:pBdr>
          <w:top w:space="0" w:sz="0" w:val="nil"/>
          <w:left w:space="0" w:sz="0" w:val="nil"/>
          <w:bottom w:space="0" w:sz="0" w:val="nil"/>
          <w:right w:space="0" w:sz="0" w:val="nil"/>
          <w:between w:space="0" w:sz="0" w:val="nil"/>
        </w:pBdr>
        <w:spacing w:after="280" w:before="28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6.1 Zhotovitel se zavazuje, že pracovníci Zhotovitele budou při plnění závazků, které vyplývají z této smlouvy, dodržovat veškeré bezpečnostní předpisy, veškeré zákony a jejich prováděcí vyhlášky, pokud se vztahují k činnosti Zhotovitele, bezpečnosti práce, požární ochraně.</w:t>
      </w:r>
    </w:p>
    <w:p w:rsidR="00000000" w:rsidDel="00000000" w:rsidP="00000000" w:rsidRDefault="00000000" w:rsidRPr="00000000" w14:paraId="00000055">
      <w:pPr>
        <w:pBdr>
          <w:top w:space="0" w:sz="0" w:val="nil"/>
          <w:left w:space="0" w:sz="0" w:val="nil"/>
          <w:bottom w:space="0" w:sz="0" w:val="nil"/>
          <w:right w:space="0" w:sz="0" w:val="nil"/>
          <w:between w:space="0" w:sz="0" w:val="nil"/>
        </w:pBdr>
        <w:spacing w:after="280" w:before="28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6.2 Zhotovitel se zavazuje vytvořit ze své strany podmínky směřující k minimalizaci případných škod na technickém vybavení Objednatele vzniklých v souvislosti s prováděním servisních zásahů, které může ovlivnit výhradně Objednatel.</w:t>
      </w:r>
    </w:p>
    <w:p w:rsidR="00000000" w:rsidDel="00000000" w:rsidP="00000000" w:rsidRDefault="00000000" w:rsidRPr="00000000" w14:paraId="00000056">
      <w:pPr>
        <w:pBdr>
          <w:top w:space="0" w:sz="0" w:val="nil"/>
          <w:left w:space="0" w:sz="0" w:val="nil"/>
          <w:bottom w:space="0" w:sz="0" w:val="nil"/>
          <w:right w:space="0" w:sz="0" w:val="nil"/>
          <w:between w:space="0" w:sz="0" w:val="nil"/>
        </w:pBdr>
        <w:spacing w:after="280" w:before="28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6.3 Smluvní strany se zavazují, že kontaktní osoby si budou při plnění ustanovení této smlouvy poskytovat vzájemnou co nejúčinnější součinnost po celou dobu od nahlášení  požadavku na servisní podporu až do uzavření servisního případu, a že budou dodržovat postupy specifikované touto smlouvou.</w:t>
      </w:r>
    </w:p>
    <w:p w:rsidR="00000000" w:rsidDel="00000000" w:rsidP="00000000" w:rsidRDefault="00000000" w:rsidRPr="00000000" w14:paraId="00000057">
      <w:pPr>
        <w:pBdr>
          <w:top w:space="0" w:sz="0" w:val="nil"/>
          <w:left w:space="0" w:sz="0" w:val="nil"/>
          <w:bottom w:space="0" w:sz="0" w:val="nil"/>
          <w:right w:space="0" w:sz="0" w:val="nil"/>
          <w:between w:space="0" w:sz="0" w:val="nil"/>
        </w:pBdr>
        <w:spacing w:after="280" w:before="28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6.4 Objednatel zajistí, aby ze strany Objednatele nebyly Zhotoviteli činěny překážky pro poskytování servisní podpory.</w:t>
      </w:r>
    </w:p>
    <w:p w:rsidR="00000000" w:rsidDel="00000000" w:rsidP="00000000" w:rsidRDefault="00000000" w:rsidRPr="00000000" w14:paraId="00000058">
      <w:pPr>
        <w:pBdr>
          <w:top w:space="0" w:sz="0" w:val="nil"/>
          <w:left w:space="0" w:sz="0" w:val="nil"/>
          <w:bottom w:space="0" w:sz="0" w:val="nil"/>
          <w:right w:space="0" w:sz="0" w:val="nil"/>
          <w:between w:space="0" w:sz="0" w:val="nil"/>
        </w:pBdr>
        <w:spacing w:after="280" w:before="28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6.6 Objednatel zajistí po celou dobu trvání servisního zásahu dosažitelnost (případně fyzickou přítomnost) příslušných kontaktních osob Objednatele a případně i dalších potřebných odborných pracovníků v místě instalace podporovaného vybavení a jejich         co nejúčinnější součinnost.</w:t>
      </w:r>
    </w:p>
    <w:p w:rsidR="00000000" w:rsidDel="00000000" w:rsidP="00000000" w:rsidRDefault="00000000" w:rsidRPr="00000000" w14:paraId="00000059">
      <w:pPr>
        <w:pBdr>
          <w:top w:space="0" w:sz="0" w:val="nil"/>
          <w:left w:space="0" w:sz="0" w:val="nil"/>
          <w:bottom w:space="0" w:sz="0" w:val="nil"/>
          <w:right w:space="0" w:sz="0" w:val="nil"/>
          <w:between w:space="0" w:sz="0" w:val="nil"/>
        </w:pBdr>
        <w:spacing w:after="280" w:before="28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6.7 Zhotovitel je povinen nastoupit na servisní zásah do 48 hodin v pracovní dny a do 72 hodin mimo pracovní dny po obdržení oficiálního oznámení od Objednatele o vzniku reklamované vady. Vady díla mohou být ohlášeny jedním z těchto prostředků:</w:t>
      </w:r>
    </w:p>
    <w:p w:rsidR="00000000" w:rsidDel="00000000" w:rsidP="00000000" w:rsidRDefault="00000000" w:rsidRPr="00000000" w14:paraId="0000005A">
      <w:pPr>
        <w:spacing w:after="120" w:before="12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 na telefonickém kontaktu</w:t>
        <w:tab/>
        <w:t xml:space="preserve">: + 420 593 033 348, + 420 773 710 527</w:t>
      </w:r>
    </w:p>
    <w:p w:rsidR="00000000" w:rsidDel="00000000" w:rsidP="00000000" w:rsidRDefault="00000000" w:rsidRPr="00000000" w14:paraId="0000005B">
      <w:pPr>
        <w:spacing w:after="120" w:before="12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 na e-mailové adrese</w:t>
        <w:tab/>
        <w:t xml:space="preserve">: </w:t>
      </w:r>
      <w:hyperlink r:id="rId8">
        <w:r w:rsidDel="00000000" w:rsidR="00000000" w:rsidRPr="00000000">
          <w:rPr>
            <w:rFonts w:ascii="Arial" w:cs="Arial" w:eastAsia="Arial" w:hAnsi="Arial"/>
            <w:color w:val="1155cc"/>
            <w:sz w:val="22"/>
            <w:szCs w:val="22"/>
            <w:u w:val="single"/>
            <w:rtl w:val="0"/>
          </w:rPr>
          <w:t xml:space="preserve">reklamace@digiday.cz</w:t>
        </w:r>
      </w:hyperlink>
      <w:r w:rsidDel="00000000" w:rsidR="00000000" w:rsidRPr="00000000">
        <w:rPr>
          <w:rtl w:val="0"/>
        </w:rPr>
      </w:r>
    </w:p>
    <w:p w:rsidR="00000000" w:rsidDel="00000000" w:rsidP="00000000" w:rsidRDefault="00000000" w:rsidRPr="00000000" w14:paraId="0000005C">
      <w:pPr>
        <w:spacing w:after="120" w:before="12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 na adrese</w:t>
        <w:tab/>
        <w:tab/>
        <w:tab/>
        <w:t xml:space="preserve">: 1. máje 481/16, Mariánské Hory a Hulváky, 709 00 Ostrava</w:t>
      </w:r>
    </w:p>
    <w:p w:rsidR="00000000" w:rsidDel="00000000" w:rsidP="00000000" w:rsidRDefault="00000000" w:rsidRPr="00000000" w14:paraId="0000005D">
      <w:pPr>
        <w:spacing w:after="120" w:before="120"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E">
      <w:pPr>
        <w:pBdr>
          <w:top w:space="0" w:sz="0" w:val="nil"/>
          <w:left w:space="0" w:sz="0" w:val="nil"/>
          <w:bottom w:space="0" w:sz="0" w:val="nil"/>
          <w:right w:space="0" w:sz="0" w:val="nil"/>
          <w:between w:space="0" w:sz="0" w:val="nil"/>
        </w:pBdr>
        <w:jc w:val="center"/>
        <w:rPr>
          <w:rFonts w:ascii="Arial" w:cs="Arial" w:eastAsia="Arial" w:hAnsi="Arial"/>
          <w:color w:val="000000"/>
          <w:sz w:val="22"/>
          <w:szCs w:val="22"/>
        </w:rPr>
      </w:pPr>
      <w:r w:rsidDel="00000000" w:rsidR="00000000" w:rsidRPr="00000000">
        <w:rPr>
          <w:rFonts w:ascii="Arial" w:cs="Arial" w:eastAsia="Arial" w:hAnsi="Arial"/>
          <w:b w:val="1"/>
          <w:color w:val="000000"/>
          <w:sz w:val="22"/>
          <w:szCs w:val="22"/>
          <w:rtl w:val="0"/>
        </w:rPr>
        <w:t xml:space="preserve">Článek </w:t>
      </w:r>
      <w:r w:rsidDel="00000000" w:rsidR="00000000" w:rsidRPr="00000000">
        <w:rPr>
          <w:rFonts w:ascii="Arial" w:cs="Arial" w:eastAsia="Arial" w:hAnsi="Arial"/>
          <w:b w:val="1"/>
          <w:sz w:val="22"/>
          <w:szCs w:val="22"/>
          <w:rtl w:val="0"/>
        </w:rPr>
        <w:t xml:space="preserve">7</w:t>
      </w:r>
      <w:r w:rsidDel="00000000" w:rsidR="00000000" w:rsidRPr="00000000">
        <w:rPr>
          <w:rtl w:val="0"/>
        </w:rPr>
      </w:r>
    </w:p>
    <w:p w:rsidR="00000000" w:rsidDel="00000000" w:rsidP="00000000" w:rsidRDefault="00000000" w:rsidRPr="00000000" w14:paraId="0000005F">
      <w:pPr>
        <w:pBdr>
          <w:top w:space="0" w:sz="0" w:val="nil"/>
          <w:left w:space="0" w:sz="0" w:val="nil"/>
          <w:bottom w:space="0" w:sz="0" w:val="nil"/>
          <w:right w:space="0" w:sz="0" w:val="nil"/>
          <w:between w:space="0" w:sz="0" w:val="nil"/>
        </w:pBdr>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Sankční a další ujednání </w:t>
      </w:r>
    </w:p>
    <w:p w:rsidR="00000000" w:rsidDel="00000000" w:rsidP="00000000" w:rsidRDefault="00000000" w:rsidRPr="00000000" w14:paraId="00000060">
      <w:pPr>
        <w:pBdr>
          <w:top w:space="0" w:sz="0" w:val="nil"/>
          <w:left w:space="0" w:sz="0" w:val="nil"/>
          <w:bottom w:space="0" w:sz="0" w:val="nil"/>
          <w:right w:space="0" w:sz="0" w:val="nil"/>
          <w:between w:space="0" w:sz="0" w:val="nil"/>
        </w:pBdr>
        <w:spacing w:after="280" w:before="28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7.1 Zhotovitel se zavazuje upozornit včas a bez zbytečných odkladů informovat pověřenou osobu Objednatele o všech zjištěných skutečnostech, které mají vliv na činnost prováděnou Zhotovitelem nebo které znemožňují řádné plnění činnosti Zhotovitele.</w:t>
      </w:r>
    </w:p>
    <w:p w:rsidR="00000000" w:rsidDel="00000000" w:rsidP="00000000" w:rsidRDefault="00000000" w:rsidRPr="00000000" w14:paraId="00000061">
      <w:pPr>
        <w:pBdr>
          <w:top w:space="0" w:sz="0" w:val="nil"/>
          <w:left w:space="0" w:sz="0" w:val="nil"/>
          <w:bottom w:space="0" w:sz="0" w:val="nil"/>
          <w:right w:space="0" w:sz="0" w:val="nil"/>
          <w:between w:space="0" w:sz="0" w:val="nil"/>
        </w:pBdr>
        <w:spacing w:after="280" w:before="28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7.2 V případě nedodržení jakéhokoliv dohodnutého termínu Zhotovitelem k jednotlivému případu se smluvní strany dohodly na smluvní pokutě 0,02 % z ceny díla za každý započatý den prodlení.</w:t>
      </w:r>
    </w:p>
    <w:p w:rsidR="00000000" w:rsidDel="00000000" w:rsidP="00000000" w:rsidRDefault="00000000" w:rsidRPr="00000000" w14:paraId="00000062">
      <w:pPr>
        <w:pBdr>
          <w:top w:space="0" w:sz="0" w:val="nil"/>
          <w:left w:space="0" w:sz="0" w:val="nil"/>
          <w:bottom w:space="0" w:sz="0" w:val="nil"/>
          <w:right w:space="0" w:sz="0" w:val="nil"/>
          <w:between w:space="0" w:sz="0" w:val="nil"/>
        </w:pBdr>
        <w:spacing w:after="280" w:before="28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7.3 V případě, že Objednatel neumožní pracovníkům servisního pracoviště Zhotovitele zahájit servisní zásah v předem dohodnutém termínu, zaniká právo Objednatele na smluvní pokutu podle odst. 7.2 výše.</w:t>
      </w:r>
    </w:p>
    <w:p w:rsidR="00000000" w:rsidDel="00000000" w:rsidP="00000000" w:rsidRDefault="00000000" w:rsidRPr="00000000" w14:paraId="00000063">
      <w:pPr>
        <w:pBdr>
          <w:top w:space="0" w:sz="0" w:val="nil"/>
          <w:left w:space="0" w:sz="0" w:val="nil"/>
          <w:bottom w:space="0" w:sz="0" w:val="nil"/>
          <w:right w:space="0" w:sz="0" w:val="nil"/>
          <w:between w:space="0" w:sz="0" w:val="nil"/>
        </w:pBdr>
        <w:spacing w:after="280" w:before="28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7.4 V případě bude-li objednatel v prodlení s úhradou svých peněžitých závazků, činí úrok z prodlení 0,02 % z dlužné částky za každý den prodlení. V případě prodlení s úhradou peněžitých závazků, může být objednatel vyzván k neprodlenému zaplacení. </w:t>
      </w:r>
    </w:p>
    <w:p w:rsidR="00000000" w:rsidDel="00000000" w:rsidP="00000000" w:rsidRDefault="00000000" w:rsidRPr="00000000" w14:paraId="00000064">
      <w:pPr>
        <w:pBdr>
          <w:top w:space="0" w:sz="0" w:val="nil"/>
          <w:left w:space="0" w:sz="0" w:val="nil"/>
          <w:bottom w:space="0" w:sz="0" w:val="nil"/>
          <w:right w:space="0" w:sz="0" w:val="nil"/>
          <w:between w:space="0" w:sz="0" w:val="nil"/>
        </w:pBdr>
        <w:jc w:val="center"/>
        <w:rPr>
          <w:rFonts w:ascii="Arial" w:cs="Arial" w:eastAsia="Arial" w:hAnsi="Arial"/>
          <w:color w:val="000000"/>
          <w:sz w:val="22"/>
          <w:szCs w:val="22"/>
        </w:rPr>
      </w:pPr>
      <w:r w:rsidDel="00000000" w:rsidR="00000000" w:rsidRPr="00000000">
        <w:rPr>
          <w:rFonts w:ascii="Arial" w:cs="Arial" w:eastAsia="Arial" w:hAnsi="Arial"/>
          <w:b w:val="1"/>
          <w:color w:val="000000"/>
          <w:sz w:val="22"/>
          <w:szCs w:val="22"/>
          <w:rtl w:val="0"/>
        </w:rPr>
        <w:t xml:space="preserve">Článek </w:t>
      </w:r>
      <w:r w:rsidDel="00000000" w:rsidR="00000000" w:rsidRPr="00000000">
        <w:rPr>
          <w:rFonts w:ascii="Arial" w:cs="Arial" w:eastAsia="Arial" w:hAnsi="Arial"/>
          <w:b w:val="1"/>
          <w:sz w:val="22"/>
          <w:szCs w:val="22"/>
          <w:rtl w:val="0"/>
        </w:rPr>
        <w:t xml:space="preserve">8</w:t>
      </w:r>
      <w:r w:rsidDel="00000000" w:rsidR="00000000" w:rsidRPr="00000000">
        <w:rPr>
          <w:rtl w:val="0"/>
        </w:rPr>
      </w:r>
    </w:p>
    <w:p w:rsidR="00000000" w:rsidDel="00000000" w:rsidP="00000000" w:rsidRDefault="00000000" w:rsidRPr="00000000" w14:paraId="00000065">
      <w:pPr>
        <w:pBdr>
          <w:top w:space="0" w:sz="0" w:val="nil"/>
          <w:left w:space="0" w:sz="0" w:val="nil"/>
          <w:bottom w:space="0" w:sz="0" w:val="nil"/>
          <w:right w:space="0" w:sz="0" w:val="nil"/>
          <w:between w:space="0" w:sz="0" w:val="nil"/>
        </w:pBdr>
        <w:jc w:val="center"/>
        <w:rPr>
          <w:rFonts w:ascii="Arial" w:cs="Arial" w:eastAsia="Arial" w:hAnsi="Arial"/>
          <w:sz w:val="22"/>
          <w:szCs w:val="22"/>
        </w:rPr>
      </w:pPr>
      <w:r w:rsidDel="00000000" w:rsidR="00000000" w:rsidRPr="00000000">
        <w:rPr>
          <w:rFonts w:ascii="Arial" w:cs="Arial" w:eastAsia="Arial" w:hAnsi="Arial"/>
          <w:b w:val="1"/>
          <w:sz w:val="22"/>
          <w:szCs w:val="22"/>
          <w:rtl w:val="0"/>
        </w:rPr>
        <w:t xml:space="preserve">Závěrečná ustanovení </w:t>
      </w:r>
      <w:r w:rsidDel="00000000" w:rsidR="00000000" w:rsidRPr="00000000">
        <w:rPr>
          <w:rtl w:val="0"/>
        </w:rPr>
      </w:r>
    </w:p>
    <w:p w:rsidR="00000000" w:rsidDel="00000000" w:rsidP="00000000" w:rsidRDefault="00000000" w:rsidRPr="00000000" w14:paraId="00000066">
      <w:pPr>
        <w:pBdr>
          <w:top w:space="0" w:sz="0" w:val="nil"/>
          <w:left w:space="0" w:sz="0" w:val="nil"/>
          <w:bottom w:space="0" w:sz="0" w:val="nil"/>
          <w:right w:space="0" w:sz="0" w:val="nil"/>
          <w:between w:space="0" w:sz="0" w:val="nil"/>
        </w:pBdr>
        <w:spacing w:after="280" w:before="28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8.1 Změnit nebo doplnit tuto smlouvu lze jen formou písemných dodatků, které budou vzestupně číslovány, výslovně prohlášeny za dodatek této smlouvy a podepsány oprávněnými zástupci obou smluvních stran.</w:t>
      </w:r>
    </w:p>
    <w:p w:rsidR="00000000" w:rsidDel="00000000" w:rsidP="00000000" w:rsidRDefault="00000000" w:rsidRPr="00000000" w14:paraId="00000067">
      <w:pPr>
        <w:pBdr>
          <w:top w:space="0" w:sz="0" w:val="nil"/>
          <w:left w:space="0" w:sz="0" w:val="nil"/>
          <w:bottom w:space="0" w:sz="0" w:val="nil"/>
          <w:right w:space="0" w:sz="0" w:val="nil"/>
          <w:between w:space="0" w:sz="0" w:val="nil"/>
        </w:pBdr>
        <w:spacing w:after="280" w:before="28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8.2 Sdělení budou zasílána na adresy pro korespondenci uvedené v článku 1 této smlouvy elektronickou poštou v souladu s platnou legislativou. Objednatel a Zhotovitel mohou běžné záležitosti, které nemají charakter oficiálního sdělení např. vyjasňování stanovisek, výměnu názorů apod. vyřizovat telefonicky.</w:t>
      </w:r>
    </w:p>
    <w:p w:rsidR="00000000" w:rsidDel="00000000" w:rsidP="00000000" w:rsidRDefault="00000000" w:rsidRPr="00000000" w14:paraId="00000068">
      <w:pPr>
        <w:pBdr>
          <w:top w:space="0" w:sz="0" w:val="nil"/>
          <w:left w:space="0" w:sz="0" w:val="nil"/>
          <w:bottom w:space="0" w:sz="0" w:val="nil"/>
          <w:right w:space="0" w:sz="0" w:val="nil"/>
          <w:between w:space="0" w:sz="0" w:val="nil"/>
        </w:pBdr>
        <w:spacing w:after="280" w:before="28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8.3 Tato smlouva je vyhotovena v českém jazyce ve dvou stejnopisech s platností originálu. Zhotovitel obdrží jeden stejnopis a Objednatel jeden stejnopis.</w:t>
      </w:r>
    </w:p>
    <w:p w:rsidR="00000000" w:rsidDel="00000000" w:rsidP="00000000" w:rsidRDefault="00000000" w:rsidRPr="00000000" w14:paraId="00000069">
      <w:pPr>
        <w:pBdr>
          <w:top w:space="0" w:sz="0" w:val="nil"/>
          <w:left w:space="0" w:sz="0" w:val="nil"/>
          <w:bottom w:space="0" w:sz="0" w:val="nil"/>
          <w:right w:space="0" w:sz="0" w:val="nil"/>
          <w:between w:space="0" w:sz="0" w:val="nil"/>
        </w:pBdr>
        <w:jc w:val="center"/>
        <w:rPr>
          <w:rFonts w:ascii="Arial" w:cs="Arial" w:eastAsia="Arial" w:hAnsi="Arial"/>
          <w:color w:val="000000"/>
          <w:sz w:val="22"/>
          <w:szCs w:val="22"/>
        </w:rPr>
      </w:pPr>
      <w:r w:rsidDel="00000000" w:rsidR="00000000" w:rsidRPr="00000000">
        <w:rPr>
          <w:rFonts w:ascii="Arial" w:cs="Arial" w:eastAsia="Arial" w:hAnsi="Arial"/>
          <w:b w:val="1"/>
          <w:color w:val="000000"/>
          <w:sz w:val="22"/>
          <w:szCs w:val="22"/>
          <w:rtl w:val="0"/>
        </w:rPr>
        <w:t xml:space="preserve">Článek </w:t>
      </w:r>
      <w:r w:rsidDel="00000000" w:rsidR="00000000" w:rsidRPr="00000000">
        <w:rPr>
          <w:rFonts w:ascii="Arial" w:cs="Arial" w:eastAsia="Arial" w:hAnsi="Arial"/>
          <w:b w:val="1"/>
          <w:sz w:val="22"/>
          <w:szCs w:val="22"/>
          <w:rtl w:val="0"/>
        </w:rPr>
        <w:t xml:space="preserve">9</w:t>
      </w:r>
      <w:r w:rsidDel="00000000" w:rsidR="00000000" w:rsidRPr="00000000">
        <w:rPr>
          <w:rtl w:val="0"/>
        </w:rPr>
      </w:r>
    </w:p>
    <w:p w:rsidR="00000000" w:rsidDel="00000000" w:rsidP="00000000" w:rsidRDefault="00000000" w:rsidRPr="00000000" w14:paraId="0000006A">
      <w:pPr>
        <w:pBdr>
          <w:top w:space="0" w:sz="0" w:val="nil"/>
          <w:left w:space="0" w:sz="0" w:val="nil"/>
          <w:bottom w:space="0" w:sz="0" w:val="nil"/>
          <w:right w:space="0" w:sz="0" w:val="nil"/>
          <w:between w:space="0" w:sz="0" w:val="nil"/>
        </w:pBdr>
        <w:jc w:val="center"/>
        <w:rPr>
          <w:rFonts w:ascii="Arial" w:cs="Arial" w:eastAsia="Arial" w:hAnsi="Arial"/>
          <w:b w:val="1"/>
          <w:color w:val="000000"/>
          <w:sz w:val="22"/>
          <w:szCs w:val="22"/>
        </w:rPr>
      </w:pPr>
      <w:r w:rsidDel="00000000" w:rsidR="00000000" w:rsidRPr="00000000">
        <w:rPr>
          <w:rFonts w:ascii="Arial" w:cs="Arial" w:eastAsia="Arial" w:hAnsi="Arial"/>
          <w:b w:val="1"/>
          <w:sz w:val="22"/>
          <w:szCs w:val="22"/>
          <w:rtl w:val="0"/>
        </w:rPr>
        <w:t xml:space="preserve">Platnost a účinnost smlouvy </w:t>
      </w:r>
      <w:r w:rsidDel="00000000" w:rsidR="00000000" w:rsidRPr="00000000">
        <w:rPr>
          <w:rtl w:val="0"/>
        </w:rPr>
      </w:r>
    </w:p>
    <w:p w:rsidR="00000000" w:rsidDel="00000000" w:rsidP="00000000" w:rsidRDefault="00000000" w:rsidRPr="00000000" w14:paraId="0000006B">
      <w:pPr>
        <w:pBdr>
          <w:top w:space="0" w:sz="0" w:val="nil"/>
          <w:left w:space="0" w:sz="0" w:val="nil"/>
          <w:bottom w:space="0" w:sz="0" w:val="nil"/>
          <w:right w:space="0" w:sz="0" w:val="nil"/>
          <w:between w:space="0" w:sz="0" w:val="nil"/>
        </w:pBdr>
        <w:spacing w:after="280" w:before="280" w:lineRule="auto"/>
        <w:jc w:val="both"/>
        <w:rPr>
          <w:rFonts w:ascii="Arial" w:cs="Arial" w:eastAsia="Arial" w:hAnsi="Arial"/>
          <w:sz w:val="22"/>
          <w:szCs w:val="22"/>
        </w:rPr>
      </w:pPr>
      <w:bookmarkStart w:colFirst="0" w:colLast="0" w:name="_heading=h.1fob9te" w:id="1"/>
      <w:bookmarkEnd w:id="1"/>
      <w:r w:rsidDel="00000000" w:rsidR="00000000" w:rsidRPr="00000000">
        <w:rPr>
          <w:rFonts w:ascii="Arial" w:cs="Arial" w:eastAsia="Arial" w:hAnsi="Arial"/>
          <w:sz w:val="22"/>
          <w:szCs w:val="22"/>
          <w:rtl w:val="0"/>
        </w:rPr>
        <w:t xml:space="preserve">9.1 Smlouva nabývá platnosti dnem jejího podpisu oprávněnými zástupci obou smluvních stran.</w:t>
      </w:r>
    </w:p>
    <w:tbl>
      <w:tblPr>
        <w:tblStyle w:val="Table1"/>
        <w:tblW w:w="9287.0" w:type="dxa"/>
        <w:jc w:val="left"/>
        <w:tblInd w:w="-108.0" w:type="dxa"/>
        <w:tblLayout w:type="fixed"/>
        <w:tblLook w:val="0000"/>
      </w:tblPr>
      <w:tblGrid>
        <w:gridCol w:w="4643"/>
        <w:gridCol w:w="4644"/>
        <w:tblGridChange w:id="0">
          <w:tblGrid>
            <w:gridCol w:w="4643"/>
            <w:gridCol w:w="4644"/>
          </w:tblGrid>
        </w:tblGridChange>
      </w:tblGrid>
      <w:tr>
        <w:trPr>
          <w:cantSplit w:val="0"/>
          <w:tblHeader w:val="0"/>
        </w:trPr>
        <w:tc>
          <w:tcPr/>
          <w:p w:rsidR="00000000" w:rsidDel="00000000" w:rsidP="00000000" w:rsidRDefault="00000000" w:rsidRPr="00000000" w14:paraId="0000006C">
            <w:pPr>
              <w:spacing w:after="60" w:before="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V Holešově</w:t>
            </w:r>
            <w:r w:rsidDel="00000000" w:rsidR="00000000" w:rsidRPr="00000000">
              <w:rPr>
                <w:rFonts w:ascii="Arial" w:cs="Arial" w:eastAsia="Arial" w:hAnsi="Arial"/>
                <w:color w:val="ff0000"/>
                <w:sz w:val="22"/>
                <w:szCs w:val="22"/>
                <w:rtl w:val="0"/>
              </w:rPr>
              <w:t xml:space="preserve"> </w:t>
            </w:r>
            <w:r w:rsidDel="00000000" w:rsidR="00000000" w:rsidRPr="00000000">
              <w:rPr>
                <w:rFonts w:ascii="Arial" w:cs="Arial" w:eastAsia="Arial" w:hAnsi="Arial"/>
                <w:sz w:val="22"/>
                <w:szCs w:val="22"/>
                <w:rtl w:val="0"/>
              </w:rPr>
              <w:t xml:space="preserve">dne:</w:t>
            </w:r>
          </w:p>
        </w:tc>
        <w:tc>
          <w:tcPr/>
          <w:p w:rsidR="00000000" w:rsidDel="00000000" w:rsidP="00000000" w:rsidRDefault="00000000" w:rsidRPr="00000000" w14:paraId="0000006D">
            <w:pPr>
              <w:pBdr>
                <w:top w:space="0" w:sz="0" w:val="nil"/>
                <w:left w:space="0" w:sz="0" w:val="nil"/>
                <w:bottom w:space="0" w:sz="0" w:val="nil"/>
                <w:right w:space="0" w:sz="0" w:val="nil"/>
                <w:between w:space="0" w:sz="0" w:val="nil"/>
              </w:pBdr>
              <w:spacing w:after="60" w:before="60" w:lineRule="auto"/>
              <w:rPr>
                <w:rFonts w:ascii="Arial" w:cs="Arial" w:eastAsia="Arial" w:hAnsi="Arial"/>
                <w:sz w:val="22"/>
                <w:szCs w:val="22"/>
              </w:rPr>
            </w:pPr>
            <w:r w:rsidDel="00000000" w:rsidR="00000000" w:rsidRPr="00000000">
              <w:rPr>
                <w:rFonts w:ascii="Arial" w:cs="Arial" w:eastAsia="Arial" w:hAnsi="Arial"/>
                <w:color w:val="000000"/>
                <w:sz w:val="22"/>
                <w:szCs w:val="22"/>
                <w:rtl w:val="0"/>
              </w:rPr>
              <w:t xml:space="preserve">V</w:t>
            </w:r>
            <w:r w:rsidDel="00000000" w:rsidR="00000000" w:rsidRPr="00000000">
              <w:rPr>
                <w:rFonts w:ascii="Arial" w:cs="Arial" w:eastAsia="Arial" w:hAnsi="Arial"/>
                <w:sz w:val="22"/>
                <w:szCs w:val="22"/>
                <w:rtl w:val="0"/>
              </w:rPr>
              <w:t xml:space="preserve"> Ostravě dne: </w:t>
            </w:r>
          </w:p>
          <w:p w:rsidR="00000000" w:rsidDel="00000000" w:rsidP="00000000" w:rsidRDefault="00000000" w:rsidRPr="00000000" w14:paraId="0000006E">
            <w:pPr>
              <w:pBdr>
                <w:top w:space="0" w:sz="0" w:val="nil"/>
                <w:left w:space="0" w:sz="0" w:val="nil"/>
                <w:bottom w:space="0" w:sz="0" w:val="nil"/>
                <w:right w:space="0" w:sz="0" w:val="nil"/>
                <w:between w:space="0" w:sz="0" w:val="nil"/>
              </w:pBdr>
              <w:spacing w:after="60" w:before="60" w:lineRule="auto"/>
              <w:rPr>
                <w:rFonts w:ascii="Arial" w:cs="Arial" w:eastAsia="Arial" w:hAnsi="Arial"/>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6F">
            <w:pPr>
              <w:pBdr>
                <w:top w:space="0" w:sz="0" w:val="nil"/>
                <w:left w:space="0" w:sz="0" w:val="nil"/>
                <w:bottom w:space="0" w:sz="0" w:val="nil"/>
                <w:right w:space="0" w:sz="0" w:val="nil"/>
                <w:between w:space="0" w:sz="0" w:val="nil"/>
              </w:pBdr>
              <w:spacing w:after="60" w:before="60" w:lineRule="auto"/>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070">
            <w:pPr>
              <w:pBdr>
                <w:top w:space="0" w:sz="0" w:val="nil"/>
                <w:left w:space="0" w:sz="0" w:val="nil"/>
                <w:bottom w:space="0" w:sz="0" w:val="nil"/>
                <w:right w:space="0" w:sz="0" w:val="nil"/>
                <w:between w:space="0" w:sz="0" w:val="nil"/>
              </w:pBdr>
              <w:spacing w:after="60" w:before="60" w:lineRule="auto"/>
              <w:rPr>
                <w:rFonts w:ascii="Arial" w:cs="Arial" w:eastAsia="Arial" w:hAnsi="Arial"/>
                <w:color w:val="000000"/>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71">
            <w:pPr>
              <w:pBdr>
                <w:top w:space="0" w:sz="0" w:val="nil"/>
                <w:left w:space="0" w:sz="0" w:val="nil"/>
                <w:bottom w:space="0" w:sz="0" w:val="nil"/>
                <w:right w:space="0" w:sz="0" w:val="nil"/>
                <w:between w:space="0" w:sz="0" w:val="nil"/>
              </w:pBdr>
              <w:spacing w:after="60"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w:t>
            </w:r>
            <w:r w:rsidDel="00000000" w:rsidR="00000000" w:rsidRPr="00000000">
              <w:rPr>
                <w:rFonts w:ascii="Arial" w:cs="Arial" w:eastAsia="Arial" w:hAnsi="Arial"/>
                <w:sz w:val="22"/>
                <w:szCs w:val="22"/>
                <w:rtl w:val="0"/>
              </w:rPr>
              <w:t xml:space="preserve">…………</w:t>
            </w:r>
            <w:r w:rsidDel="00000000" w:rsidR="00000000" w:rsidRPr="00000000">
              <w:rPr>
                <w:rFonts w:ascii="Arial" w:cs="Arial" w:eastAsia="Arial" w:hAnsi="Arial"/>
                <w:color w:val="000000"/>
                <w:sz w:val="22"/>
                <w:szCs w:val="22"/>
                <w:rtl w:val="0"/>
              </w:rPr>
              <w:t xml:space="preserve">...……</w:t>
            </w:r>
          </w:p>
        </w:tc>
        <w:tc>
          <w:tcPr/>
          <w:p w:rsidR="00000000" w:rsidDel="00000000" w:rsidP="00000000" w:rsidRDefault="00000000" w:rsidRPr="00000000" w14:paraId="00000072">
            <w:pPr>
              <w:spacing w:after="60" w:lineRule="auto"/>
              <w:rPr>
                <w:rFonts w:ascii="Arial" w:cs="Arial" w:eastAsia="Arial" w:hAnsi="Arial"/>
                <w:color w:val="000000"/>
                <w:sz w:val="22"/>
                <w:szCs w:val="22"/>
              </w:rPr>
            </w:pPr>
            <w:r w:rsidDel="00000000" w:rsidR="00000000" w:rsidRPr="00000000">
              <w:rPr>
                <w:rFonts w:ascii="Arial" w:cs="Arial" w:eastAsia="Arial" w:hAnsi="Arial"/>
                <w:sz w:val="22"/>
                <w:szCs w:val="22"/>
                <w:rtl w:val="0"/>
              </w:rPr>
              <w:t xml:space="preserve">……………………………...……</w:t>
            </w:r>
            <w:r w:rsidDel="00000000" w:rsidR="00000000" w:rsidRPr="00000000">
              <w:rPr>
                <w:rtl w:val="0"/>
              </w:rPr>
            </w:r>
          </w:p>
        </w:tc>
      </w:tr>
      <w:tr>
        <w:trPr>
          <w:cantSplit w:val="0"/>
          <w:tblHeader w:val="0"/>
        </w:trPr>
        <w:tc>
          <w:tcPr/>
          <w:p w:rsidR="00000000" w:rsidDel="00000000" w:rsidP="00000000" w:rsidRDefault="00000000" w:rsidRPr="00000000" w14:paraId="00000073">
            <w:pPr>
              <w:pBdr>
                <w:top w:space="0" w:sz="0" w:val="nil"/>
                <w:left w:space="0" w:sz="0" w:val="nil"/>
                <w:bottom w:space="0" w:sz="0" w:val="nil"/>
                <w:right w:space="0" w:sz="0" w:val="nil"/>
                <w:between w:space="0" w:sz="0" w:val="nil"/>
              </w:pBdr>
              <w:spacing w:after="60" w:before="60" w:lineRule="auto"/>
              <w:ind w:left="709" w:firstLine="0"/>
              <w:rPr>
                <w:rFonts w:ascii="Arial" w:cs="Arial" w:eastAsia="Arial" w:hAnsi="Arial"/>
                <w:sz w:val="22"/>
                <w:szCs w:val="22"/>
              </w:rPr>
            </w:pPr>
            <w:r w:rsidDel="00000000" w:rsidR="00000000" w:rsidRPr="00000000">
              <w:rPr>
                <w:rFonts w:ascii="Arial" w:cs="Arial" w:eastAsia="Arial" w:hAnsi="Arial"/>
                <w:color w:val="000000"/>
                <w:sz w:val="22"/>
                <w:szCs w:val="22"/>
                <w:rtl w:val="0"/>
              </w:rPr>
              <w:t xml:space="preserve">za Objednatele</w:t>
            </w:r>
            <w:r w:rsidDel="00000000" w:rsidR="00000000" w:rsidRPr="00000000">
              <w:rPr>
                <w:rtl w:val="0"/>
              </w:rPr>
            </w:r>
          </w:p>
        </w:tc>
        <w:tc>
          <w:tcPr/>
          <w:p w:rsidR="00000000" w:rsidDel="00000000" w:rsidP="00000000" w:rsidRDefault="00000000" w:rsidRPr="00000000" w14:paraId="00000074">
            <w:pPr>
              <w:pBdr>
                <w:top w:space="0" w:sz="0" w:val="nil"/>
                <w:left w:space="0" w:sz="0" w:val="nil"/>
                <w:bottom w:space="0" w:sz="0" w:val="nil"/>
                <w:right w:space="0" w:sz="0" w:val="nil"/>
                <w:between w:space="0" w:sz="0" w:val="nil"/>
              </w:pBdr>
              <w:spacing w:after="60" w:before="60" w:lineRule="auto"/>
              <w:ind w:left="632" w:firstLine="0"/>
              <w:rPr>
                <w:rFonts w:ascii="Arial" w:cs="Arial" w:eastAsia="Arial" w:hAnsi="Arial"/>
                <w:sz w:val="22"/>
                <w:szCs w:val="22"/>
              </w:rPr>
            </w:pPr>
            <w:r w:rsidDel="00000000" w:rsidR="00000000" w:rsidRPr="00000000">
              <w:rPr>
                <w:rFonts w:ascii="Arial" w:cs="Arial" w:eastAsia="Arial" w:hAnsi="Arial"/>
                <w:color w:val="000000"/>
                <w:sz w:val="22"/>
                <w:szCs w:val="22"/>
                <w:rtl w:val="0"/>
              </w:rPr>
              <w:t xml:space="preserve">za Zhotovitele</w:t>
            </w:r>
            <w:r w:rsidDel="00000000" w:rsidR="00000000" w:rsidRPr="00000000">
              <w:rPr>
                <w:rtl w:val="0"/>
              </w:rPr>
            </w:r>
          </w:p>
        </w:tc>
      </w:tr>
    </w:tbl>
    <w:p w:rsidR="00000000" w:rsidDel="00000000" w:rsidP="00000000" w:rsidRDefault="00000000" w:rsidRPr="00000000" w14:paraId="00000075">
      <w:pPr>
        <w:spacing w:after="240" w:before="240" w:line="360" w:lineRule="auto"/>
        <w:jc w:val="both"/>
        <w:rPr>
          <w:rFonts w:ascii="Arial" w:cs="Arial" w:eastAsia="Arial" w:hAnsi="Arial"/>
          <w:color w:val="222222"/>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076">
      <w:pPr>
        <w:tabs>
          <w:tab w:val="left" w:leader="none" w:pos="5670"/>
        </w:tabs>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77">
      <w:pPr>
        <w:tabs>
          <w:tab w:val="left" w:leader="none" w:pos="5670"/>
        </w:tabs>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Příloha č.1 </w:t>
      </w:r>
    </w:p>
    <w:p w:rsidR="00000000" w:rsidDel="00000000" w:rsidP="00000000" w:rsidRDefault="00000000" w:rsidRPr="00000000" w14:paraId="00000078">
      <w:pPr>
        <w:tabs>
          <w:tab w:val="left" w:leader="none" w:pos="5670"/>
        </w:tabs>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Vymezení servisní podpory a souvisejících služeb </w:t>
      </w:r>
    </w:p>
    <w:p w:rsidR="00000000" w:rsidDel="00000000" w:rsidP="00000000" w:rsidRDefault="00000000" w:rsidRPr="00000000" w14:paraId="00000079">
      <w:pPr>
        <w:spacing w:after="120" w:before="120" w:lineRule="auto"/>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7A">
      <w:pPr>
        <w:spacing w:after="120" w:before="120" w:lineRule="auto"/>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1.1 Servisní podpora zahrnuje: </w:t>
      </w:r>
    </w:p>
    <w:p w:rsidR="00000000" w:rsidDel="00000000" w:rsidP="00000000" w:rsidRDefault="00000000" w:rsidRPr="00000000" w14:paraId="0000007B">
      <w:pPr>
        <w:numPr>
          <w:ilvl w:val="0"/>
          <w:numId w:val="1"/>
        </w:numPr>
        <w:spacing w:after="120" w:before="120" w:lineRule="auto"/>
        <w:ind w:left="714" w:hanging="357"/>
        <w:rPr>
          <w:rFonts w:ascii="Arial" w:cs="Arial" w:eastAsia="Arial" w:hAnsi="Arial"/>
          <w:sz w:val="22"/>
          <w:szCs w:val="22"/>
        </w:rPr>
      </w:pPr>
      <w:r w:rsidDel="00000000" w:rsidR="00000000" w:rsidRPr="00000000">
        <w:rPr>
          <w:rFonts w:ascii="Arial" w:cs="Arial" w:eastAsia="Arial" w:hAnsi="Arial"/>
          <w:sz w:val="22"/>
          <w:szCs w:val="22"/>
          <w:rtl w:val="0"/>
        </w:rPr>
        <w:t xml:space="preserve">Monitoring online stavu zařízení 24/7 </w:t>
      </w:r>
    </w:p>
    <w:p w:rsidR="00000000" w:rsidDel="00000000" w:rsidP="00000000" w:rsidRDefault="00000000" w:rsidRPr="00000000" w14:paraId="0000007C">
      <w:pPr>
        <w:numPr>
          <w:ilvl w:val="0"/>
          <w:numId w:val="1"/>
        </w:numPr>
        <w:spacing w:after="120" w:before="120" w:lineRule="auto"/>
        <w:ind w:left="714" w:hanging="357"/>
        <w:rPr>
          <w:rFonts w:ascii="Arial" w:cs="Arial" w:eastAsia="Arial" w:hAnsi="Arial"/>
          <w:sz w:val="22"/>
          <w:szCs w:val="22"/>
        </w:rPr>
      </w:pPr>
      <w:r w:rsidDel="00000000" w:rsidR="00000000" w:rsidRPr="00000000">
        <w:rPr>
          <w:rFonts w:ascii="Arial" w:cs="Arial" w:eastAsia="Arial" w:hAnsi="Arial"/>
          <w:sz w:val="22"/>
          <w:szCs w:val="22"/>
          <w:rtl w:val="0"/>
        </w:rPr>
        <w:t xml:space="preserve">Monitoring reálného stavu a zobrazení LEDWARU </w:t>
      </w:r>
    </w:p>
    <w:p w:rsidR="00000000" w:rsidDel="00000000" w:rsidP="00000000" w:rsidRDefault="00000000" w:rsidRPr="00000000" w14:paraId="0000007D">
      <w:pPr>
        <w:numPr>
          <w:ilvl w:val="0"/>
          <w:numId w:val="1"/>
        </w:numPr>
        <w:spacing w:after="120" w:before="120" w:lineRule="auto"/>
        <w:ind w:left="714" w:hanging="357"/>
        <w:rPr>
          <w:rFonts w:ascii="Arial" w:cs="Arial" w:eastAsia="Arial" w:hAnsi="Arial"/>
          <w:sz w:val="22"/>
          <w:szCs w:val="22"/>
        </w:rPr>
      </w:pPr>
      <w:r w:rsidDel="00000000" w:rsidR="00000000" w:rsidRPr="00000000">
        <w:rPr>
          <w:rFonts w:ascii="Arial" w:cs="Arial" w:eastAsia="Arial" w:hAnsi="Arial"/>
          <w:sz w:val="22"/>
          <w:szCs w:val="22"/>
          <w:rtl w:val="0"/>
        </w:rPr>
        <w:t xml:space="preserve">Maintenance SW - vzdálený obrazový dohled v reálném čase </w:t>
      </w:r>
    </w:p>
    <w:p w:rsidR="00000000" w:rsidDel="00000000" w:rsidP="00000000" w:rsidRDefault="00000000" w:rsidRPr="00000000" w14:paraId="0000007E">
      <w:pPr>
        <w:numPr>
          <w:ilvl w:val="0"/>
          <w:numId w:val="1"/>
        </w:numPr>
        <w:spacing w:after="120" w:before="120" w:lineRule="auto"/>
        <w:ind w:left="714" w:hanging="357"/>
        <w:rPr>
          <w:rFonts w:ascii="Arial" w:cs="Arial" w:eastAsia="Arial" w:hAnsi="Arial"/>
          <w:sz w:val="22"/>
          <w:szCs w:val="22"/>
        </w:rPr>
      </w:pPr>
      <w:r w:rsidDel="00000000" w:rsidR="00000000" w:rsidRPr="00000000">
        <w:rPr>
          <w:rFonts w:ascii="Arial" w:cs="Arial" w:eastAsia="Arial" w:hAnsi="Arial"/>
          <w:sz w:val="22"/>
          <w:szCs w:val="22"/>
          <w:rtl w:val="0"/>
        </w:rPr>
        <w:t xml:space="preserve">Aktualizace a údržba LEDWARE v souladu s platnou legislativou </w:t>
      </w:r>
    </w:p>
    <w:p w:rsidR="00000000" w:rsidDel="00000000" w:rsidP="00000000" w:rsidRDefault="00000000" w:rsidRPr="00000000" w14:paraId="0000007F">
      <w:pPr>
        <w:numPr>
          <w:ilvl w:val="0"/>
          <w:numId w:val="1"/>
        </w:numPr>
        <w:spacing w:after="120" w:before="120" w:lineRule="auto"/>
        <w:ind w:left="714" w:hanging="357"/>
        <w:rPr>
          <w:rFonts w:ascii="Arial" w:cs="Arial" w:eastAsia="Arial" w:hAnsi="Arial"/>
          <w:sz w:val="22"/>
          <w:szCs w:val="22"/>
        </w:rPr>
      </w:pPr>
      <w:r w:rsidDel="00000000" w:rsidR="00000000" w:rsidRPr="00000000">
        <w:rPr>
          <w:rFonts w:ascii="Arial" w:cs="Arial" w:eastAsia="Arial" w:hAnsi="Arial"/>
          <w:sz w:val="22"/>
          <w:szCs w:val="22"/>
          <w:rtl w:val="0"/>
        </w:rPr>
        <w:t xml:space="preserve">Neomezená technická podpora na telefonu každý pracovní den od 8:00 do 18:00 hod. </w:t>
      </w:r>
    </w:p>
    <w:p w:rsidR="00000000" w:rsidDel="00000000" w:rsidP="00000000" w:rsidRDefault="00000000" w:rsidRPr="00000000" w14:paraId="00000080">
      <w:pPr>
        <w:numPr>
          <w:ilvl w:val="0"/>
          <w:numId w:val="1"/>
        </w:numPr>
        <w:spacing w:after="120" w:before="120" w:lineRule="auto"/>
        <w:ind w:left="714" w:hanging="357"/>
        <w:rPr>
          <w:rFonts w:ascii="Arial" w:cs="Arial" w:eastAsia="Arial" w:hAnsi="Arial"/>
          <w:sz w:val="22"/>
          <w:szCs w:val="22"/>
        </w:rPr>
      </w:pPr>
      <w:r w:rsidDel="00000000" w:rsidR="00000000" w:rsidRPr="00000000">
        <w:rPr>
          <w:rFonts w:ascii="Arial" w:cs="Arial" w:eastAsia="Arial" w:hAnsi="Arial"/>
          <w:sz w:val="22"/>
          <w:szCs w:val="22"/>
          <w:rtl w:val="0"/>
        </w:rPr>
        <w:t xml:space="preserve">Vzdálená správa zařízení - rychlé a efektivní řešení problémů se vzdáleným přístupem našeho IT oddělení.</w:t>
      </w:r>
    </w:p>
    <w:p w:rsidR="00000000" w:rsidDel="00000000" w:rsidP="00000000" w:rsidRDefault="00000000" w:rsidRPr="00000000" w14:paraId="00000081">
      <w:pPr>
        <w:numPr>
          <w:ilvl w:val="0"/>
          <w:numId w:val="1"/>
        </w:numPr>
        <w:spacing w:after="120" w:before="120" w:lineRule="auto"/>
        <w:ind w:left="714" w:hanging="357"/>
        <w:rPr>
          <w:rFonts w:ascii="Arial" w:cs="Arial" w:eastAsia="Arial" w:hAnsi="Arial"/>
          <w:sz w:val="22"/>
          <w:szCs w:val="22"/>
        </w:rPr>
      </w:pPr>
      <w:r w:rsidDel="00000000" w:rsidR="00000000" w:rsidRPr="00000000">
        <w:rPr>
          <w:rFonts w:ascii="Arial" w:cs="Arial" w:eastAsia="Arial" w:hAnsi="Arial"/>
          <w:sz w:val="22"/>
          <w:szCs w:val="22"/>
          <w:rtl w:val="0"/>
        </w:rPr>
        <w:t xml:space="preserve">Servisní zásah od 48 do 72 hodin od oficiálního přijetí požadavku</w:t>
      </w:r>
    </w:p>
    <w:p w:rsidR="00000000" w:rsidDel="00000000" w:rsidP="00000000" w:rsidRDefault="00000000" w:rsidRPr="00000000" w14:paraId="00000082">
      <w:pPr>
        <w:numPr>
          <w:ilvl w:val="0"/>
          <w:numId w:val="1"/>
        </w:numPr>
        <w:spacing w:after="120" w:before="120"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v ceně servisní podpory jsou obsaženy veškeré IT a grafické úpravy systému LEDWARE včetně všech aktualizací na kompletní změnu webu.</w:t>
      </w:r>
    </w:p>
    <w:tbl>
      <w:tblPr>
        <w:tblStyle w:val="Table2"/>
        <w:tblW w:w="9071.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023.666666666667"/>
        <w:gridCol w:w="3023.666666666667"/>
        <w:gridCol w:w="3023.666666666667"/>
        <w:tblGridChange w:id="0">
          <w:tblGrid>
            <w:gridCol w:w="3023.666666666667"/>
            <w:gridCol w:w="3023.666666666667"/>
            <w:gridCol w:w="3023.666666666667"/>
          </w:tblGrid>
        </w:tblGridChange>
      </w:tblGrid>
      <w:tr>
        <w:trPr>
          <w:cantSplit w:val="0"/>
          <w:trHeight w:val="420" w:hRule="atLeast"/>
          <w:tblHeader w:val="0"/>
        </w:trPr>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83">
            <w:pPr>
              <w:widowControl w:val="0"/>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Cena za poskytování servisní podpory je 650 Kč měsíčně bez DPH.  </w:t>
            </w:r>
          </w:p>
        </w:tc>
      </w:tr>
    </w:tbl>
    <w:p w:rsidR="00000000" w:rsidDel="00000000" w:rsidP="00000000" w:rsidRDefault="00000000" w:rsidRPr="00000000" w14:paraId="00000086">
      <w:pPr>
        <w:spacing w:after="120" w:before="120" w:lineRule="auto"/>
        <w:jc w:val="both"/>
        <w:rPr>
          <w:rFonts w:ascii="Arial" w:cs="Arial" w:eastAsia="Arial" w:hAnsi="Arial"/>
          <w:color w:val="222222"/>
          <w:sz w:val="22"/>
          <w:szCs w:val="22"/>
        </w:rPr>
      </w:pPr>
      <w:r w:rsidDel="00000000" w:rsidR="00000000" w:rsidRPr="00000000">
        <w:rPr>
          <w:rFonts w:ascii="Arial" w:cs="Arial" w:eastAsia="Arial" w:hAnsi="Arial"/>
          <w:b w:val="1"/>
          <w:sz w:val="22"/>
          <w:szCs w:val="22"/>
          <w:rtl w:val="0"/>
        </w:rPr>
        <w:t xml:space="preserve">1.2 Profylaxe a celková kontrola zařízení zahrnuje: </w:t>
      </w:r>
      <w:r w:rsidDel="00000000" w:rsidR="00000000" w:rsidRPr="00000000">
        <w:rPr>
          <w:rtl w:val="0"/>
        </w:rPr>
      </w:r>
    </w:p>
    <w:p w:rsidR="00000000" w:rsidDel="00000000" w:rsidP="00000000" w:rsidRDefault="00000000" w:rsidRPr="00000000" w14:paraId="00000087">
      <w:pPr>
        <w:numPr>
          <w:ilvl w:val="0"/>
          <w:numId w:val="2"/>
        </w:numPr>
        <w:spacing w:before="240" w:line="360" w:lineRule="auto"/>
        <w:ind w:left="720" w:hanging="360"/>
        <w:jc w:val="both"/>
        <w:rPr>
          <w:rFonts w:ascii="Arial" w:cs="Arial" w:eastAsia="Arial" w:hAnsi="Arial"/>
          <w:color w:val="222222"/>
          <w:sz w:val="22"/>
          <w:szCs w:val="22"/>
        </w:rPr>
      </w:pPr>
      <w:r w:rsidDel="00000000" w:rsidR="00000000" w:rsidRPr="00000000">
        <w:rPr>
          <w:rFonts w:ascii="Arial" w:cs="Arial" w:eastAsia="Arial" w:hAnsi="Arial"/>
          <w:color w:val="222222"/>
          <w:sz w:val="22"/>
          <w:szCs w:val="22"/>
          <w:rtl w:val="0"/>
        </w:rPr>
        <w:t xml:space="preserve">Kontrola vnějšího stavu </w:t>
      </w:r>
      <w:r w:rsidDel="00000000" w:rsidR="00000000" w:rsidRPr="00000000">
        <w:rPr>
          <w:rFonts w:ascii="Arial" w:cs="Arial" w:eastAsia="Arial" w:hAnsi="Arial"/>
          <w:sz w:val="22"/>
          <w:szCs w:val="22"/>
          <w:rtl w:val="0"/>
        </w:rPr>
        <w:t xml:space="preserve">elektronické dotykové tabule</w:t>
      </w:r>
      <w:r w:rsidDel="00000000" w:rsidR="00000000" w:rsidRPr="00000000">
        <w:rPr>
          <w:rtl w:val="0"/>
        </w:rPr>
      </w:r>
    </w:p>
    <w:p w:rsidR="00000000" w:rsidDel="00000000" w:rsidP="00000000" w:rsidRDefault="00000000" w:rsidRPr="00000000" w14:paraId="00000088">
      <w:pPr>
        <w:numPr>
          <w:ilvl w:val="0"/>
          <w:numId w:val="2"/>
        </w:numPr>
        <w:spacing w:line="360" w:lineRule="auto"/>
        <w:ind w:left="720" w:hanging="360"/>
        <w:jc w:val="both"/>
        <w:rPr>
          <w:rFonts w:ascii="Arial" w:cs="Arial" w:eastAsia="Arial" w:hAnsi="Arial"/>
          <w:color w:val="222222"/>
          <w:sz w:val="22"/>
          <w:szCs w:val="22"/>
        </w:rPr>
      </w:pPr>
      <w:r w:rsidDel="00000000" w:rsidR="00000000" w:rsidRPr="00000000">
        <w:rPr>
          <w:rFonts w:ascii="Arial" w:cs="Arial" w:eastAsia="Arial" w:hAnsi="Arial"/>
          <w:color w:val="222222"/>
          <w:sz w:val="22"/>
          <w:szCs w:val="22"/>
          <w:rtl w:val="0"/>
        </w:rPr>
        <w:t xml:space="preserve">Výměna všech prachových filtrů </w:t>
      </w:r>
      <w:r w:rsidDel="00000000" w:rsidR="00000000" w:rsidRPr="00000000">
        <w:rPr>
          <w:rFonts w:ascii="Arial" w:cs="Arial" w:eastAsia="Arial" w:hAnsi="Arial"/>
          <w:sz w:val="22"/>
          <w:szCs w:val="22"/>
          <w:rtl w:val="0"/>
        </w:rPr>
        <w:t xml:space="preserve">elektronické dotykové tabule</w:t>
      </w:r>
      <w:r w:rsidDel="00000000" w:rsidR="00000000" w:rsidRPr="00000000">
        <w:rPr>
          <w:rFonts w:ascii="Arial" w:cs="Arial" w:eastAsia="Arial" w:hAnsi="Arial"/>
          <w:color w:val="222222"/>
          <w:sz w:val="22"/>
          <w:szCs w:val="22"/>
          <w:rtl w:val="0"/>
        </w:rPr>
        <w:t xml:space="preserve"> </w:t>
      </w:r>
    </w:p>
    <w:p w:rsidR="00000000" w:rsidDel="00000000" w:rsidP="00000000" w:rsidRDefault="00000000" w:rsidRPr="00000000" w14:paraId="00000089">
      <w:pPr>
        <w:numPr>
          <w:ilvl w:val="0"/>
          <w:numId w:val="2"/>
        </w:numPr>
        <w:spacing w:line="360" w:lineRule="auto"/>
        <w:ind w:left="720" w:hanging="360"/>
        <w:jc w:val="both"/>
        <w:rPr>
          <w:rFonts w:ascii="Arial" w:cs="Arial" w:eastAsia="Arial" w:hAnsi="Arial"/>
          <w:color w:val="222222"/>
          <w:sz w:val="22"/>
          <w:szCs w:val="22"/>
        </w:rPr>
      </w:pPr>
      <w:r w:rsidDel="00000000" w:rsidR="00000000" w:rsidRPr="00000000">
        <w:rPr>
          <w:rFonts w:ascii="Arial" w:cs="Arial" w:eastAsia="Arial" w:hAnsi="Arial"/>
          <w:color w:val="222222"/>
          <w:sz w:val="22"/>
          <w:szCs w:val="22"/>
          <w:rtl w:val="0"/>
        </w:rPr>
        <w:t xml:space="preserve">Kontrola předního tvrzeného skla</w:t>
      </w:r>
    </w:p>
    <w:p w:rsidR="00000000" w:rsidDel="00000000" w:rsidP="00000000" w:rsidRDefault="00000000" w:rsidRPr="00000000" w14:paraId="0000008A">
      <w:pPr>
        <w:numPr>
          <w:ilvl w:val="0"/>
          <w:numId w:val="2"/>
        </w:numPr>
        <w:spacing w:line="360" w:lineRule="auto"/>
        <w:ind w:left="720" w:hanging="360"/>
        <w:jc w:val="both"/>
        <w:rPr>
          <w:rFonts w:ascii="Arial" w:cs="Arial" w:eastAsia="Arial" w:hAnsi="Arial"/>
          <w:color w:val="222222"/>
          <w:sz w:val="22"/>
          <w:szCs w:val="22"/>
        </w:rPr>
      </w:pPr>
      <w:r w:rsidDel="00000000" w:rsidR="00000000" w:rsidRPr="00000000">
        <w:rPr>
          <w:rFonts w:ascii="Arial" w:cs="Arial" w:eastAsia="Arial" w:hAnsi="Arial"/>
          <w:color w:val="222222"/>
          <w:sz w:val="22"/>
          <w:szCs w:val="22"/>
          <w:rtl w:val="0"/>
        </w:rPr>
        <w:t xml:space="preserve">ČIštění ventilátorů a venkovních komponent</w:t>
      </w:r>
    </w:p>
    <w:p w:rsidR="00000000" w:rsidDel="00000000" w:rsidP="00000000" w:rsidRDefault="00000000" w:rsidRPr="00000000" w14:paraId="0000008B">
      <w:pPr>
        <w:numPr>
          <w:ilvl w:val="0"/>
          <w:numId w:val="2"/>
        </w:numPr>
        <w:spacing w:line="360" w:lineRule="auto"/>
        <w:ind w:left="720" w:hanging="360"/>
        <w:jc w:val="both"/>
        <w:rPr>
          <w:rFonts w:ascii="Arial" w:cs="Arial" w:eastAsia="Arial" w:hAnsi="Arial"/>
          <w:color w:val="222222"/>
          <w:sz w:val="22"/>
          <w:szCs w:val="22"/>
        </w:rPr>
      </w:pPr>
      <w:r w:rsidDel="00000000" w:rsidR="00000000" w:rsidRPr="00000000">
        <w:rPr>
          <w:rFonts w:ascii="Arial" w:cs="Arial" w:eastAsia="Arial" w:hAnsi="Arial"/>
          <w:color w:val="222222"/>
          <w:sz w:val="22"/>
          <w:szCs w:val="22"/>
          <w:rtl w:val="0"/>
        </w:rPr>
        <w:t xml:space="preserve">Kontrola funkčnosti dotykové vrstvy / MULTITOUCH TEST</w:t>
      </w:r>
    </w:p>
    <w:p w:rsidR="00000000" w:rsidDel="00000000" w:rsidP="00000000" w:rsidRDefault="00000000" w:rsidRPr="00000000" w14:paraId="0000008C">
      <w:pPr>
        <w:numPr>
          <w:ilvl w:val="0"/>
          <w:numId w:val="2"/>
        </w:numPr>
        <w:spacing w:line="360" w:lineRule="auto"/>
        <w:ind w:left="720" w:hanging="360"/>
        <w:jc w:val="both"/>
        <w:rPr>
          <w:rFonts w:ascii="Arial" w:cs="Arial" w:eastAsia="Arial" w:hAnsi="Arial"/>
          <w:color w:val="222222"/>
          <w:sz w:val="22"/>
          <w:szCs w:val="22"/>
        </w:rPr>
      </w:pPr>
      <w:r w:rsidDel="00000000" w:rsidR="00000000" w:rsidRPr="00000000">
        <w:rPr>
          <w:rFonts w:ascii="Arial" w:cs="Arial" w:eastAsia="Arial" w:hAnsi="Arial"/>
          <w:color w:val="222222"/>
          <w:sz w:val="22"/>
          <w:szCs w:val="22"/>
          <w:rtl w:val="0"/>
        </w:rPr>
        <w:t xml:space="preserve">Kontrola životnosti SSD disku a RAM paměti, StressTest ostatních komponent</w:t>
      </w:r>
    </w:p>
    <w:p w:rsidR="00000000" w:rsidDel="00000000" w:rsidP="00000000" w:rsidRDefault="00000000" w:rsidRPr="00000000" w14:paraId="0000008D">
      <w:pPr>
        <w:numPr>
          <w:ilvl w:val="0"/>
          <w:numId w:val="2"/>
        </w:numPr>
        <w:spacing w:line="360" w:lineRule="auto"/>
        <w:ind w:left="720" w:hanging="360"/>
        <w:jc w:val="both"/>
        <w:rPr>
          <w:rFonts w:ascii="Arial" w:cs="Arial" w:eastAsia="Arial" w:hAnsi="Arial"/>
          <w:color w:val="222222"/>
          <w:sz w:val="22"/>
          <w:szCs w:val="22"/>
        </w:rPr>
      </w:pPr>
      <w:r w:rsidDel="00000000" w:rsidR="00000000" w:rsidRPr="00000000">
        <w:rPr>
          <w:rFonts w:ascii="Arial" w:cs="Arial" w:eastAsia="Arial" w:hAnsi="Arial"/>
          <w:color w:val="222222"/>
          <w:sz w:val="22"/>
          <w:szCs w:val="22"/>
          <w:rtl w:val="0"/>
        </w:rPr>
        <w:t xml:space="preserve">Antivirová kontrola systému </w:t>
      </w:r>
      <w:r w:rsidDel="00000000" w:rsidR="00000000" w:rsidRPr="00000000">
        <w:rPr>
          <w:rFonts w:ascii="Arial" w:cs="Arial" w:eastAsia="Arial" w:hAnsi="Arial"/>
          <w:sz w:val="22"/>
          <w:szCs w:val="22"/>
          <w:rtl w:val="0"/>
        </w:rPr>
        <w:t xml:space="preserve">elektronické dotykové tabule</w:t>
      </w:r>
      <w:r w:rsidDel="00000000" w:rsidR="00000000" w:rsidRPr="00000000">
        <w:rPr>
          <w:rFonts w:ascii="Arial" w:cs="Arial" w:eastAsia="Arial" w:hAnsi="Arial"/>
          <w:color w:val="222222"/>
          <w:sz w:val="22"/>
          <w:szCs w:val="22"/>
          <w:rtl w:val="0"/>
        </w:rPr>
        <w:t xml:space="preserve"> a LEDWARE</w:t>
      </w:r>
    </w:p>
    <w:tbl>
      <w:tblPr>
        <w:tblStyle w:val="Table3"/>
        <w:tblW w:w="9071.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023.666666666667"/>
        <w:gridCol w:w="3023.6666666666665"/>
        <w:gridCol w:w="3023.6666666666665"/>
        <w:tblGridChange w:id="0">
          <w:tblGrid>
            <w:gridCol w:w="3023.666666666667"/>
            <w:gridCol w:w="3023.6666666666665"/>
            <w:gridCol w:w="3023.6666666666665"/>
          </w:tblGrid>
        </w:tblGridChange>
      </w:tblGrid>
      <w:tr>
        <w:trPr>
          <w:cantSplit w:val="0"/>
          <w:trHeight w:val="700.95703125" w:hRule="atLeast"/>
          <w:tblHeader w:val="0"/>
        </w:trPr>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8E">
            <w:pPr>
              <w:widowControl w:val="0"/>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Cena za profylaxi elektronické dotykové tabule a její celkovou kontrolu je 1890 Kč ročně bez DPH. </w:t>
            </w:r>
          </w:p>
        </w:tc>
      </w:tr>
    </w:tbl>
    <w:p w:rsidR="00000000" w:rsidDel="00000000" w:rsidP="00000000" w:rsidRDefault="00000000" w:rsidRPr="00000000" w14:paraId="00000091">
      <w:pPr>
        <w:spacing w:after="120" w:before="120" w:lineRule="auto"/>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1.3  Licence software</w:t>
      </w:r>
    </w:p>
    <w:tbl>
      <w:tblPr>
        <w:tblStyle w:val="Table4"/>
        <w:tblW w:w="9071.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023.666666666667"/>
        <w:gridCol w:w="3023.666666666667"/>
        <w:gridCol w:w="3023.666666666667"/>
        <w:tblGridChange w:id="0">
          <w:tblGrid>
            <w:gridCol w:w="3023.666666666667"/>
            <w:gridCol w:w="3023.666666666667"/>
            <w:gridCol w:w="3023.666666666667"/>
          </w:tblGrid>
        </w:tblGridChange>
      </w:tblGrid>
      <w:tr>
        <w:trPr>
          <w:cantSplit w:val="0"/>
          <w:trHeight w:val="700.95703125" w:hRule="atLeast"/>
          <w:tblHeader w:val="0"/>
        </w:trPr>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92">
            <w:pPr>
              <w:widowControl w:val="0"/>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Cena za licenci software je ve výši  875 Kč měsíčně bez DPH. </w:t>
            </w:r>
          </w:p>
        </w:tc>
      </w:tr>
    </w:tbl>
    <w:p w:rsidR="00000000" w:rsidDel="00000000" w:rsidP="00000000" w:rsidRDefault="00000000" w:rsidRPr="00000000" w14:paraId="00000095">
      <w:pPr>
        <w:spacing w:after="240" w:before="240" w:line="360" w:lineRule="auto"/>
        <w:jc w:val="both"/>
        <w:rPr>
          <w:rFonts w:ascii="Arial" w:cs="Arial" w:eastAsia="Arial" w:hAnsi="Arial"/>
          <w:color w:val="222222"/>
          <w:sz w:val="22"/>
          <w:szCs w:val="22"/>
        </w:rPr>
      </w:pPr>
      <w:r w:rsidDel="00000000" w:rsidR="00000000" w:rsidRPr="00000000">
        <w:rPr>
          <w:rtl w:val="0"/>
        </w:rPr>
      </w:r>
    </w:p>
    <w:sectPr>
      <w:headerReference r:id="rId9" w:type="default"/>
      <w:headerReference r:id="rId10" w:type="first"/>
      <w:footerReference r:id="rId11" w:type="default"/>
      <w:footerReference r:id="rId12" w:type="first"/>
      <w:pgSz w:h="16840" w:w="11907" w:orient="portrait"/>
      <w:pgMar w:bottom="1134" w:top="1106" w:left="1418" w:right="1418" w:header="425" w:footer="902"/>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9">
    <w:pPr>
      <w:jc w:val="center"/>
      <w:rPr>
        <w:rFonts w:ascii="Arial" w:cs="Arial" w:eastAsia="Arial" w:hAnsi="Arial"/>
        <w:i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9A">
    <w:pPr>
      <w:tabs>
        <w:tab w:val="center" w:leader="none" w:pos="4536"/>
        <w:tab w:val="right" w:leader="none" w:pos="9072"/>
      </w:tabs>
      <w:jc w:val="center"/>
      <w:rPr>
        <w:rFonts w:ascii="Arial" w:cs="Arial" w:eastAsia="Arial" w:hAnsi="Arial"/>
        <w:i w:val="1"/>
      </w:rPr>
    </w:pPr>
    <w:r w:rsidDel="00000000" w:rsidR="00000000" w:rsidRPr="00000000">
      <w:rPr>
        <w:rFonts w:ascii="Arial" w:cs="Arial" w:eastAsia="Arial" w:hAnsi="Arial"/>
        <w:i w:val="1"/>
        <w:rtl w:val="0"/>
      </w:rPr>
      <w:t xml:space="preserve">Stránka </w:t>
    </w:r>
    <w:r w:rsidDel="00000000" w:rsidR="00000000" w:rsidRPr="00000000">
      <w:rPr>
        <w:rFonts w:ascii="Arial" w:cs="Arial" w:eastAsia="Arial" w:hAnsi="Arial"/>
        <w:i w:val="1"/>
      </w:rPr>
      <w:fldChar w:fldCharType="begin"/>
      <w:instrText xml:space="preserve">PAGE</w:instrText>
      <w:fldChar w:fldCharType="separate"/>
      <w:fldChar w:fldCharType="end"/>
    </w:r>
    <w:r w:rsidDel="00000000" w:rsidR="00000000" w:rsidRPr="00000000">
      <w:rPr>
        <w:rFonts w:ascii="Arial" w:cs="Arial" w:eastAsia="Arial" w:hAnsi="Arial"/>
        <w:i w:val="1"/>
        <w:rtl w:val="0"/>
      </w:rPr>
      <w:t xml:space="preserve"> z 6      </w:t>
    </w:r>
  </w:p>
  <w:p w:rsidR="00000000" w:rsidDel="00000000" w:rsidP="00000000" w:rsidRDefault="00000000" w:rsidRPr="00000000" w14:paraId="0000009B">
    <w:pPr>
      <w:tabs>
        <w:tab w:val="center" w:leader="none" w:pos="4536"/>
        <w:tab w:val="right" w:leader="none" w:pos="9072"/>
      </w:tabs>
      <w:jc w:val="center"/>
      <w:rPr>
        <w:rFonts w:ascii="Arial" w:cs="Arial" w:eastAsia="Arial" w:hAnsi="Arial"/>
      </w:rPr>
    </w:pPr>
    <w:hyperlink r:id="rId1">
      <w:r w:rsidDel="00000000" w:rsidR="00000000" w:rsidRPr="00000000">
        <w:rPr>
          <w:rFonts w:ascii="Arial" w:cs="Arial" w:eastAsia="Arial" w:hAnsi="Arial"/>
          <w:color w:val="1155cc"/>
          <w:u w:val="single"/>
          <w:rtl w:val="0"/>
        </w:rPr>
        <w:t xml:space="preserve">www.uredni-deska.eu</w:t>
      </w:r>
    </w:hyperlink>
    <w:r w:rsidDel="00000000" w:rsidR="00000000" w:rsidRPr="00000000">
      <w:rPr>
        <w:rFonts w:ascii="Arial" w:cs="Arial" w:eastAsia="Arial" w:hAnsi="Arial"/>
        <w:rtl w:val="0"/>
      </w:rPr>
      <w:t xml:space="preserve"> | </w:t>
    </w:r>
    <w:hyperlink r:id="rId2">
      <w:r w:rsidDel="00000000" w:rsidR="00000000" w:rsidRPr="00000000">
        <w:rPr>
          <w:rFonts w:ascii="Arial" w:cs="Arial" w:eastAsia="Arial" w:hAnsi="Arial"/>
          <w:color w:val="1155cc"/>
          <w:u w:val="single"/>
          <w:rtl w:val="0"/>
        </w:rPr>
        <w:t xml:space="preserve">www.digiday.cz</w:t>
      </w:r>
    </w:hyperlink>
    <w:r w:rsidDel="00000000" w:rsidR="00000000" w:rsidRPr="00000000">
      <w:rPr>
        <w:rFonts w:ascii="Arial" w:cs="Arial" w:eastAsia="Arial" w:hAnsi="Arial"/>
        <w:rtl w:val="0"/>
      </w:rPr>
      <w:t xml:space="preserve"> I</w:t>
    </w:r>
    <w:hyperlink r:id="rId3">
      <w:r w:rsidDel="00000000" w:rsidR="00000000" w:rsidRPr="00000000">
        <w:rPr>
          <w:rFonts w:ascii="Arial" w:cs="Arial" w:eastAsia="Arial" w:hAnsi="Arial"/>
          <w:color w:val="1155cc"/>
          <w:u w:val="single"/>
          <w:rtl w:val="0"/>
        </w:rPr>
        <w:t xml:space="preserve"> www.etabula.sk</w:t>
      </w:r>
    </w:hyperlink>
    <w:r w:rsidDel="00000000" w:rsidR="00000000" w:rsidRPr="00000000">
      <w:rPr>
        <w:rtl w:val="0"/>
      </w:rPr>
    </w:r>
  </w:p>
  <w:p w:rsidR="00000000" w:rsidDel="00000000" w:rsidP="00000000" w:rsidRDefault="00000000" w:rsidRPr="00000000" w14:paraId="0000009C">
    <w:pPr>
      <w:tabs>
        <w:tab w:val="center" w:leader="none" w:pos="4536"/>
        <w:tab w:val="right" w:leader="none" w:pos="9072"/>
      </w:tabs>
      <w:jc w:val="center"/>
      <w:rPr>
        <w:rFonts w:ascii="Arial" w:cs="Arial" w:eastAsia="Arial" w:hAnsi="Arial"/>
        <w:i w:val="1"/>
      </w:rPr>
    </w:pPr>
    <w:r w:rsidDel="00000000" w:rsidR="00000000" w:rsidRPr="00000000">
      <w:rPr>
        <w:rFonts w:ascii="Arial" w:cs="Arial" w:eastAsia="Arial" w:hAnsi="Arial"/>
        <w:color w:val="d5a6bd"/>
        <w:rtl w:val="0"/>
      </w:rPr>
      <w:t xml:space="preserve">DigiDay Czech s.r.o., 1. máje 481/16, Ostrava - Mariánské Hory</w:t>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D">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6">
    <w:pPr>
      <w:jc w:val="center"/>
      <w:rPr>
        <w:rFonts w:ascii="Arial" w:cs="Arial" w:eastAsia="Arial" w:hAnsi="Arial"/>
        <w:color w:val="d5a6bd"/>
      </w:rPr>
    </w:pPr>
    <w:r w:rsidDel="00000000" w:rsidR="00000000" w:rsidRPr="00000000">
      <w:rPr>
        <w:rFonts w:ascii="Arial" w:cs="Arial" w:eastAsia="Arial" w:hAnsi="Arial"/>
      </w:rPr>
      <w:drawing>
        <wp:inline distB="114300" distT="114300" distL="114300" distR="114300">
          <wp:extent cx="1849275" cy="789690"/>
          <wp:effectExtent b="0" l="0" r="0" t="0"/>
          <wp:docPr id="55"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849275" cy="789690"/>
                  </a:xfrm>
                  <a:prstGeom prst="rect"/>
                  <a:ln/>
                </pic:spPr>
              </pic:pic>
            </a:graphicData>
          </a:graphic>
        </wp:inline>
      </w:drawing>
    </w:r>
    <w:r w:rsidDel="00000000" w:rsidR="00000000" w:rsidRPr="00000000">
      <w:rPr>
        <w:rFonts w:ascii="Arial" w:cs="Arial" w:eastAsia="Arial" w:hAnsi="Arial"/>
        <w:rtl w:val="0"/>
      </w:rPr>
      <w:br w:type="textWrapping"/>
    </w:r>
    <w:r w:rsidDel="00000000" w:rsidR="00000000" w:rsidRPr="00000000">
      <w:rPr>
        <w:color w:val="d5a6bd"/>
        <w:rtl w:val="0"/>
      </w:rPr>
      <w:t xml:space="preserve">EDUCO INTERAKTIVNÍ DOTYKOVÉ PANELY PRO ŠKOLY</w:t>
    </w:r>
    <w:r w:rsidDel="00000000" w:rsidR="00000000" w:rsidRPr="00000000">
      <w:rPr>
        <w:rtl w:val="0"/>
      </w:rPr>
    </w:r>
  </w:p>
  <w:p w:rsidR="00000000" w:rsidDel="00000000" w:rsidP="00000000" w:rsidRDefault="00000000" w:rsidRPr="00000000" w14:paraId="00000097">
    <w:pPr>
      <w:jc w:val="center"/>
      <w:rPr>
        <w:color w:val="d5a6bd"/>
      </w:rPr>
    </w:pPr>
    <w:r w:rsidDel="00000000" w:rsidR="00000000" w:rsidRPr="00000000">
      <w:pict>
        <v:rect style="width:0.0pt;height:1.5pt" o:hr="t" o:hrstd="t" o:hralign="center" fillcolor="#A0A0A0" stroked="f"/>
      </w:pic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8">
    <w:pPr>
      <w:jc w:val="center"/>
      <w:rPr>
        <w:rFonts w:ascii="Arial" w:cs="Arial" w:eastAsia="Arial" w:hAnsi="Arial"/>
        <w:color w:val="000000"/>
      </w:rPr>
    </w:pPr>
    <w:r w:rsidDel="00000000" w:rsidR="00000000" w:rsidRPr="00000000">
      <w:rPr/>
      <w:drawing>
        <wp:inline distB="114300" distT="114300" distL="114300" distR="114300">
          <wp:extent cx="1920712" cy="821927"/>
          <wp:effectExtent b="0" l="0" r="0" t="0"/>
          <wp:docPr id="56"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920712" cy="821927"/>
                  </a:xfrm>
                  <a:prstGeom prst="rect"/>
                  <a:ln/>
                </pic:spPr>
              </pic:pic>
            </a:graphicData>
          </a:graphic>
        </wp:inline>
      </w:drawing>
    </w:r>
    <w:r w:rsidDel="00000000" w:rsidR="00000000" w:rsidRPr="00000000">
      <w:rPr>
        <w:rtl w:val="0"/>
      </w:rPr>
      <w:br w:type="textWrapping"/>
    </w:r>
    <w:r w:rsidDel="00000000" w:rsidR="00000000" w:rsidRPr="00000000">
      <w:rPr>
        <w:color w:val="d5a6bd"/>
        <w:rtl w:val="0"/>
      </w:rPr>
      <w:t xml:space="preserve">EDUCO INTERAKTIVNÍ DOTYKOVÉ PANELY PRO ŠKOLY</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lang w:val="c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rPr>
  </w:style>
  <w:style w:type="paragraph" w:styleId="Title">
    <w:name w:val="Title"/>
    <w:basedOn w:val="Normal"/>
    <w:next w:val="Normal"/>
    <w:pPr>
      <w:keepNext w:val="1"/>
      <w:keepLines w:val="1"/>
      <w:spacing w:after="120" w:before="480" w:lineRule="auto"/>
    </w:pPr>
    <w:rPr>
      <w:b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Standardnpsmoodstavce" w:default="1">
    <w:name w:val="Default Paragraph Font"/>
    <w:uiPriority w:val="1"/>
    <w:semiHidden w:val="1"/>
    <w:unhideWhenUsed w:val="1"/>
  </w:style>
  <w:style w:type="table" w:styleId="Normlntabulka" w:default="1">
    <w:name w:val="Normal Table"/>
    <w:uiPriority w:val="99"/>
    <w:semiHidden w:val="1"/>
    <w:unhideWhenUsed w:val="1"/>
    <w:tblPr>
      <w:tblInd w:w="0.0" w:type="dxa"/>
      <w:tblCellMar>
        <w:top w:w="0.0" w:type="dxa"/>
        <w:left w:w="108.0" w:type="dxa"/>
        <w:bottom w:w="0.0" w:type="dxa"/>
        <w:right w:w="108.0" w:type="dxa"/>
      </w:tblCellMar>
    </w:tblPr>
  </w:style>
  <w:style w:type="numbering" w:styleId="Bezseznamu"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table" w:styleId="TableNormal2" w:customStyle="1">
    <w:name w:val="Table Normal"/>
    <w:tblPr>
      <w:tblCellMar>
        <w:top w:w="0.0" w:type="dxa"/>
        <w:left w:w="0.0" w:type="dxa"/>
        <w:bottom w:w="0.0" w:type="dxa"/>
        <w:right w:w="0.0" w:type="dxa"/>
      </w:tblCellMar>
    </w:tblPr>
  </w:style>
  <w:style w:type="table" w:styleId="TableNormal3" w:customStyle="1">
    <w:name w:val="Table Normal"/>
    <w:tblPr>
      <w:tblCellMar>
        <w:top w:w="0.0" w:type="dxa"/>
        <w:left w:w="0.0" w:type="dxa"/>
        <w:bottom w:w="0.0" w:type="dxa"/>
        <w:right w:w="0.0" w:type="dxa"/>
      </w:tblCellMar>
    </w:tblPr>
  </w:style>
  <w:style w:type="table" w:styleId="TableNormal4" w:customStyle="1">
    <w:name w:val="Table Normal"/>
    <w:tblPr>
      <w:tblCellMar>
        <w:top w:w="0.0" w:type="dxa"/>
        <w:left w:w="0.0" w:type="dxa"/>
        <w:bottom w:w="0.0" w:type="dxa"/>
        <w:right w:w="0.0" w:type="dxa"/>
      </w:tblCellMar>
    </w:tblPr>
  </w:style>
  <w:style w:type="table" w:styleId="TableNormal5" w:customStyle="1">
    <w:name w:val="Table Normal"/>
    <w:tblPr>
      <w:tblCellMar>
        <w:top w:w="0.0" w:type="dxa"/>
        <w:left w:w="0.0" w:type="dxa"/>
        <w:bottom w:w="0.0" w:type="dxa"/>
        <w:right w:w="0.0" w:type="dxa"/>
      </w:tblCellMar>
    </w:tblPr>
  </w:style>
  <w:style w:type="table" w:styleId="TableNormal6" w:customStyle="1">
    <w:name w:val="Table Normal"/>
    <w:tblPr>
      <w:tblCellMar>
        <w:top w:w="0.0" w:type="dxa"/>
        <w:left w:w="0.0" w:type="dxa"/>
        <w:bottom w:w="0.0" w:type="dxa"/>
        <w:right w:w="0.0" w:type="dxa"/>
      </w:tblCellMar>
    </w:tblPr>
  </w:style>
  <w:style w:type="table" w:styleId="TableNormal7" w:customStyle="1">
    <w:name w:val="Table Normal"/>
    <w:tblPr>
      <w:tblCellMar>
        <w:top w:w="0.0" w:type="dxa"/>
        <w:left w:w="0.0" w:type="dxa"/>
        <w:bottom w:w="0.0" w:type="dxa"/>
        <w:right w:w="0.0" w:type="dxa"/>
      </w:tblCellMar>
    </w:tblPr>
  </w:style>
  <w:style w:type="table" w:styleId="TableNormal8" w:customStyle="1">
    <w:name w:val="Table Normal"/>
    <w:tblPr>
      <w:tblCellMar>
        <w:top w:w="0.0" w:type="dxa"/>
        <w:left w:w="0.0" w:type="dxa"/>
        <w:bottom w:w="0.0" w:type="dxa"/>
        <w:right w:w="0.0" w:type="dxa"/>
      </w:tblCellMar>
    </w:tblPr>
  </w:style>
  <w:style w:type="table" w:styleId="TableNormal9" w:customStyle="1">
    <w:name w:val="Table Normal"/>
    <w:tblPr>
      <w:tblCellMar>
        <w:top w:w="0.0" w:type="dxa"/>
        <w:left w:w="0.0" w:type="dxa"/>
        <w:bottom w:w="0.0" w:type="dxa"/>
        <w:right w:w="0.0" w:type="dxa"/>
      </w:tblCellMar>
    </w:tblPr>
  </w:style>
  <w:style w:type="table" w:styleId="TableNormala" w:customStyle="1">
    <w:name w:val="Table Normal"/>
    <w:tblPr>
      <w:tblCellMar>
        <w:top w:w="0.0" w:type="dxa"/>
        <w:left w:w="0.0" w:type="dxa"/>
        <w:bottom w:w="0.0" w:type="dxa"/>
        <w:right w:w="0.0" w:type="dxa"/>
      </w:tblCellMar>
    </w:tblPr>
  </w:style>
  <w:style w:type="table" w:styleId="TableNormalb" w:customStyle="1">
    <w:name w:val="Table Normal"/>
    <w:tblPr>
      <w:tblCellMar>
        <w:top w:w="0.0" w:type="dxa"/>
        <w:left w:w="0.0" w:type="dxa"/>
        <w:bottom w:w="0.0" w:type="dxa"/>
        <w:right w:w="0.0" w:type="dxa"/>
      </w:tblCellMar>
    </w:tblPr>
  </w:style>
  <w:style w:type="table" w:styleId="TableNormalc" w:customStyle="1">
    <w:name w:val="Table Normal"/>
    <w:tblPr>
      <w:tblCellMar>
        <w:top w:w="0.0" w:type="dxa"/>
        <w:left w:w="0.0" w:type="dxa"/>
        <w:bottom w:w="0.0" w:type="dxa"/>
        <w:right w:w="0.0" w:type="dxa"/>
      </w:tblCellMar>
    </w:tblPr>
  </w:style>
  <w:style w:type="table" w:styleId="a" w:customStyle="1">
    <w:basedOn w:val="TableNormalc"/>
    <w:tblPr>
      <w:tblStyleRowBandSize w:val="1"/>
      <w:tblStyleColBandSize w:val="1"/>
      <w:tblCellMar>
        <w:top w:w="100.0" w:type="dxa"/>
        <w:left w:w="100.0" w:type="dxa"/>
        <w:bottom w:w="100.0" w:type="dxa"/>
        <w:right w:w="100.0" w:type="dxa"/>
      </w:tblCellMar>
    </w:tblPr>
  </w:style>
  <w:style w:type="table" w:styleId="a0" w:customStyle="1">
    <w:basedOn w:val="TableNormalc"/>
    <w:tblPr>
      <w:tblStyleRowBandSize w:val="1"/>
      <w:tblStyleColBandSize w:val="1"/>
      <w:tblCellMar>
        <w:left w:w="108.0" w:type="dxa"/>
        <w:right w:w="108.0" w:type="dxa"/>
      </w:tblCellMar>
    </w:tblPr>
  </w:style>
  <w:style w:type="character" w:styleId="Hypertextovodkaz">
    <w:name w:val="Hyperlink"/>
    <w:basedOn w:val="Standardnpsmoodstavce"/>
    <w:uiPriority w:val="99"/>
    <w:unhideWhenUsed w:val="1"/>
    <w:rsid w:val="00AB0FC9"/>
    <w:rPr>
      <w:color w:val="0000ff" w:themeColor="hyperlink"/>
      <w:u w:val="single"/>
    </w:rPr>
  </w:style>
  <w:style w:type="paragraph" w:styleId="Zhlav">
    <w:name w:val="header"/>
    <w:basedOn w:val="Normln"/>
    <w:link w:val="ZhlavChar"/>
    <w:uiPriority w:val="99"/>
    <w:unhideWhenUsed w:val="1"/>
    <w:rsid w:val="00A73E14"/>
    <w:pPr>
      <w:tabs>
        <w:tab w:val="center" w:pos="4536"/>
        <w:tab w:val="right" w:pos="9072"/>
      </w:tabs>
    </w:pPr>
  </w:style>
  <w:style w:type="character" w:styleId="ZhlavChar" w:customStyle="1">
    <w:name w:val="Záhlaví Char"/>
    <w:basedOn w:val="Standardnpsmoodstavce"/>
    <w:link w:val="Zhlav"/>
    <w:uiPriority w:val="99"/>
    <w:rsid w:val="00A73E14"/>
  </w:style>
  <w:style w:type="paragraph" w:styleId="Zpat">
    <w:name w:val="footer"/>
    <w:basedOn w:val="Normln"/>
    <w:link w:val="ZpatChar"/>
    <w:uiPriority w:val="99"/>
    <w:unhideWhenUsed w:val="1"/>
    <w:rsid w:val="00A73E14"/>
    <w:pPr>
      <w:tabs>
        <w:tab w:val="center" w:pos="4536"/>
        <w:tab w:val="right" w:pos="9072"/>
      </w:tabs>
    </w:pPr>
  </w:style>
  <w:style w:type="character" w:styleId="ZpatChar" w:customStyle="1">
    <w:name w:val="Zápatí Char"/>
    <w:basedOn w:val="Standardnpsmoodstavce"/>
    <w:link w:val="Zpat"/>
    <w:uiPriority w:val="99"/>
    <w:rsid w:val="00A73E14"/>
  </w:style>
  <w:style w:type="paragraph" w:styleId="Textbubliny">
    <w:name w:val="Balloon Text"/>
    <w:basedOn w:val="Normln"/>
    <w:link w:val="TextbublinyChar"/>
    <w:uiPriority w:val="99"/>
    <w:semiHidden w:val="1"/>
    <w:unhideWhenUsed w:val="1"/>
    <w:rsid w:val="00FC4838"/>
    <w:rPr>
      <w:rFonts w:ascii="Tahoma" w:cs="Tahoma" w:hAnsi="Tahoma"/>
      <w:sz w:val="16"/>
      <w:szCs w:val="16"/>
    </w:rPr>
  </w:style>
  <w:style w:type="character" w:styleId="TextbublinyChar" w:customStyle="1">
    <w:name w:val="Text bubliny Char"/>
    <w:basedOn w:val="Standardnpsmoodstavce"/>
    <w:link w:val="Textbubliny"/>
    <w:uiPriority w:val="99"/>
    <w:semiHidden w:val="1"/>
    <w:rsid w:val="00FC4838"/>
    <w:rPr>
      <w:rFonts w:ascii="Tahoma" w:cs="Tahoma" w:hAnsi="Tahoma"/>
      <w:sz w:val="16"/>
      <w:szCs w:val="16"/>
    </w:rPr>
  </w:style>
  <w:style w:type="paragraph" w:styleId="Odstavecseseznamem">
    <w:name w:val="List Paragraph"/>
    <w:basedOn w:val="Normln"/>
    <w:uiPriority w:val="34"/>
    <w:qFormat w:val="1"/>
    <w:rsid w:val="009F22CB"/>
    <w:pPr>
      <w:ind w:left="720"/>
      <w:contextualSpacing w:val="1"/>
    </w:pPr>
  </w:style>
  <w:style w:type="character" w:styleId="Odkaznakoment">
    <w:name w:val="annotation reference"/>
    <w:basedOn w:val="Standardnpsmoodstavce"/>
    <w:uiPriority w:val="99"/>
    <w:semiHidden w:val="1"/>
    <w:unhideWhenUsed w:val="1"/>
    <w:rsid w:val="00643286"/>
    <w:rPr>
      <w:sz w:val="16"/>
      <w:szCs w:val="16"/>
    </w:rPr>
  </w:style>
  <w:style w:type="paragraph" w:styleId="Textkomente">
    <w:name w:val="annotation text"/>
    <w:basedOn w:val="Normln"/>
    <w:link w:val="TextkomenteChar"/>
    <w:uiPriority w:val="99"/>
    <w:semiHidden w:val="1"/>
    <w:unhideWhenUsed w:val="1"/>
    <w:rsid w:val="00643286"/>
  </w:style>
  <w:style w:type="character" w:styleId="TextkomenteChar" w:customStyle="1">
    <w:name w:val="Text komentáře Char"/>
    <w:basedOn w:val="Standardnpsmoodstavce"/>
    <w:link w:val="Textkomente"/>
    <w:uiPriority w:val="99"/>
    <w:semiHidden w:val="1"/>
    <w:rsid w:val="00643286"/>
  </w:style>
  <w:style w:type="paragraph" w:styleId="Pedmtkomente">
    <w:name w:val="annotation subject"/>
    <w:basedOn w:val="Textkomente"/>
    <w:next w:val="Textkomente"/>
    <w:link w:val="PedmtkomenteChar"/>
    <w:uiPriority w:val="99"/>
    <w:semiHidden w:val="1"/>
    <w:unhideWhenUsed w:val="1"/>
    <w:rsid w:val="00643286"/>
    <w:rPr>
      <w:b w:val="1"/>
      <w:bCs w:val="1"/>
    </w:rPr>
  </w:style>
  <w:style w:type="character" w:styleId="PedmtkomenteChar" w:customStyle="1">
    <w:name w:val="Předmět komentáře Char"/>
    <w:basedOn w:val="TextkomenteChar"/>
    <w:link w:val="Pedmtkomente"/>
    <w:uiPriority w:val="99"/>
    <w:semiHidden w:val="1"/>
    <w:rsid w:val="00643286"/>
    <w:rPr>
      <w:b w:val="1"/>
      <w:bCs w:val="1"/>
    </w:rPr>
  </w:style>
  <w:style w:type="table" w:styleId="a1" w:customStyle="1">
    <w:basedOn w:val="TableNormalc"/>
    <w:tblPr>
      <w:tblStyleRowBandSize w:val="1"/>
      <w:tblStyleColBandSize w:val="1"/>
      <w:tblCellMar>
        <w:top w:w="100.0" w:type="dxa"/>
        <w:left w:w="108.0" w:type="dxa"/>
        <w:bottom w:w="100.0" w:type="dxa"/>
        <w:right w:w="108.0" w:type="dxa"/>
      </w:tblCellMar>
    </w:tblPr>
  </w:style>
  <w:style w:type="table" w:styleId="a2" w:customStyle="1">
    <w:basedOn w:val="TableNormalc"/>
    <w:tblPr>
      <w:tblStyleRowBandSize w:val="1"/>
      <w:tblStyleColBandSize w:val="1"/>
      <w:tblCellMar>
        <w:top w:w="100.0" w:type="dxa"/>
        <w:left w:w="108.0" w:type="dxa"/>
        <w:bottom w:w="100.0" w:type="dxa"/>
        <w:right w:w="108.0" w:type="dxa"/>
      </w:tblCellMar>
    </w:tblPr>
  </w:style>
  <w:style w:type="table" w:styleId="a3" w:customStyle="1">
    <w:basedOn w:val="TableNormalc"/>
    <w:tblPr>
      <w:tblStyleRowBandSize w:val="1"/>
      <w:tblStyleColBandSize w:val="1"/>
      <w:tblCellMar>
        <w:top w:w="100.0" w:type="dxa"/>
        <w:left w:w="108.0" w:type="dxa"/>
        <w:bottom w:w="100.0" w:type="dxa"/>
        <w:right w:w="108.0" w:type="dxa"/>
      </w:tblCellMar>
    </w:tblPr>
  </w:style>
  <w:style w:type="table" w:styleId="a4" w:customStyle="1">
    <w:basedOn w:val="TableNormalc"/>
    <w:tblPr>
      <w:tblStyleRowBandSize w:val="1"/>
      <w:tblStyleColBandSize w:val="1"/>
      <w:tblCellMar>
        <w:top w:w="100.0" w:type="dxa"/>
        <w:left w:w="108.0" w:type="dxa"/>
        <w:bottom w:w="100.0" w:type="dxa"/>
        <w:right w:w="108.0" w:type="dxa"/>
      </w:tblCellMar>
    </w:tblPr>
  </w:style>
  <w:style w:type="table" w:styleId="a5" w:customStyle="1">
    <w:basedOn w:val="TableNormalc"/>
    <w:tblPr>
      <w:tblStyleRowBandSize w:val="1"/>
      <w:tblStyleColBandSize w:val="1"/>
      <w:tblCellMar>
        <w:top w:w="100.0" w:type="dxa"/>
        <w:left w:w="108.0" w:type="dxa"/>
        <w:bottom w:w="100.0" w:type="dxa"/>
        <w:right w:w="108.0" w:type="dxa"/>
      </w:tblCellMar>
    </w:tblPr>
  </w:style>
  <w:style w:type="table" w:styleId="a6" w:customStyle="1">
    <w:basedOn w:val="TableNormalc"/>
    <w:tblPr>
      <w:tblStyleRowBandSize w:val="1"/>
      <w:tblStyleColBandSize w:val="1"/>
      <w:tblCellMar>
        <w:top w:w="100.0" w:type="dxa"/>
        <w:left w:w="108.0" w:type="dxa"/>
        <w:bottom w:w="100.0" w:type="dxa"/>
        <w:right w:w="108.0" w:type="dxa"/>
      </w:tblCellMar>
    </w:tblPr>
  </w:style>
  <w:style w:type="table" w:styleId="a7" w:customStyle="1">
    <w:basedOn w:val="TableNormalc"/>
    <w:tblPr>
      <w:tblStyleRowBandSize w:val="1"/>
      <w:tblStyleColBandSize w:val="1"/>
      <w:tblCellMar>
        <w:top w:w="100.0" w:type="dxa"/>
        <w:left w:w="108.0" w:type="dxa"/>
        <w:bottom w:w="100.0" w:type="dxa"/>
        <w:right w:w="108.0" w:type="dxa"/>
      </w:tblCellMar>
    </w:tblPr>
  </w:style>
  <w:style w:type="table" w:styleId="a8" w:customStyle="1">
    <w:basedOn w:val="TableNormalc"/>
    <w:tblPr>
      <w:tblStyleRowBandSize w:val="1"/>
      <w:tblStyleColBandSize w:val="1"/>
      <w:tblCellMar>
        <w:top w:w="100.0" w:type="dxa"/>
        <w:left w:w="108.0" w:type="dxa"/>
        <w:bottom w:w="100.0" w:type="dxa"/>
        <w:right w:w="108.0" w:type="dxa"/>
      </w:tblCellMar>
    </w:tblPr>
  </w:style>
  <w:style w:type="table" w:styleId="a9" w:customStyle="1">
    <w:basedOn w:val="TableNormalc"/>
    <w:tblPr>
      <w:tblStyleRowBandSize w:val="1"/>
      <w:tblStyleColBandSize w:val="1"/>
      <w:tblCellMar>
        <w:top w:w="100.0" w:type="dxa"/>
        <w:left w:w="108.0" w:type="dxa"/>
        <w:bottom w:w="100.0" w:type="dxa"/>
        <w:right w:w="108.0" w:type="dxa"/>
      </w:tblCellMar>
    </w:tblPr>
  </w:style>
  <w:style w:type="table" w:styleId="aa" w:customStyle="1">
    <w:basedOn w:val="TableNormalc"/>
    <w:tblPr>
      <w:tblStyleRowBandSize w:val="1"/>
      <w:tblStyleColBandSize w:val="1"/>
      <w:tblCellMar>
        <w:top w:w="100.0" w:type="dxa"/>
        <w:left w:w="108.0" w:type="dxa"/>
        <w:bottom w:w="100.0" w:type="dxa"/>
        <w:right w:w="108.0" w:type="dxa"/>
      </w:tblCellMar>
    </w:tblPr>
  </w:style>
  <w:style w:type="paragraph" w:styleId="Revize">
    <w:name w:val="Revision"/>
    <w:hidden w:val="1"/>
    <w:uiPriority w:val="99"/>
    <w:semiHidden w:val="1"/>
    <w:rsid w:val="00CA34BE"/>
  </w:style>
  <w:style w:type="table" w:styleId="ab" w:customStyle="1">
    <w:basedOn w:val="TableNormal7"/>
    <w:tblPr>
      <w:tblStyleRowBandSize w:val="1"/>
      <w:tblStyleColBandSize w:val="1"/>
      <w:tblCellMar>
        <w:top w:w="100.0" w:type="dxa"/>
        <w:left w:w="108.0" w:type="dxa"/>
        <w:bottom w:w="100.0" w:type="dxa"/>
        <w:right w:w="108.0" w:type="dxa"/>
      </w:tblCellMar>
    </w:tblPr>
  </w:style>
  <w:style w:type="table" w:styleId="ac" w:customStyle="1">
    <w:basedOn w:val="TableNormal7"/>
    <w:tblPr>
      <w:tblStyleRowBandSize w:val="1"/>
      <w:tblStyleColBandSize w:val="1"/>
      <w:tblCellMar>
        <w:top w:w="100.0" w:type="dxa"/>
        <w:left w:w="108.0" w:type="dxa"/>
        <w:bottom w:w="100.0" w:type="dxa"/>
        <w:right w:w="108.0" w:type="dxa"/>
      </w:tblCellMar>
    </w:tblPr>
  </w:style>
  <w:style w:type="table" w:styleId="ad" w:customStyle="1">
    <w:basedOn w:val="TableNormal7"/>
    <w:tblPr>
      <w:tblStyleRowBandSize w:val="1"/>
      <w:tblStyleColBandSize w:val="1"/>
      <w:tblCellMar>
        <w:top w:w="100.0" w:type="dxa"/>
        <w:left w:w="108.0" w:type="dxa"/>
        <w:bottom w:w="100.0" w:type="dxa"/>
        <w:right w:w="108.0" w:type="dxa"/>
      </w:tblCellMar>
    </w:tblPr>
  </w:style>
  <w:style w:type="table" w:styleId="ae" w:customStyle="1">
    <w:basedOn w:val="TableNormal7"/>
    <w:tblPr>
      <w:tblStyleRowBandSize w:val="1"/>
      <w:tblStyleColBandSize w:val="1"/>
      <w:tblCellMar>
        <w:top w:w="100.0" w:type="dxa"/>
        <w:left w:w="108.0" w:type="dxa"/>
        <w:bottom w:w="100.0" w:type="dxa"/>
        <w:right w:w="108.0" w:type="dxa"/>
      </w:tblCellMar>
    </w:tblPr>
  </w:style>
  <w:style w:type="table" w:styleId="af" w:customStyle="1">
    <w:basedOn w:val="TableNormal7"/>
    <w:tblPr>
      <w:tblStyleRowBandSize w:val="1"/>
      <w:tblStyleColBandSize w:val="1"/>
      <w:tblCellMar>
        <w:top w:w="100.0" w:type="dxa"/>
        <w:left w:w="100.0" w:type="dxa"/>
        <w:bottom w:w="100.0" w:type="dxa"/>
        <w:right w:w="100.0" w:type="dxa"/>
      </w:tblCellMar>
    </w:tblPr>
  </w:style>
  <w:style w:type="table" w:styleId="af0" w:customStyle="1">
    <w:basedOn w:val="TableNormal7"/>
    <w:tblPr>
      <w:tblStyleRowBandSize w:val="1"/>
      <w:tblStyleColBandSize w:val="1"/>
      <w:tblCellMar>
        <w:top w:w="100.0" w:type="dxa"/>
        <w:left w:w="108.0" w:type="dxa"/>
        <w:bottom w:w="100.0" w:type="dxa"/>
        <w:right w:w="108.0" w:type="dxa"/>
      </w:tblCellMar>
    </w:tblPr>
  </w:style>
  <w:style w:type="table" w:styleId="af1" w:customStyle="1">
    <w:basedOn w:val="TableNormal7"/>
    <w:tblPr>
      <w:tblStyleRowBandSize w:val="1"/>
      <w:tblStyleColBandSize w:val="1"/>
      <w:tblCellMar>
        <w:top w:w="100.0" w:type="dxa"/>
        <w:left w:w="108.0" w:type="dxa"/>
        <w:bottom w:w="100.0" w:type="dxa"/>
        <w:right w:w="108.0" w:type="dxa"/>
      </w:tblCellMar>
    </w:tblPr>
  </w:style>
  <w:style w:type="table" w:styleId="af2" w:customStyle="1">
    <w:basedOn w:val="TableNormal7"/>
    <w:tblPr>
      <w:tblStyleRowBandSize w:val="1"/>
      <w:tblStyleColBandSize w:val="1"/>
      <w:tblCellMar>
        <w:top w:w="100.0" w:type="dxa"/>
        <w:left w:w="108.0" w:type="dxa"/>
        <w:bottom w:w="100.0" w:type="dxa"/>
        <w:right w:w="108.0" w:type="dxa"/>
      </w:tblCellMar>
    </w:tblPr>
  </w:style>
  <w:style w:type="table" w:styleId="af3" w:customStyle="1">
    <w:basedOn w:val="TableNormal7"/>
    <w:tblPr>
      <w:tblStyleRowBandSize w:val="1"/>
      <w:tblStyleColBandSize w:val="1"/>
      <w:tblCellMar>
        <w:top w:w="100.0" w:type="dxa"/>
        <w:left w:w="108.0" w:type="dxa"/>
        <w:bottom w:w="100.0" w:type="dxa"/>
        <w:right w:w="108.0" w:type="dxa"/>
      </w:tblCellMar>
    </w:tblPr>
  </w:style>
  <w:style w:type="table" w:styleId="af4" w:customStyle="1">
    <w:basedOn w:val="TableNormal7"/>
    <w:tblPr>
      <w:tblStyleRowBandSize w:val="1"/>
      <w:tblStyleColBandSize w:val="1"/>
      <w:tblCellMar>
        <w:top w:w="100.0" w:type="dxa"/>
        <w:left w:w="108.0" w:type="dxa"/>
        <w:bottom w:w="100.0" w:type="dxa"/>
        <w:right w:w="108.0" w:type="dxa"/>
      </w:tblCellMar>
    </w:tblPr>
  </w:style>
  <w:style w:type="table" w:styleId="af5" w:customStyle="1">
    <w:basedOn w:val="TableNormal7"/>
    <w:tblPr>
      <w:tblStyleRowBandSize w:val="1"/>
      <w:tblStyleColBandSize w:val="1"/>
      <w:tblCellMar>
        <w:top w:w="100.0" w:type="dxa"/>
        <w:left w:w="108.0" w:type="dxa"/>
        <w:bottom w:w="100.0" w:type="dxa"/>
        <w:right w:w="108.0" w:type="dxa"/>
      </w:tblCellMar>
    </w:tblPr>
  </w:style>
  <w:style w:type="table" w:styleId="af6" w:customStyle="1">
    <w:basedOn w:val="TableNormal7"/>
    <w:tblPr>
      <w:tblStyleRowBandSize w:val="1"/>
      <w:tblStyleColBandSize w:val="1"/>
      <w:tblCellMar>
        <w:top w:w="100.0" w:type="dxa"/>
        <w:left w:w="108.0" w:type="dxa"/>
        <w:bottom w:w="100.0" w:type="dxa"/>
        <w:right w:w="108.0" w:type="dxa"/>
      </w:tblCellMar>
    </w:tblPr>
  </w:style>
  <w:style w:type="table" w:styleId="af7" w:customStyle="1">
    <w:basedOn w:val="TableNormal7"/>
    <w:tblPr>
      <w:tblStyleRowBandSize w:val="1"/>
      <w:tblStyleColBandSize w:val="1"/>
      <w:tblCellMar>
        <w:top w:w="100.0" w:type="dxa"/>
        <w:left w:w="108.0" w:type="dxa"/>
        <w:bottom w:w="100.0" w:type="dxa"/>
        <w:right w:w="108.0" w:type="dxa"/>
      </w:tblCellMar>
    </w:tblPr>
  </w:style>
  <w:style w:type="table" w:styleId="af8" w:customStyle="1">
    <w:basedOn w:val="TableNormal7"/>
    <w:tblPr>
      <w:tblStyleRowBandSize w:val="1"/>
      <w:tblStyleColBandSize w:val="1"/>
      <w:tblCellMar>
        <w:top w:w="100.0" w:type="dxa"/>
        <w:left w:w="108.0" w:type="dxa"/>
        <w:bottom w:w="100.0" w:type="dxa"/>
        <w:right w:w="108.0" w:type="dxa"/>
      </w:tblCellMar>
    </w:tblPr>
  </w:style>
  <w:style w:type="table" w:styleId="af9" w:customStyle="1">
    <w:basedOn w:val="TableNormal7"/>
    <w:tblPr>
      <w:tblStyleRowBandSize w:val="1"/>
      <w:tblStyleColBandSize w:val="1"/>
      <w:tblCellMar>
        <w:top w:w="100.0" w:type="dxa"/>
        <w:left w:w="108.0" w:type="dxa"/>
        <w:bottom w:w="100.0" w:type="dxa"/>
        <w:right w:w="108.0" w:type="dxa"/>
      </w:tblCellMar>
    </w:tblPr>
  </w:style>
  <w:style w:type="table" w:styleId="afa" w:customStyle="1">
    <w:basedOn w:val="TableNormal7"/>
    <w:tblPr>
      <w:tblStyleRowBandSize w:val="1"/>
      <w:tblStyleColBandSize w:val="1"/>
      <w:tblCellMar>
        <w:top w:w="100.0" w:type="dxa"/>
        <w:left w:w="108.0" w:type="dxa"/>
        <w:bottom w:w="100.0" w:type="dxa"/>
        <w:right w:w="108.0" w:type="dxa"/>
      </w:tblCellMar>
    </w:tblPr>
  </w:style>
  <w:style w:type="table" w:styleId="Table1">
    <w:basedOn w:val="TableNormal"/>
    <w:tblPr>
      <w:tblStyleRowBandSize w:val="1"/>
      <w:tblStyleColBandSize w:val="1"/>
      <w:tblCellMar>
        <w:top w:w="100.0" w:type="dxa"/>
        <w:left w:w="108.0" w:type="dxa"/>
        <w:bottom w:w="100.0" w:type="dxa"/>
        <w:right w:w="108.0" w:type="dxa"/>
      </w:tblCellMar>
    </w:tblPr>
  </w:style>
  <w:style w:type="table" w:styleId="Table1">
    <w:basedOn w:val="TableNormal"/>
    <w:tblPr>
      <w:tblStyleRowBandSize w:val="1"/>
      <w:tblStyleColBandSize w:val="1"/>
      <w:tblCellMar>
        <w:top w:w="100.0" w:type="dxa"/>
        <w:left w:w="108.0" w:type="dxa"/>
        <w:bottom w:w="100.0" w:type="dxa"/>
        <w:right w:w="108.0" w:type="dxa"/>
      </w:tblCellMar>
    </w:tblPr>
  </w:style>
  <w:style w:type="table" w:styleId="Table1">
    <w:basedOn w:val="TableNormal"/>
    <w:tblPr>
      <w:tblStyleRowBandSize w:val="1"/>
      <w:tblStyleColBandSize w:val="1"/>
      <w:tblCellMar>
        <w:top w:w="100.0" w:type="dxa"/>
        <w:left w:w="108.0" w:type="dxa"/>
        <w:bottom w:w="100.0" w:type="dxa"/>
        <w:right w:w="108.0" w:type="dxa"/>
      </w:tblCellMar>
    </w:tblPr>
  </w:style>
  <w:style w:type="table" w:styleId="Table1">
    <w:basedOn w:val="TableNormal"/>
    <w:tblPr>
      <w:tblStyleRowBandSize w:val="1"/>
      <w:tblStyleColBandSize w:val="1"/>
      <w:tblCellMar>
        <w:top w:w="100.0" w:type="dxa"/>
        <w:left w:w="108.0" w:type="dxa"/>
        <w:bottom w:w="100.0" w:type="dxa"/>
        <w:right w:w="108.0" w:type="dxa"/>
      </w:tblCellMar>
    </w:tblPr>
  </w:style>
  <w:style w:type="table" w:styleId="Table1">
    <w:basedOn w:val="TableNormal"/>
    <w:tblPr>
      <w:tblStyleRowBandSize w:val="1"/>
      <w:tblStyleColBandSize w:val="1"/>
      <w:tblCellMar>
        <w:top w:w="100.0" w:type="dxa"/>
        <w:left w:w="108.0" w:type="dxa"/>
        <w:bottom w:w="100.0" w:type="dxa"/>
        <w:right w:w="108.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Pr>
  </w:style>
  <w:style w:type="table" w:styleId="Table4">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2.xml"/><Relationship Id="rId12" Type="http://schemas.openxmlformats.org/officeDocument/2006/relationships/footer" Target="footer2.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reklamace@digiday.cz" TargetMode="External"/><Relationship Id="rId8" Type="http://schemas.openxmlformats.org/officeDocument/2006/relationships/hyperlink" Target="mailto:reklamace@digiday.cz"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uredni-deska.eu" TargetMode="External"/><Relationship Id="rId2" Type="http://schemas.openxmlformats.org/officeDocument/2006/relationships/hyperlink" Target="http://www.digiday.cz" TargetMode="External"/><Relationship Id="rId3" Type="http://schemas.openxmlformats.org/officeDocument/2006/relationships/hyperlink" Target="http://www.etabula.s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k0kOlAEZRplCyKZjwlPkBtzF3Yw==">CgMxLjAyCGguZ2pkZ3hzMgloLjFmb2I5dGU4AHIhMXB6TkJFeWk2Y1YxNGM2Y1pNMFRzeXJocHZRUE5TSlN1</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2021-11-16T09:05:00Z</dcterms:created>
  <dc:creator>Juhász Libor, Ing.</dc:creator>
</cp:coreProperties>
</file>