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BC5E" w14:textId="77777777" w:rsidR="00066654" w:rsidRDefault="00541A8E">
      <w:pPr>
        <w:jc w:val="center"/>
        <w:rPr>
          <w:rFonts w:ascii="Arial" w:eastAsia="Arial" w:hAnsi="Arial" w:cs="Arial"/>
          <w:b/>
          <w:sz w:val="36"/>
          <w:szCs w:val="36"/>
        </w:rPr>
      </w:pPr>
      <w:r>
        <w:pict w14:anchorId="5AF57744">
          <v:rect id="_x0000_i1025" style="width:0;height:1.5pt" o:hralign="center" o:hrstd="t" o:hr="t" fillcolor="#a0a0a0" stroked="f"/>
        </w:pict>
      </w:r>
    </w:p>
    <w:p w14:paraId="3FCF13AD" w14:textId="77777777" w:rsidR="00066654" w:rsidRDefault="00541A8E">
      <w:pPr>
        <w:pBdr>
          <w:top w:val="nil"/>
          <w:left w:val="nil"/>
          <w:bottom w:val="nil"/>
          <w:right w:val="nil"/>
          <w:between w:val="nil"/>
        </w:pBdr>
        <w:jc w:val="center"/>
        <w:rPr>
          <w:rFonts w:ascii="Arial" w:eastAsia="Arial" w:hAnsi="Arial" w:cs="Arial"/>
          <w:b/>
          <w:sz w:val="36"/>
          <w:szCs w:val="36"/>
        </w:rPr>
      </w:pPr>
      <w:r>
        <w:rPr>
          <w:rFonts w:ascii="Arial" w:eastAsia="Arial" w:hAnsi="Arial" w:cs="Arial"/>
          <w:b/>
          <w:sz w:val="36"/>
          <w:szCs w:val="36"/>
        </w:rPr>
        <w:t>Servisní smlouva</w:t>
      </w:r>
      <w:r>
        <w:rPr>
          <w:rFonts w:ascii="Arial" w:eastAsia="Arial" w:hAnsi="Arial" w:cs="Arial"/>
          <w:b/>
          <w:color w:val="000000"/>
          <w:sz w:val="36"/>
          <w:szCs w:val="36"/>
        </w:rPr>
        <w:t xml:space="preserve"> na </w:t>
      </w:r>
      <w:r>
        <w:rPr>
          <w:rFonts w:ascii="Arial" w:eastAsia="Arial" w:hAnsi="Arial" w:cs="Arial"/>
          <w:b/>
          <w:sz w:val="36"/>
          <w:szCs w:val="36"/>
        </w:rPr>
        <w:t>elektronickou dotykovou tabuli</w:t>
      </w:r>
    </w:p>
    <w:p w14:paraId="0632BBAA" w14:textId="77777777" w:rsidR="00066654" w:rsidRDefault="00541A8E">
      <w:pPr>
        <w:pBdr>
          <w:top w:val="nil"/>
          <w:left w:val="nil"/>
          <w:bottom w:val="nil"/>
          <w:right w:val="nil"/>
          <w:between w:val="nil"/>
        </w:pBdr>
        <w:jc w:val="center"/>
        <w:rPr>
          <w:rFonts w:ascii="Arial" w:eastAsia="Arial" w:hAnsi="Arial" w:cs="Arial"/>
          <w:sz w:val="36"/>
          <w:szCs w:val="36"/>
        </w:rPr>
      </w:pPr>
      <w:r>
        <w:rPr>
          <w:rFonts w:ascii="Arial" w:eastAsia="Arial" w:hAnsi="Arial" w:cs="Arial"/>
          <w:b/>
          <w:color w:val="0000FF"/>
          <w:sz w:val="36"/>
          <w:szCs w:val="36"/>
        </w:rPr>
        <w:t xml:space="preserve"> </w:t>
      </w:r>
      <w:r>
        <w:rPr>
          <w:rFonts w:ascii="Arial" w:eastAsia="Arial" w:hAnsi="Arial" w:cs="Arial"/>
          <w:b/>
          <w:sz w:val="36"/>
          <w:szCs w:val="36"/>
        </w:rPr>
        <w:t xml:space="preserve"> </w:t>
      </w:r>
    </w:p>
    <w:p w14:paraId="63562273" w14:textId="77777777" w:rsidR="00066654" w:rsidRDefault="00541A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i/>
          <w:color w:val="000000"/>
          <w:sz w:val="22"/>
          <w:szCs w:val="22"/>
        </w:rPr>
        <w:t>(uzavřená dle § 2586 a násl. občanského zákoníku)</w:t>
      </w:r>
    </w:p>
    <w:p w14:paraId="7A7490BB" w14:textId="77777777" w:rsidR="00066654" w:rsidRDefault="00066654">
      <w:pPr>
        <w:pBdr>
          <w:top w:val="nil"/>
          <w:left w:val="nil"/>
          <w:bottom w:val="nil"/>
          <w:right w:val="nil"/>
          <w:between w:val="nil"/>
        </w:pBdr>
        <w:spacing w:before="120" w:after="120"/>
        <w:jc w:val="center"/>
        <w:rPr>
          <w:rFonts w:ascii="Arial" w:eastAsia="Arial" w:hAnsi="Arial" w:cs="Arial"/>
          <w:color w:val="000000"/>
          <w:sz w:val="22"/>
          <w:szCs w:val="22"/>
        </w:rPr>
      </w:pPr>
    </w:p>
    <w:p w14:paraId="64E158E8" w14:textId="77777777" w:rsidR="00066654" w:rsidRDefault="00541A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Článek 1</w:t>
      </w:r>
    </w:p>
    <w:p w14:paraId="341CA99A" w14:textId="77777777" w:rsidR="00066654" w:rsidRDefault="00541A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Smluvní strany</w:t>
      </w:r>
    </w:p>
    <w:p w14:paraId="4AA3534F" w14:textId="77777777" w:rsidR="00066654" w:rsidRDefault="00541A8E">
      <w:pPr>
        <w:spacing w:before="120" w:after="120"/>
        <w:jc w:val="both"/>
        <w:rPr>
          <w:rFonts w:ascii="Arial" w:eastAsia="Arial" w:hAnsi="Arial" w:cs="Arial"/>
          <w:sz w:val="22"/>
          <w:szCs w:val="22"/>
        </w:rPr>
      </w:pPr>
      <w:r>
        <w:rPr>
          <w:rFonts w:ascii="Arial" w:eastAsia="Arial" w:hAnsi="Arial" w:cs="Arial"/>
          <w:b/>
          <w:sz w:val="22"/>
          <w:szCs w:val="22"/>
        </w:rPr>
        <w:t xml:space="preserve">1.1. Objednatel: </w:t>
      </w:r>
    </w:p>
    <w:p w14:paraId="76BFD9C8" w14:textId="77777777" w:rsidR="00066654" w:rsidRDefault="00541A8E">
      <w:pPr>
        <w:rPr>
          <w:rFonts w:ascii="Arial" w:eastAsia="Arial" w:hAnsi="Arial" w:cs="Arial"/>
          <w:b/>
          <w:sz w:val="22"/>
          <w:szCs w:val="22"/>
        </w:rPr>
      </w:pPr>
      <w:r>
        <w:rPr>
          <w:rFonts w:ascii="Arial" w:eastAsia="Arial" w:hAnsi="Arial" w:cs="Arial"/>
          <w:b/>
          <w:sz w:val="22"/>
          <w:szCs w:val="22"/>
        </w:rPr>
        <w:t xml:space="preserve">Obchodní jméno: </w:t>
      </w:r>
      <w:r>
        <w:rPr>
          <w:rFonts w:ascii="Arial" w:eastAsia="Arial" w:hAnsi="Arial" w:cs="Arial"/>
          <w:b/>
          <w:sz w:val="22"/>
          <w:szCs w:val="22"/>
        </w:rPr>
        <w:tab/>
      </w:r>
      <w:r>
        <w:rPr>
          <w:rFonts w:ascii="Arial" w:eastAsia="Arial" w:hAnsi="Arial" w:cs="Arial"/>
          <w:b/>
          <w:sz w:val="22"/>
          <w:szCs w:val="22"/>
        </w:rPr>
        <w:tab/>
        <w:t>Gymnázium Ladislava Jaroše Holešov</w:t>
      </w:r>
    </w:p>
    <w:p w14:paraId="3912D6ED" w14:textId="77777777" w:rsidR="00066654" w:rsidRDefault="00541A8E">
      <w:pPr>
        <w:rPr>
          <w:rFonts w:ascii="Arial" w:eastAsia="Arial" w:hAnsi="Arial" w:cs="Arial"/>
          <w:sz w:val="22"/>
          <w:szCs w:val="22"/>
        </w:rPr>
      </w:pPr>
      <w:r>
        <w:rPr>
          <w:rFonts w:ascii="Arial" w:eastAsia="Arial" w:hAnsi="Arial" w:cs="Arial"/>
          <w:sz w:val="22"/>
          <w:szCs w:val="22"/>
        </w:rPr>
        <w:t xml:space="preserve">sídlo: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white"/>
        </w:rPr>
        <w:t>Palackého 524/37, 769 01 Holešov</w:t>
      </w:r>
    </w:p>
    <w:p w14:paraId="22CC12F3" w14:textId="77777777" w:rsidR="00066654" w:rsidRDefault="00541A8E">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Mgr. Kuczmanová Miriam, MBA, ředitelka</w:t>
      </w:r>
    </w:p>
    <w:p w14:paraId="09FFA762" w14:textId="77777777" w:rsidR="00066654" w:rsidRDefault="00541A8E">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47935774</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FC5096F" w14:textId="77777777" w:rsidR="00066654" w:rsidRDefault="00541A8E">
      <w:pPr>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t>Komerční banka a.s., č. ú.: 8382660237/01002</w:t>
      </w:r>
    </w:p>
    <w:p w14:paraId="3507AEF5" w14:textId="77777777" w:rsidR="00066654" w:rsidRDefault="00541A8E">
      <w:pPr>
        <w:tabs>
          <w:tab w:val="left" w:pos="2835"/>
        </w:tabs>
        <w:jc w:val="both"/>
        <w:rPr>
          <w:rFonts w:ascii="Arial" w:eastAsia="Arial" w:hAnsi="Arial" w:cs="Arial"/>
          <w:b/>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02CFB95C" w14:textId="77777777" w:rsidR="00066654" w:rsidRDefault="00066654">
      <w:pPr>
        <w:rPr>
          <w:rFonts w:ascii="Arial" w:eastAsia="Arial" w:hAnsi="Arial" w:cs="Arial"/>
          <w:b/>
          <w:sz w:val="22"/>
          <w:szCs w:val="22"/>
        </w:rPr>
      </w:pPr>
    </w:p>
    <w:p w14:paraId="7606B56B" w14:textId="77777777" w:rsidR="00066654" w:rsidRDefault="00066654">
      <w:pPr>
        <w:rPr>
          <w:rFonts w:ascii="Arial" w:eastAsia="Arial" w:hAnsi="Arial" w:cs="Arial"/>
          <w:b/>
          <w:sz w:val="22"/>
          <w:szCs w:val="22"/>
        </w:rPr>
      </w:pPr>
    </w:p>
    <w:p w14:paraId="7A6AB026" w14:textId="77777777" w:rsidR="00066654" w:rsidRDefault="00066654">
      <w:pPr>
        <w:jc w:val="both"/>
        <w:rPr>
          <w:rFonts w:ascii="Arial" w:eastAsia="Arial" w:hAnsi="Arial" w:cs="Arial"/>
          <w:sz w:val="22"/>
          <w:szCs w:val="22"/>
        </w:rPr>
      </w:pPr>
    </w:p>
    <w:p w14:paraId="69F49052" w14:textId="77777777" w:rsidR="00066654" w:rsidRDefault="00541A8E">
      <w:pPr>
        <w:jc w:val="both"/>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Objednatel“</w:t>
      </w:r>
      <w:r>
        <w:rPr>
          <w:rFonts w:ascii="Arial" w:eastAsia="Arial" w:hAnsi="Arial" w:cs="Arial"/>
          <w:sz w:val="22"/>
          <w:szCs w:val="22"/>
        </w:rPr>
        <w:t xml:space="preserve">) na straně jedné </w:t>
      </w:r>
    </w:p>
    <w:p w14:paraId="665196FE" w14:textId="77777777" w:rsidR="00066654" w:rsidRDefault="00066654">
      <w:pPr>
        <w:pBdr>
          <w:top w:val="nil"/>
          <w:left w:val="nil"/>
          <w:bottom w:val="nil"/>
          <w:right w:val="nil"/>
          <w:between w:val="nil"/>
        </w:pBdr>
        <w:jc w:val="both"/>
        <w:rPr>
          <w:rFonts w:ascii="Arial" w:eastAsia="Arial" w:hAnsi="Arial" w:cs="Arial"/>
          <w:sz w:val="22"/>
          <w:szCs w:val="22"/>
        </w:rPr>
      </w:pPr>
    </w:p>
    <w:p w14:paraId="631A7C1E" w14:textId="77777777" w:rsidR="00066654" w:rsidRDefault="00066654">
      <w:pPr>
        <w:pBdr>
          <w:top w:val="nil"/>
          <w:left w:val="nil"/>
          <w:bottom w:val="nil"/>
          <w:right w:val="nil"/>
          <w:between w:val="nil"/>
        </w:pBdr>
        <w:jc w:val="both"/>
        <w:rPr>
          <w:rFonts w:ascii="Arial" w:eastAsia="Arial" w:hAnsi="Arial" w:cs="Arial"/>
          <w:sz w:val="22"/>
          <w:szCs w:val="22"/>
        </w:rPr>
      </w:pPr>
    </w:p>
    <w:p w14:paraId="0A186FAE" w14:textId="77777777" w:rsidR="00066654" w:rsidRDefault="00541A8E">
      <w:pPr>
        <w:pBdr>
          <w:top w:val="nil"/>
          <w:left w:val="nil"/>
          <w:bottom w:val="nil"/>
          <w:right w:val="nil"/>
          <w:between w:val="nil"/>
        </w:pBdr>
        <w:spacing w:before="120" w:after="120"/>
        <w:jc w:val="center"/>
        <w:rPr>
          <w:rFonts w:ascii="Arial" w:eastAsia="Arial" w:hAnsi="Arial" w:cs="Arial"/>
          <w:color w:val="000000"/>
          <w:sz w:val="22"/>
          <w:szCs w:val="22"/>
        </w:rPr>
      </w:pPr>
      <w:r>
        <w:rPr>
          <w:rFonts w:ascii="Arial" w:eastAsia="Arial" w:hAnsi="Arial" w:cs="Arial"/>
          <w:b/>
          <w:color w:val="000000"/>
          <w:sz w:val="22"/>
          <w:szCs w:val="22"/>
        </w:rPr>
        <w:t>a</w:t>
      </w:r>
    </w:p>
    <w:p w14:paraId="66812573" w14:textId="77777777" w:rsidR="00066654" w:rsidRDefault="00066654">
      <w:pPr>
        <w:pBdr>
          <w:top w:val="nil"/>
          <w:left w:val="nil"/>
          <w:bottom w:val="nil"/>
          <w:right w:val="nil"/>
          <w:between w:val="nil"/>
        </w:pBdr>
        <w:jc w:val="both"/>
        <w:rPr>
          <w:rFonts w:ascii="Arial" w:eastAsia="Arial" w:hAnsi="Arial" w:cs="Arial"/>
          <w:sz w:val="22"/>
          <w:szCs w:val="22"/>
        </w:rPr>
      </w:pPr>
    </w:p>
    <w:p w14:paraId="0386924F" w14:textId="77777777" w:rsidR="00066654" w:rsidRDefault="00066654">
      <w:pPr>
        <w:pBdr>
          <w:top w:val="nil"/>
          <w:left w:val="nil"/>
          <w:bottom w:val="nil"/>
          <w:right w:val="nil"/>
          <w:between w:val="nil"/>
        </w:pBdr>
        <w:jc w:val="both"/>
        <w:rPr>
          <w:rFonts w:ascii="Arial" w:eastAsia="Arial" w:hAnsi="Arial" w:cs="Arial"/>
          <w:sz w:val="22"/>
          <w:szCs w:val="22"/>
        </w:rPr>
      </w:pPr>
    </w:p>
    <w:p w14:paraId="5CA798E5" w14:textId="77777777" w:rsidR="00066654" w:rsidRDefault="00541A8E">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 xml:space="preserve">1.2 Zhotovitel: </w:t>
      </w:r>
    </w:p>
    <w:p w14:paraId="24A16BE0" w14:textId="77777777" w:rsidR="00066654" w:rsidRDefault="00541A8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sz w:val="22"/>
          <w:szCs w:val="22"/>
        </w:rPr>
        <w:t xml:space="preserve">obchodní jméno: </w:t>
      </w:r>
      <w:r>
        <w:rPr>
          <w:rFonts w:ascii="Arial" w:eastAsia="Arial" w:hAnsi="Arial" w:cs="Arial"/>
          <w:b/>
          <w:sz w:val="22"/>
          <w:szCs w:val="22"/>
        </w:rPr>
        <w:tab/>
      </w:r>
      <w:r>
        <w:rPr>
          <w:rFonts w:ascii="Arial" w:eastAsia="Arial" w:hAnsi="Arial" w:cs="Arial"/>
          <w:b/>
          <w:sz w:val="22"/>
          <w:szCs w:val="22"/>
        </w:rPr>
        <w:tab/>
        <w:t>DigiDay Czech s.r.o.</w:t>
      </w:r>
    </w:p>
    <w:p w14:paraId="5FB42C51" w14:textId="77777777" w:rsidR="00066654" w:rsidRDefault="00541A8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Sídlo: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 xml:space="preserve">1. máje 481/16, Mariánské Hory a Hulváky, 709 00 Ostrava </w:t>
      </w:r>
    </w:p>
    <w:p w14:paraId="1E150541" w14:textId="77777777" w:rsidR="00066654" w:rsidRDefault="00541A8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Zastoupen</w:t>
      </w:r>
      <w:r>
        <w:rPr>
          <w:rFonts w:ascii="Arial" w:eastAsia="Arial" w:hAnsi="Arial" w:cs="Arial"/>
          <w:sz w:val="22"/>
          <w:szCs w:val="22"/>
        </w:rPr>
        <w:t>ý</w:t>
      </w: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 xml:space="preserve">Ing. David Stružka, jednatel společnosti </w:t>
      </w:r>
    </w:p>
    <w:p w14:paraId="277762AF" w14:textId="77777777" w:rsidR="00066654" w:rsidRDefault="00541A8E">
      <w:pPr>
        <w:pBdr>
          <w:top w:val="nil"/>
          <w:left w:val="nil"/>
          <w:bottom w:val="nil"/>
          <w:right w:val="nil"/>
          <w:between w:val="nil"/>
        </w:pBdr>
        <w:jc w:val="both"/>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rPr>
        <w:t xml:space="preserve">IČO: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06078362</w:t>
      </w:r>
    </w:p>
    <w:p w14:paraId="2A11A5C6" w14:textId="77777777" w:rsidR="00066654" w:rsidRDefault="00541A8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CZ06078362</w:t>
      </w:r>
    </w:p>
    <w:p w14:paraId="02115A60" w14:textId="77777777" w:rsidR="00066654" w:rsidRDefault="00541A8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Bankovní spojení: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Komerční banka a.s., č. ú.: 123-4948540237/0100</w:t>
      </w:r>
    </w:p>
    <w:p w14:paraId="6EC4C640" w14:textId="77777777" w:rsidR="00066654" w:rsidRDefault="00541A8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Osoby oprávněné k jednání za zhotovitele ve věcech technických:</w:t>
      </w:r>
    </w:p>
    <w:p w14:paraId="43B2CFAD" w14:textId="77777777" w:rsidR="00066654" w:rsidRDefault="00066654">
      <w:pPr>
        <w:pBdr>
          <w:top w:val="nil"/>
          <w:left w:val="nil"/>
          <w:bottom w:val="nil"/>
          <w:right w:val="nil"/>
          <w:between w:val="nil"/>
        </w:pBdr>
        <w:jc w:val="both"/>
        <w:rPr>
          <w:rFonts w:ascii="Arial" w:eastAsia="Arial" w:hAnsi="Arial" w:cs="Arial"/>
          <w:color w:val="000000"/>
          <w:sz w:val="22"/>
          <w:szCs w:val="22"/>
        </w:rPr>
      </w:pPr>
    </w:p>
    <w:p w14:paraId="3DD607D9" w14:textId="77777777" w:rsidR="00066654" w:rsidRDefault="00541A8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(dále jen </w:t>
      </w:r>
      <w:r>
        <w:rPr>
          <w:rFonts w:ascii="Arial" w:eastAsia="Arial" w:hAnsi="Arial" w:cs="Arial"/>
          <w:b/>
          <w:color w:val="000000"/>
          <w:sz w:val="22"/>
          <w:szCs w:val="22"/>
        </w:rPr>
        <w:t>„Zhotovitel“</w:t>
      </w:r>
      <w:r>
        <w:rPr>
          <w:rFonts w:ascii="Arial" w:eastAsia="Arial" w:hAnsi="Arial" w:cs="Arial"/>
          <w:color w:val="000000"/>
          <w:sz w:val="22"/>
          <w:szCs w:val="22"/>
        </w:rPr>
        <w:t xml:space="preserve">) na straně druhé </w:t>
      </w:r>
    </w:p>
    <w:p w14:paraId="56F7EE2A" w14:textId="77777777" w:rsidR="00066654" w:rsidRDefault="00066654">
      <w:pPr>
        <w:pBdr>
          <w:top w:val="nil"/>
          <w:left w:val="nil"/>
          <w:bottom w:val="nil"/>
          <w:right w:val="nil"/>
          <w:between w:val="nil"/>
        </w:pBdr>
        <w:jc w:val="both"/>
        <w:rPr>
          <w:rFonts w:ascii="Arial" w:eastAsia="Arial" w:hAnsi="Arial" w:cs="Arial"/>
          <w:b/>
          <w:strike/>
          <w:sz w:val="22"/>
          <w:szCs w:val="22"/>
        </w:rPr>
      </w:pPr>
    </w:p>
    <w:p w14:paraId="0078B567" w14:textId="77777777" w:rsidR="00066654" w:rsidRDefault="00066654">
      <w:pPr>
        <w:pBdr>
          <w:top w:val="nil"/>
          <w:left w:val="nil"/>
          <w:bottom w:val="nil"/>
          <w:right w:val="nil"/>
          <w:between w:val="nil"/>
        </w:pBdr>
        <w:rPr>
          <w:rFonts w:ascii="Arial" w:eastAsia="Arial" w:hAnsi="Arial" w:cs="Arial"/>
          <w:b/>
          <w:strike/>
          <w:sz w:val="22"/>
          <w:szCs w:val="22"/>
        </w:rPr>
      </w:pPr>
    </w:p>
    <w:p w14:paraId="31D3D25D" w14:textId="77777777" w:rsidR="00066654" w:rsidRDefault="00066654">
      <w:pPr>
        <w:pBdr>
          <w:top w:val="nil"/>
          <w:left w:val="nil"/>
          <w:bottom w:val="nil"/>
          <w:right w:val="nil"/>
          <w:between w:val="nil"/>
        </w:pBdr>
        <w:rPr>
          <w:rFonts w:ascii="Arial" w:eastAsia="Arial" w:hAnsi="Arial" w:cs="Arial"/>
          <w:b/>
          <w:strike/>
          <w:sz w:val="22"/>
          <w:szCs w:val="22"/>
        </w:rPr>
      </w:pPr>
    </w:p>
    <w:p w14:paraId="2639F821" w14:textId="77777777" w:rsidR="00066654" w:rsidRDefault="00066654">
      <w:pPr>
        <w:pBdr>
          <w:top w:val="nil"/>
          <w:left w:val="nil"/>
          <w:bottom w:val="nil"/>
          <w:right w:val="nil"/>
          <w:between w:val="nil"/>
        </w:pBdr>
        <w:rPr>
          <w:rFonts w:ascii="Arial" w:eastAsia="Arial" w:hAnsi="Arial" w:cs="Arial"/>
          <w:b/>
          <w:strike/>
          <w:sz w:val="22"/>
          <w:szCs w:val="22"/>
        </w:rPr>
      </w:pPr>
    </w:p>
    <w:p w14:paraId="18F0CDC3" w14:textId="77777777" w:rsidR="00066654" w:rsidRDefault="00066654">
      <w:pPr>
        <w:pBdr>
          <w:top w:val="nil"/>
          <w:left w:val="nil"/>
          <w:bottom w:val="nil"/>
          <w:right w:val="nil"/>
          <w:between w:val="nil"/>
        </w:pBdr>
        <w:rPr>
          <w:rFonts w:ascii="Arial" w:eastAsia="Arial" w:hAnsi="Arial" w:cs="Arial"/>
          <w:b/>
          <w:strike/>
          <w:sz w:val="22"/>
          <w:szCs w:val="22"/>
        </w:rPr>
      </w:pPr>
    </w:p>
    <w:p w14:paraId="691283C6" w14:textId="77777777" w:rsidR="00066654" w:rsidRDefault="00066654">
      <w:pPr>
        <w:pBdr>
          <w:top w:val="nil"/>
          <w:left w:val="nil"/>
          <w:bottom w:val="nil"/>
          <w:right w:val="nil"/>
          <w:between w:val="nil"/>
        </w:pBdr>
        <w:rPr>
          <w:rFonts w:ascii="Arial" w:eastAsia="Arial" w:hAnsi="Arial" w:cs="Arial"/>
          <w:b/>
          <w:strike/>
          <w:sz w:val="22"/>
          <w:szCs w:val="22"/>
        </w:rPr>
      </w:pPr>
    </w:p>
    <w:p w14:paraId="06562188" w14:textId="77777777" w:rsidR="00066654" w:rsidRDefault="00066654">
      <w:pPr>
        <w:pBdr>
          <w:top w:val="nil"/>
          <w:left w:val="nil"/>
          <w:bottom w:val="nil"/>
          <w:right w:val="nil"/>
          <w:between w:val="nil"/>
        </w:pBdr>
        <w:rPr>
          <w:rFonts w:ascii="Arial" w:eastAsia="Arial" w:hAnsi="Arial" w:cs="Arial"/>
          <w:b/>
          <w:strike/>
          <w:sz w:val="22"/>
          <w:szCs w:val="22"/>
        </w:rPr>
      </w:pPr>
    </w:p>
    <w:p w14:paraId="31510B11" w14:textId="77777777" w:rsidR="00066654" w:rsidRDefault="00066654">
      <w:pPr>
        <w:pBdr>
          <w:top w:val="nil"/>
          <w:left w:val="nil"/>
          <w:bottom w:val="nil"/>
          <w:right w:val="nil"/>
          <w:between w:val="nil"/>
        </w:pBdr>
        <w:rPr>
          <w:rFonts w:ascii="Arial" w:eastAsia="Arial" w:hAnsi="Arial" w:cs="Arial"/>
          <w:b/>
          <w:strike/>
          <w:sz w:val="22"/>
          <w:szCs w:val="22"/>
        </w:rPr>
      </w:pPr>
    </w:p>
    <w:p w14:paraId="0D22488C" w14:textId="77777777" w:rsidR="00066654" w:rsidRDefault="00066654">
      <w:pPr>
        <w:pBdr>
          <w:top w:val="nil"/>
          <w:left w:val="nil"/>
          <w:bottom w:val="nil"/>
          <w:right w:val="nil"/>
          <w:between w:val="nil"/>
        </w:pBdr>
        <w:rPr>
          <w:rFonts w:ascii="Arial" w:eastAsia="Arial" w:hAnsi="Arial" w:cs="Arial"/>
          <w:b/>
          <w:strike/>
          <w:sz w:val="22"/>
          <w:szCs w:val="22"/>
        </w:rPr>
      </w:pPr>
    </w:p>
    <w:p w14:paraId="7745CD44" w14:textId="77777777" w:rsidR="00066654" w:rsidRDefault="00066654">
      <w:pPr>
        <w:pBdr>
          <w:top w:val="nil"/>
          <w:left w:val="nil"/>
          <w:bottom w:val="nil"/>
          <w:right w:val="nil"/>
          <w:between w:val="nil"/>
        </w:pBdr>
        <w:rPr>
          <w:rFonts w:ascii="Arial" w:eastAsia="Arial" w:hAnsi="Arial" w:cs="Arial"/>
          <w:b/>
          <w:strike/>
          <w:sz w:val="22"/>
          <w:szCs w:val="22"/>
        </w:rPr>
      </w:pPr>
    </w:p>
    <w:p w14:paraId="4BE0A290" w14:textId="77777777" w:rsidR="00066654" w:rsidRDefault="00066654">
      <w:pPr>
        <w:pBdr>
          <w:top w:val="nil"/>
          <w:left w:val="nil"/>
          <w:bottom w:val="nil"/>
          <w:right w:val="nil"/>
          <w:between w:val="nil"/>
        </w:pBdr>
        <w:rPr>
          <w:rFonts w:ascii="Arial" w:eastAsia="Arial" w:hAnsi="Arial" w:cs="Arial"/>
          <w:b/>
          <w:strike/>
          <w:sz w:val="22"/>
          <w:szCs w:val="22"/>
        </w:rPr>
      </w:pPr>
    </w:p>
    <w:p w14:paraId="03C947B5" w14:textId="77777777" w:rsidR="00066654" w:rsidRDefault="00066654">
      <w:pPr>
        <w:pBdr>
          <w:top w:val="nil"/>
          <w:left w:val="nil"/>
          <w:bottom w:val="nil"/>
          <w:right w:val="nil"/>
          <w:between w:val="nil"/>
        </w:pBdr>
        <w:rPr>
          <w:rFonts w:ascii="Arial" w:eastAsia="Arial" w:hAnsi="Arial" w:cs="Arial"/>
          <w:b/>
          <w:strike/>
          <w:sz w:val="22"/>
          <w:szCs w:val="22"/>
        </w:rPr>
      </w:pPr>
    </w:p>
    <w:p w14:paraId="5BD0929D" w14:textId="77777777" w:rsidR="00066654" w:rsidRDefault="00066654">
      <w:pPr>
        <w:pBdr>
          <w:top w:val="nil"/>
          <w:left w:val="nil"/>
          <w:bottom w:val="nil"/>
          <w:right w:val="nil"/>
          <w:between w:val="nil"/>
        </w:pBdr>
        <w:rPr>
          <w:rFonts w:ascii="Arial" w:eastAsia="Arial" w:hAnsi="Arial" w:cs="Arial"/>
          <w:b/>
          <w:strike/>
          <w:sz w:val="22"/>
          <w:szCs w:val="22"/>
        </w:rPr>
      </w:pPr>
    </w:p>
    <w:p w14:paraId="5224CB02" w14:textId="77777777" w:rsidR="00367291" w:rsidRDefault="00367291">
      <w:pPr>
        <w:pBdr>
          <w:top w:val="nil"/>
          <w:left w:val="nil"/>
          <w:bottom w:val="nil"/>
          <w:right w:val="nil"/>
          <w:between w:val="nil"/>
        </w:pBdr>
        <w:rPr>
          <w:rFonts w:ascii="Arial" w:eastAsia="Arial" w:hAnsi="Arial" w:cs="Arial"/>
          <w:b/>
          <w:strike/>
          <w:sz w:val="22"/>
          <w:szCs w:val="22"/>
        </w:rPr>
      </w:pPr>
    </w:p>
    <w:p w14:paraId="6B958326" w14:textId="77777777" w:rsidR="00066654" w:rsidRDefault="00066654">
      <w:pPr>
        <w:pBdr>
          <w:top w:val="nil"/>
          <w:left w:val="nil"/>
          <w:bottom w:val="nil"/>
          <w:right w:val="nil"/>
          <w:between w:val="nil"/>
        </w:pBdr>
        <w:rPr>
          <w:rFonts w:ascii="Arial" w:eastAsia="Arial" w:hAnsi="Arial" w:cs="Arial"/>
          <w:b/>
          <w:strike/>
          <w:sz w:val="22"/>
          <w:szCs w:val="22"/>
        </w:rPr>
      </w:pPr>
    </w:p>
    <w:p w14:paraId="61D53B25" w14:textId="77777777" w:rsidR="00066654" w:rsidRDefault="00066654">
      <w:pPr>
        <w:pBdr>
          <w:top w:val="nil"/>
          <w:left w:val="nil"/>
          <w:bottom w:val="nil"/>
          <w:right w:val="nil"/>
          <w:between w:val="nil"/>
        </w:pBdr>
        <w:rPr>
          <w:rFonts w:ascii="Arial" w:eastAsia="Arial" w:hAnsi="Arial" w:cs="Arial"/>
          <w:b/>
          <w:strike/>
          <w:sz w:val="22"/>
          <w:szCs w:val="22"/>
        </w:rPr>
      </w:pPr>
    </w:p>
    <w:p w14:paraId="4C4ADB79" w14:textId="77777777" w:rsidR="00066654" w:rsidRDefault="00541A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lastRenderedPageBreak/>
        <w:t>Článek 2</w:t>
      </w:r>
    </w:p>
    <w:p w14:paraId="6ED29369" w14:textId="77777777" w:rsidR="00066654" w:rsidRDefault="00541A8E">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Předmět smlouvy</w:t>
      </w:r>
    </w:p>
    <w:p w14:paraId="1F6E16E9"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color w:val="000000"/>
          <w:sz w:val="22"/>
          <w:szCs w:val="22"/>
        </w:rPr>
        <w:t>2.</w:t>
      </w:r>
      <w:r>
        <w:rPr>
          <w:rFonts w:ascii="Arial" w:eastAsia="Arial" w:hAnsi="Arial" w:cs="Arial"/>
          <w:sz w:val="22"/>
          <w:szCs w:val="22"/>
        </w:rPr>
        <w:t>1</w:t>
      </w:r>
      <w:r>
        <w:rPr>
          <w:rFonts w:ascii="Arial" w:eastAsia="Arial" w:hAnsi="Arial" w:cs="Arial"/>
          <w:color w:val="000000"/>
          <w:sz w:val="22"/>
          <w:szCs w:val="22"/>
        </w:rPr>
        <w:t xml:space="preserve"> </w:t>
      </w:r>
      <w:r>
        <w:rPr>
          <w:rFonts w:ascii="Arial" w:eastAsia="Arial" w:hAnsi="Arial" w:cs="Arial"/>
          <w:sz w:val="22"/>
          <w:szCs w:val="22"/>
        </w:rPr>
        <w:t>Účelem této servisní smlouvy je určení a definice závazku smluvních stran ve smyslu poskytování servisní podpory a souvisejících služeb (dále jen „servis nebo servisní podpora”). Zhotovitelem pro potřeby Objednatele ve vztahu k dílu, a to zejména časové        a věcné vymezení způsobu provádění servisních činností Zhotovitelem, stanovení předmětu a rozsahu servisních činností, určení ceny těchto činností a způsobu její úhrady v případech, na nichž se neuplatní práva z vad a záruky dle uvedené smlouvy o dílo</w:t>
      </w:r>
      <w:r>
        <w:rPr>
          <w:rFonts w:ascii="Arial" w:eastAsia="Arial" w:hAnsi="Arial" w:cs="Arial"/>
          <w:sz w:val="22"/>
          <w:szCs w:val="22"/>
        </w:rPr>
        <w:t>.</w:t>
      </w:r>
    </w:p>
    <w:p w14:paraId="5D71B48C"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2.2 Smluvní strany shodně prohlašují, že identifikační údaje uvedené ve smlouvě jsou v souladu s právní skutečností v době uzavření smlouvy.</w:t>
      </w:r>
    </w:p>
    <w:p w14:paraId="6E2838C5"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2.3. Zhotovitel prohlašuje, že je odborně způsobilý k zajištění předmětu smlouvy.</w:t>
      </w:r>
    </w:p>
    <w:p w14:paraId="1816DC93"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2.4. Zhotovitel a Objednatel se zavazují ke vzájemné součinnosti za účelem plnění předmětu smlouvy.</w:t>
      </w:r>
    </w:p>
    <w:p w14:paraId="4018A262" w14:textId="77777777" w:rsidR="00066654" w:rsidRDefault="00066654">
      <w:pPr>
        <w:pBdr>
          <w:top w:val="nil"/>
          <w:left w:val="nil"/>
          <w:bottom w:val="nil"/>
          <w:right w:val="nil"/>
          <w:between w:val="nil"/>
        </w:pBdr>
        <w:spacing w:before="280" w:after="280"/>
        <w:jc w:val="both"/>
        <w:rPr>
          <w:rFonts w:ascii="Arial" w:eastAsia="Arial" w:hAnsi="Arial" w:cs="Arial"/>
          <w:sz w:val="22"/>
          <w:szCs w:val="22"/>
        </w:rPr>
      </w:pPr>
    </w:p>
    <w:p w14:paraId="0C1A5F2C" w14:textId="77777777" w:rsidR="00066654" w:rsidRDefault="00541A8E">
      <w:pPr>
        <w:pBdr>
          <w:top w:val="nil"/>
          <w:left w:val="nil"/>
          <w:bottom w:val="nil"/>
          <w:right w:val="nil"/>
          <w:between w:val="nil"/>
        </w:pBdr>
        <w:spacing w:before="60" w:after="60"/>
        <w:jc w:val="center"/>
        <w:rPr>
          <w:rFonts w:ascii="Arial" w:eastAsia="Arial" w:hAnsi="Arial" w:cs="Arial"/>
          <w:color w:val="000000"/>
          <w:sz w:val="22"/>
          <w:szCs w:val="22"/>
        </w:rPr>
      </w:pPr>
      <w:r>
        <w:rPr>
          <w:rFonts w:ascii="Arial" w:eastAsia="Arial" w:hAnsi="Arial" w:cs="Arial"/>
          <w:b/>
          <w:color w:val="000000"/>
          <w:sz w:val="22"/>
          <w:szCs w:val="22"/>
        </w:rPr>
        <w:t>Článek 3</w:t>
      </w:r>
    </w:p>
    <w:p w14:paraId="6AC1DF18" w14:textId="77777777" w:rsidR="00066654" w:rsidRDefault="00541A8E">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 xml:space="preserve">Určení typu servisní podpory </w:t>
      </w:r>
    </w:p>
    <w:p w14:paraId="2A9879D5" w14:textId="77777777" w:rsidR="00066654" w:rsidRDefault="00541A8E">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 xml:space="preserve"> Objednatel se zavazuje </w:t>
      </w:r>
      <w:r>
        <w:rPr>
          <w:rFonts w:ascii="Arial" w:eastAsia="Arial" w:hAnsi="Arial" w:cs="Arial"/>
          <w:sz w:val="22"/>
          <w:szCs w:val="22"/>
        </w:rPr>
        <w:t>poskytnout</w:t>
      </w:r>
      <w:r>
        <w:rPr>
          <w:rFonts w:ascii="Arial" w:eastAsia="Arial" w:hAnsi="Arial" w:cs="Arial"/>
          <w:color w:val="000000"/>
          <w:sz w:val="22"/>
          <w:szCs w:val="22"/>
        </w:rPr>
        <w:t xml:space="preserve"> Zhotoviteli potřebné informace a podklady, které jsou nezbytné k</w:t>
      </w:r>
      <w:r>
        <w:rPr>
          <w:rFonts w:ascii="Arial" w:eastAsia="Arial" w:hAnsi="Arial" w:cs="Arial"/>
          <w:sz w:val="22"/>
          <w:szCs w:val="22"/>
        </w:rPr>
        <w:t> plnění předmětu smlouvy</w:t>
      </w:r>
      <w:r>
        <w:rPr>
          <w:rFonts w:ascii="Arial" w:eastAsia="Arial" w:hAnsi="Arial" w:cs="Arial"/>
          <w:color w:val="000000"/>
          <w:sz w:val="22"/>
          <w:szCs w:val="22"/>
        </w:rPr>
        <w:t>.</w:t>
      </w:r>
    </w:p>
    <w:p w14:paraId="36869940" w14:textId="77777777" w:rsidR="00066654" w:rsidRDefault="00541A8E">
      <w:pPr>
        <w:pBdr>
          <w:top w:val="nil"/>
          <w:left w:val="nil"/>
          <w:bottom w:val="nil"/>
          <w:right w:val="nil"/>
          <w:between w:val="nil"/>
        </w:pBdr>
        <w:spacing w:before="280"/>
        <w:jc w:val="both"/>
        <w:rPr>
          <w:rFonts w:ascii="Arial" w:eastAsia="Arial" w:hAnsi="Arial" w:cs="Arial"/>
          <w:sz w:val="22"/>
          <w:szCs w:val="22"/>
        </w:rPr>
      </w:pPr>
      <w:r>
        <w:rPr>
          <w:rFonts w:ascii="Arial" w:eastAsia="Arial" w:hAnsi="Arial" w:cs="Arial"/>
          <w:sz w:val="22"/>
          <w:szCs w:val="22"/>
        </w:rPr>
        <w:t>3.2 Servisní podpora a s ní související služby jsou specifikovány v příloze č.1 Vymezení servisní podpory a souvisejících služeb, která je nedílnou součástí této smlouvy.</w:t>
      </w:r>
    </w:p>
    <w:p w14:paraId="64B200EB"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color w:val="000000"/>
          <w:sz w:val="22"/>
          <w:szCs w:val="22"/>
        </w:rPr>
        <w:t>3.</w:t>
      </w:r>
      <w:r>
        <w:rPr>
          <w:rFonts w:ascii="Arial" w:eastAsia="Arial" w:hAnsi="Arial" w:cs="Arial"/>
          <w:sz w:val="22"/>
          <w:szCs w:val="22"/>
        </w:rPr>
        <w:t>3</w:t>
      </w:r>
      <w:r>
        <w:rPr>
          <w:rFonts w:ascii="Arial" w:eastAsia="Arial" w:hAnsi="Arial" w:cs="Arial"/>
          <w:color w:val="000000"/>
          <w:sz w:val="22"/>
          <w:szCs w:val="22"/>
        </w:rPr>
        <w:t xml:space="preserve"> </w:t>
      </w:r>
      <w:r>
        <w:rPr>
          <w:rFonts w:ascii="Arial" w:eastAsia="Arial" w:hAnsi="Arial" w:cs="Arial"/>
          <w:sz w:val="22"/>
          <w:szCs w:val="22"/>
        </w:rPr>
        <w:t>Zhotovitel zajistí, že veškeré vlastnosti díla, včetně jeho update, legislativního update, upgrade a legislativního upgrade budou po celou dobu účinnosti této smlouvy odpovídat vždy aktuálním obecně platným právním předpisům ČR a platným standardům informačních systémů veřejné správy.</w:t>
      </w:r>
    </w:p>
    <w:p w14:paraId="1BDA1AF4"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3.4 Zhotovitel zajistí v rámci běžného rozvoje jednotlivých modulů informačního systému Zhotovitele poskytnutí aktualizovaných verzí nejpozději do 1 měsíce po uvolnění Zhotovitelem nové verze k distribuci.</w:t>
      </w:r>
    </w:p>
    <w:p w14:paraId="1948C57B"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3.5 Technická podpora a servis zařízení HW a SW budou realizovány Zhotovitelem, případně prostřednictvím odpovídajícího servisního kanálu výrobce.</w:t>
      </w:r>
    </w:p>
    <w:p w14:paraId="17CCB410"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3.6 Technická podpora a servis budou realizovány v místě Objednatele. Výjimku tvoří činnosti realizované vzdáleným připojením Zhotovitele do prostředí Objednatele.</w:t>
      </w:r>
    </w:p>
    <w:p w14:paraId="23247C04"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3.7 Veškeré požadavky budou evidovány v systému servisní podpory Zhotovitele (Hot-Line).</w:t>
      </w:r>
    </w:p>
    <w:p w14:paraId="49B673C1" w14:textId="77777777" w:rsidR="00066654" w:rsidRDefault="00066654">
      <w:pPr>
        <w:pBdr>
          <w:top w:val="nil"/>
          <w:left w:val="nil"/>
          <w:bottom w:val="nil"/>
          <w:right w:val="nil"/>
          <w:between w:val="nil"/>
        </w:pBdr>
        <w:spacing w:before="280" w:after="280"/>
        <w:jc w:val="both"/>
        <w:rPr>
          <w:rFonts w:ascii="Arial" w:eastAsia="Arial" w:hAnsi="Arial" w:cs="Arial"/>
          <w:sz w:val="22"/>
          <w:szCs w:val="22"/>
        </w:rPr>
      </w:pPr>
    </w:p>
    <w:p w14:paraId="778385D5" w14:textId="77777777" w:rsidR="00066654" w:rsidRDefault="00066654">
      <w:pPr>
        <w:pBdr>
          <w:top w:val="nil"/>
          <w:left w:val="nil"/>
          <w:bottom w:val="nil"/>
          <w:right w:val="nil"/>
          <w:between w:val="nil"/>
        </w:pBdr>
        <w:spacing w:before="280" w:after="280"/>
        <w:jc w:val="both"/>
        <w:rPr>
          <w:rFonts w:ascii="Arial" w:eastAsia="Arial" w:hAnsi="Arial" w:cs="Arial"/>
          <w:sz w:val="22"/>
          <w:szCs w:val="22"/>
        </w:rPr>
      </w:pPr>
    </w:p>
    <w:p w14:paraId="0BB22A9A"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3.8 Služba Hot-Line umožní příjem požadavku na servisní zásah v českém jazyce na telefonním čísle: +420 593 033 348, v režimu 5x10 (10 hodin v pracovní dny) v době od 08:00 do 18:00 hod, příjem požadavku bude zajištěn lidskou obsluhou.</w:t>
      </w:r>
    </w:p>
    <w:p w14:paraId="4D1910EA"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3.9 Cena spotřebního materiálu a náhradních dílů není zahrnuta v ceně servisní podpory ani souvisejících služeb. Na vyřešení oprávněných požadavků, které souvisí s řešením v rámci záruční doby díla, se tento bod nevztahuje.</w:t>
      </w:r>
    </w:p>
    <w:p w14:paraId="55AAB8F9"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3.10 Náklady na dopravné a práce technika nebo programátora v hodinové sazbě nejsou v případě řešení záležitosti odpovídající záručním podmínkám zpoplatněny. V případě, že se jedná o zásah, řešení situací po záruční době, nejsou náklady na dopravné a práce technika v hodinové sazbě zahrnuty v servisním poplatku a jsou sjednány na základě cenové nabídky této smlouvy dle článku 4, odstavce 4.2 této smlouvy.</w:t>
      </w:r>
    </w:p>
    <w:p w14:paraId="11870BBD" w14:textId="77777777" w:rsidR="00066654" w:rsidRDefault="00541A8E">
      <w:pPr>
        <w:jc w:val="center"/>
        <w:rPr>
          <w:rFonts w:ascii="Arial" w:eastAsia="Arial" w:hAnsi="Arial" w:cs="Arial"/>
          <w:sz w:val="22"/>
          <w:szCs w:val="22"/>
        </w:rPr>
      </w:pPr>
      <w:r>
        <w:rPr>
          <w:rFonts w:ascii="Arial" w:eastAsia="Arial" w:hAnsi="Arial" w:cs="Arial"/>
          <w:b/>
          <w:sz w:val="22"/>
          <w:szCs w:val="22"/>
        </w:rPr>
        <w:t>Článek 4</w:t>
      </w:r>
    </w:p>
    <w:p w14:paraId="04DA1EFD" w14:textId="77777777" w:rsidR="00066654" w:rsidRDefault="00541A8E">
      <w:pPr>
        <w:jc w:val="center"/>
        <w:rPr>
          <w:rFonts w:ascii="Arial" w:eastAsia="Arial" w:hAnsi="Arial" w:cs="Arial"/>
          <w:b/>
          <w:sz w:val="22"/>
          <w:szCs w:val="22"/>
        </w:rPr>
      </w:pPr>
      <w:r>
        <w:rPr>
          <w:rFonts w:ascii="Arial" w:eastAsia="Arial" w:hAnsi="Arial" w:cs="Arial"/>
          <w:b/>
          <w:sz w:val="22"/>
          <w:szCs w:val="22"/>
        </w:rPr>
        <w:t>Profylaxe</w:t>
      </w:r>
    </w:p>
    <w:p w14:paraId="3EE394C5"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4.1 U Profylaxe HW se Zhotovitel zavazuje kompletně zkontrolovat elektronickou dotykovou tabuli především její funkčnost, vyčistit vnitřní prostor elektronické dotykové tabule a jejich komponentů vzduchem, vyměnit prachové filtry, provést preventivní kontrolu a funkční zkoušku elektronické dotykové tabule a všech jejích komponent. Profylaxe je prováděna v sídle Objednatele, kde je dílo  nainstalováno. </w:t>
      </w:r>
    </w:p>
    <w:p w14:paraId="3BCF20A2"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4.2 Termín provedení Profylaxe oznamuje Zhotovitel Objednateli e-mailem nejméně 7 dní předem. Po provedení Maintenance SW oznámí Dodavatel Objednateli důležité změny SW.</w:t>
      </w:r>
    </w:p>
    <w:p w14:paraId="1423C33E" w14:textId="77777777" w:rsidR="00066654" w:rsidRDefault="00541A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5</w:t>
      </w:r>
    </w:p>
    <w:p w14:paraId="3B05D393" w14:textId="77777777" w:rsidR="00066654" w:rsidRDefault="00541A8E">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Ceny</w:t>
      </w:r>
    </w:p>
    <w:p w14:paraId="69929520"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5</w:t>
      </w:r>
      <w:r>
        <w:rPr>
          <w:rFonts w:ascii="Arial" w:eastAsia="Arial" w:hAnsi="Arial" w:cs="Arial"/>
          <w:color w:val="000000"/>
          <w:sz w:val="22"/>
          <w:szCs w:val="22"/>
        </w:rPr>
        <w:t xml:space="preserve">.1 </w:t>
      </w:r>
      <w:r>
        <w:rPr>
          <w:rFonts w:ascii="Arial" w:eastAsia="Arial" w:hAnsi="Arial" w:cs="Arial"/>
          <w:sz w:val="22"/>
          <w:szCs w:val="22"/>
        </w:rPr>
        <w:t>Cena za měsíční poskytování servisní podpory a souvisejících služeb je uvedena            v příloze č.1 Ceník servisní podpory a souvisejících služeb, která je nedílnou součástí této smlouvy.</w:t>
      </w:r>
    </w:p>
    <w:p w14:paraId="376FEDF4"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5.2 Lhůta splatnosti faktury je do 14 kalendářních dnů ode dne jejího doručení Objednateli. Stejná lhůta splatnosti platí i při placení jiných plateb (oprav, smluvních pokut, úroků              z prodlení, náhrady škody apod.).</w:t>
      </w:r>
    </w:p>
    <w:p w14:paraId="5C0870BF"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5.3 Povinnost zaplatit cenu servisu a ostatní platby jsou splněny dnem odepsání příslušné částky z účtu Objednatele.</w:t>
      </w:r>
    </w:p>
    <w:p w14:paraId="4ADA37B0"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5.4 Počínaje druhým rokem může být cena za poskytování servisní podpory a souvisejících služeb dle této smlouvy automaticky navyšována o míru inflace vyjádřenou přírůstkem průměrného ročního indexu spotřebitelských cen (dále jen „inflační doložka“).</w:t>
      </w:r>
    </w:p>
    <w:p w14:paraId="30972EC9"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5.5 Faktura bude vystavena v souladu se zákonem č. 563/1991 Sb., o účetnictví, ve znění pozdějších předpisů, a bude obsahovat údaje v souladu s § 435 zákona č. 89/2012 Sb., </w:t>
      </w:r>
      <w:r>
        <w:rPr>
          <w:rFonts w:ascii="Arial" w:eastAsia="Arial" w:hAnsi="Arial" w:cs="Arial"/>
          <w:sz w:val="22"/>
          <w:szCs w:val="22"/>
        </w:rPr>
        <w:lastRenderedPageBreak/>
        <w:t xml:space="preserve">Občanského zákoníku, ve znění pozdějších předpisů a náležitosti daňového dokladu dle      § 29 zákona č. 235/2004 Sb., o dani z přidané hodnoty, ve znění pozdějších předpisů.  </w:t>
      </w:r>
    </w:p>
    <w:p w14:paraId="32EA9250" w14:textId="77777777" w:rsidR="00066654" w:rsidRDefault="00541A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6</w:t>
      </w:r>
    </w:p>
    <w:p w14:paraId="6BFBD0DD" w14:textId="77777777" w:rsidR="00066654" w:rsidRDefault="00541A8E">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 xml:space="preserve">Součinnost smluvních stran </w:t>
      </w:r>
    </w:p>
    <w:p w14:paraId="3688AB44"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6.1 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w:t>
      </w:r>
    </w:p>
    <w:p w14:paraId="341F28A5"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6.2 Zhotovitel se zavazuje vytvořit ze své strany podmínky směřující k minimalizaci případných škod na technickém vybavení Objednatele vzniklých v souvislosti s prováděním servisních zásahů, které může ovlivnit výhradně Objednatel.</w:t>
      </w:r>
    </w:p>
    <w:p w14:paraId="2A670CB9"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6.3 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4E5FD352"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6.4 Objednatel zajistí, aby ze strany Objednatele nebyly Zhotoviteli činěny překážky pro poskytování servisní podpory.</w:t>
      </w:r>
    </w:p>
    <w:p w14:paraId="4D3AE0E2"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6.6 Objednatel 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w:t>
      </w:r>
    </w:p>
    <w:p w14:paraId="66D20DC0"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6.7 Zhotovitel je povinen nastoupit na servisní zásah do 48 hodin v pracovní dny a do 72 hodin mimo pracovní dny po obdržení oficiálního oznámení od Objednatele o vzniku reklamované vady. Vady díla mohou být ohlášeny jedním z těchto prostředků:</w:t>
      </w:r>
    </w:p>
    <w:p w14:paraId="23665BD0" w14:textId="77777777" w:rsidR="00066654" w:rsidRDefault="00541A8E">
      <w:pPr>
        <w:spacing w:before="120" w:after="120"/>
        <w:jc w:val="both"/>
        <w:rPr>
          <w:rFonts w:ascii="Arial" w:eastAsia="Arial" w:hAnsi="Arial" w:cs="Arial"/>
          <w:sz w:val="22"/>
          <w:szCs w:val="22"/>
        </w:rPr>
      </w:pPr>
      <w:r>
        <w:rPr>
          <w:rFonts w:ascii="Arial" w:eastAsia="Arial" w:hAnsi="Arial" w:cs="Arial"/>
          <w:sz w:val="22"/>
          <w:szCs w:val="22"/>
        </w:rPr>
        <w:t>a/ na telefonickém kontaktu</w:t>
      </w:r>
      <w:r>
        <w:rPr>
          <w:rFonts w:ascii="Arial" w:eastAsia="Arial" w:hAnsi="Arial" w:cs="Arial"/>
          <w:sz w:val="22"/>
          <w:szCs w:val="22"/>
        </w:rPr>
        <w:tab/>
        <w:t>: + 420 593 033 348, + 420 773 710 527</w:t>
      </w:r>
    </w:p>
    <w:p w14:paraId="28DD04F8" w14:textId="77777777" w:rsidR="00066654" w:rsidRDefault="00541A8E">
      <w:pPr>
        <w:spacing w:before="120" w:after="120"/>
        <w:jc w:val="both"/>
        <w:rPr>
          <w:rFonts w:ascii="Arial" w:eastAsia="Arial" w:hAnsi="Arial" w:cs="Arial"/>
          <w:sz w:val="22"/>
          <w:szCs w:val="22"/>
        </w:rPr>
      </w:pPr>
      <w:r>
        <w:rPr>
          <w:rFonts w:ascii="Arial" w:eastAsia="Arial" w:hAnsi="Arial" w:cs="Arial"/>
          <w:sz w:val="22"/>
          <w:szCs w:val="22"/>
        </w:rPr>
        <w:t>b/ na e-mailové adrese</w:t>
      </w:r>
      <w:r>
        <w:rPr>
          <w:rFonts w:ascii="Arial" w:eastAsia="Arial" w:hAnsi="Arial" w:cs="Arial"/>
          <w:sz w:val="22"/>
          <w:szCs w:val="22"/>
        </w:rPr>
        <w:tab/>
        <w:t xml:space="preserve">: </w:t>
      </w:r>
      <w:hyperlink r:id="rId8">
        <w:r>
          <w:rPr>
            <w:rFonts w:ascii="Arial" w:eastAsia="Arial" w:hAnsi="Arial" w:cs="Arial"/>
            <w:color w:val="1155CC"/>
            <w:sz w:val="22"/>
            <w:szCs w:val="22"/>
            <w:u w:val="single"/>
          </w:rPr>
          <w:t>reklamace@digiday.cz</w:t>
        </w:r>
      </w:hyperlink>
    </w:p>
    <w:p w14:paraId="42145FBB" w14:textId="77777777" w:rsidR="00066654" w:rsidRDefault="00541A8E">
      <w:pPr>
        <w:spacing w:before="120" w:after="120"/>
        <w:jc w:val="both"/>
        <w:rPr>
          <w:rFonts w:ascii="Arial" w:eastAsia="Arial" w:hAnsi="Arial" w:cs="Arial"/>
          <w:sz w:val="22"/>
          <w:szCs w:val="22"/>
        </w:rPr>
      </w:pPr>
      <w:r>
        <w:rPr>
          <w:rFonts w:ascii="Arial" w:eastAsia="Arial" w:hAnsi="Arial" w:cs="Arial"/>
          <w:sz w:val="22"/>
          <w:szCs w:val="22"/>
        </w:rPr>
        <w:t>c/ na adrese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1. máje 481/16, Mariánské Hory a Hulváky, 709 00 Ostrava</w:t>
      </w:r>
    </w:p>
    <w:p w14:paraId="22A96745" w14:textId="77777777" w:rsidR="00066654" w:rsidRDefault="00066654">
      <w:pPr>
        <w:spacing w:before="120" w:after="120"/>
        <w:jc w:val="both"/>
        <w:rPr>
          <w:rFonts w:ascii="Arial" w:eastAsia="Arial" w:hAnsi="Arial" w:cs="Arial"/>
          <w:sz w:val="22"/>
          <w:szCs w:val="22"/>
        </w:rPr>
      </w:pPr>
    </w:p>
    <w:p w14:paraId="57EB8FD7" w14:textId="77777777" w:rsidR="00066654" w:rsidRDefault="00541A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7</w:t>
      </w:r>
    </w:p>
    <w:p w14:paraId="02FA19C7" w14:textId="77777777" w:rsidR="00066654" w:rsidRDefault="00541A8E">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 xml:space="preserve">Sankční a další ujednání </w:t>
      </w:r>
    </w:p>
    <w:p w14:paraId="4FBBA5A2"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7.1 Zhotovitel se zavazuje upozornit včas a bez zbytečných odkladů informovat pověřenou osobu Objednatele o všech zjištěných skutečnostech, které mají vliv na činnost prováděnou Zhotovitelem nebo které znemožňují řádné plnění činnosti Zhotovitele.</w:t>
      </w:r>
    </w:p>
    <w:p w14:paraId="6CCE167C"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7.2 V případě nedodržení jakéhokoliv dohodnutého termínu Zhotovitelem k jednotlivému případu se smluvní strany dohodly na smluvní pokutě 0,02 % z ceny díla za každý započatý den prodlení.</w:t>
      </w:r>
    </w:p>
    <w:p w14:paraId="394193B3"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lastRenderedPageBreak/>
        <w:t>7.3 V případě, že Objednatel neumožní pracovníkům servisního pracoviště Zhotovitele zahájit servisní zásah v předem dohodnutém termínu, zaniká právo Objednatele na smluvní pokutu podle odst. 7.2 výše.</w:t>
      </w:r>
    </w:p>
    <w:p w14:paraId="23CC0F39"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 xml:space="preserve">7.4 V případě bude-li objednatel v prodlení s úhradou svých peněžitých závazků, činí úrok z prodlení 0,02 % z dlužné částky za každý den prodlení. V případě prodlení s úhradou peněžitých závazků, může být objednatel vyzván k neprodlenému zaplacení. </w:t>
      </w:r>
    </w:p>
    <w:p w14:paraId="6670C556" w14:textId="77777777" w:rsidR="00066654" w:rsidRDefault="00541A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8</w:t>
      </w:r>
    </w:p>
    <w:p w14:paraId="0F4F66F6" w14:textId="77777777" w:rsidR="00066654" w:rsidRDefault="00541A8E">
      <w:pPr>
        <w:pBdr>
          <w:top w:val="nil"/>
          <w:left w:val="nil"/>
          <w:bottom w:val="nil"/>
          <w:right w:val="nil"/>
          <w:between w:val="nil"/>
        </w:pBdr>
        <w:jc w:val="center"/>
        <w:rPr>
          <w:rFonts w:ascii="Arial" w:eastAsia="Arial" w:hAnsi="Arial" w:cs="Arial"/>
          <w:sz w:val="22"/>
          <w:szCs w:val="22"/>
        </w:rPr>
      </w:pPr>
      <w:r>
        <w:rPr>
          <w:rFonts w:ascii="Arial" w:eastAsia="Arial" w:hAnsi="Arial" w:cs="Arial"/>
          <w:b/>
          <w:sz w:val="22"/>
          <w:szCs w:val="22"/>
        </w:rPr>
        <w:t xml:space="preserve">Závěrečná ustanovení </w:t>
      </w:r>
    </w:p>
    <w:p w14:paraId="742DA25D"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8.1 Změnit nebo doplnit tuto smlouvu lze jen formou písemných dodatků, které budou vzestupně číslovány, výslovně prohlášeny za dodatek této smlouvy a podepsány oprávněnými zástupci obou smluvních stran.</w:t>
      </w:r>
    </w:p>
    <w:p w14:paraId="15BAB011"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8.2 Sdělení budou zasílána na adresy pro korespondenci uvedené v článku 1 této smlouvy elektronickou poštou v souladu s platnou legislativou. Objednatel a Zhotovitel mohou běžné záležitosti, které nemají charakter oficiálního sdělení např. vyjasňování stanovisek, výměnu názorů apod. vyřizovat telefonicky.</w:t>
      </w:r>
    </w:p>
    <w:p w14:paraId="36012D68"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r>
        <w:rPr>
          <w:rFonts w:ascii="Arial" w:eastAsia="Arial" w:hAnsi="Arial" w:cs="Arial"/>
          <w:sz w:val="22"/>
          <w:szCs w:val="22"/>
        </w:rPr>
        <w:t>8.3 Tato smlouva je vyhotovena v českém jazyce ve dvou stejnopisech s platností originálu. Zhotovitel obdrží jeden stejnopis a Objednatel jeden stejnopis.</w:t>
      </w:r>
    </w:p>
    <w:p w14:paraId="6637AF38" w14:textId="77777777" w:rsidR="00066654" w:rsidRDefault="00541A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9</w:t>
      </w:r>
    </w:p>
    <w:p w14:paraId="0149D947" w14:textId="77777777" w:rsidR="00066654" w:rsidRDefault="00541A8E">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sz w:val="22"/>
          <w:szCs w:val="22"/>
        </w:rPr>
        <w:t xml:space="preserve">Platnost a účinnost smlouvy </w:t>
      </w:r>
    </w:p>
    <w:p w14:paraId="09213BC8" w14:textId="77777777" w:rsidR="00066654" w:rsidRDefault="00541A8E">
      <w:pPr>
        <w:pBdr>
          <w:top w:val="nil"/>
          <w:left w:val="nil"/>
          <w:bottom w:val="nil"/>
          <w:right w:val="nil"/>
          <w:between w:val="nil"/>
        </w:pBdr>
        <w:spacing w:before="280" w:after="280"/>
        <w:jc w:val="both"/>
        <w:rPr>
          <w:rFonts w:ascii="Arial" w:eastAsia="Arial" w:hAnsi="Arial" w:cs="Arial"/>
          <w:sz w:val="22"/>
          <w:szCs w:val="22"/>
        </w:rPr>
      </w:pPr>
      <w:bookmarkStart w:id="1" w:name="_heading=h.1fob9te" w:colFirst="0" w:colLast="0"/>
      <w:bookmarkEnd w:id="1"/>
      <w:r>
        <w:rPr>
          <w:rFonts w:ascii="Arial" w:eastAsia="Arial" w:hAnsi="Arial" w:cs="Arial"/>
          <w:sz w:val="22"/>
          <w:szCs w:val="22"/>
        </w:rPr>
        <w:t>9.1 Smlouva nabývá platnosti dnem jejího podpisu oprávněnými zástupci obou smluvních stran.</w:t>
      </w:r>
    </w:p>
    <w:tbl>
      <w:tblPr>
        <w:tblStyle w:val="affffff"/>
        <w:tblW w:w="9287" w:type="dxa"/>
        <w:tblInd w:w="-108" w:type="dxa"/>
        <w:tblLayout w:type="fixed"/>
        <w:tblLook w:val="0000" w:firstRow="0" w:lastRow="0" w:firstColumn="0" w:lastColumn="0" w:noHBand="0" w:noVBand="0"/>
      </w:tblPr>
      <w:tblGrid>
        <w:gridCol w:w="4643"/>
        <w:gridCol w:w="4644"/>
      </w:tblGrid>
      <w:tr w:rsidR="00066654" w14:paraId="0B9E69B2" w14:textId="77777777">
        <w:tc>
          <w:tcPr>
            <w:tcW w:w="4643" w:type="dxa"/>
          </w:tcPr>
          <w:p w14:paraId="5AFF29F8" w14:textId="26AF68AD" w:rsidR="00066654" w:rsidRDefault="00541A8E">
            <w:pPr>
              <w:spacing w:before="60" w:after="60"/>
              <w:rPr>
                <w:rFonts w:ascii="Arial" w:eastAsia="Arial" w:hAnsi="Arial" w:cs="Arial"/>
                <w:sz w:val="22"/>
                <w:szCs w:val="22"/>
              </w:rPr>
            </w:pPr>
            <w:r>
              <w:rPr>
                <w:rFonts w:ascii="Arial" w:eastAsia="Arial" w:hAnsi="Arial" w:cs="Arial"/>
                <w:sz w:val="22"/>
                <w:szCs w:val="22"/>
              </w:rPr>
              <w:t>V Holešově</w:t>
            </w:r>
            <w:r>
              <w:rPr>
                <w:rFonts w:ascii="Arial" w:eastAsia="Arial" w:hAnsi="Arial" w:cs="Arial"/>
                <w:color w:val="FF0000"/>
                <w:sz w:val="22"/>
                <w:szCs w:val="22"/>
              </w:rPr>
              <w:t xml:space="preserve"> </w:t>
            </w:r>
            <w:r>
              <w:rPr>
                <w:rFonts w:ascii="Arial" w:eastAsia="Arial" w:hAnsi="Arial" w:cs="Arial"/>
                <w:sz w:val="22"/>
                <w:szCs w:val="22"/>
              </w:rPr>
              <w:t>dne:</w:t>
            </w:r>
            <w:r w:rsidR="00367291">
              <w:rPr>
                <w:rFonts w:ascii="Arial" w:eastAsia="Arial" w:hAnsi="Arial" w:cs="Arial"/>
                <w:sz w:val="22"/>
                <w:szCs w:val="22"/>
              </w:rPr>
              <w:t xml:space="preserve"> 28.11.2025</w:t>
            </w:r>
          </w:p>
        </w:tc>
        <w:tc>
          <w:tcPr>
            <w:tcW w:w="4644" w:type="dxa"/>
          </w:tcPr>
          <w:p w14:paraId="09F9EAEC" w14:textId="0BDBC493" w:rsidR="00066654" w:rsidRDefault="00541A8E">
            <w:pPr>
              <w:pBdr>
                <w:top w:val="nil"/>
                <w:left w:val="nil"/>
                <w:bottom w:val="nil"/>
                <w:right w:val="nil"/>
                <w:between w:val="nil"/>
              </w:pBdr>
              <w:spacing w:before="60" w:after="60"/>
              <w:rPr>
                <w:rFonts w:ascii="Arial" w:eastAsia="Arial" w:hAnsi="Arial" w:cs="Arial"/>
                <w:sz w:val="22"/>
                <w:szCs w:val="22"/>
              </w:rPr>
            </w:pPr>
            <w:r>
              <w:rPr>
                <w:rFonts w:ascii="Arial" w:eastAsia="Arial" w:hAnsi="Arial" w:cs="Arial"/>
                <w:color w:val="000000"/>
                <w:sz w:val="22"/>
                <w:szCs w:val="22"/>
              </w:rPr>
              <w:t>V</w:t>
            </w:r>
            <w:r>
              <w:rPr>
                <w:rFonts w:ascii="Arial" w:eastAsia="Arial" w:hAnsi="Arial" w:cs="Arial"/>
                <w:sz w:val="22"/>
                <w:szCs w:val="22"/>
              </w:rPr>
              <w:t xml:space="preserve"> Ostravě dne: </w:t>
            </w:r>
            <w:r w:rsidR="00367291">
              <w:rPr>
                <w:rFonts w:ascii="Arial" w:eastAsia="Arial" w:hAnsi="Arial" w:cs="Arial"/>
                <w:sz w:val="22"/>
                <w:szCs w:val="22"/>
              </w:rPr>
              <w:t>15.9.2025</w:t>
            </w:r>
          </w:p>
          <w:p w14:paraId="53B61708" w14:textId="77777777" w:rsidR="00066654" w:rsidRDefault="00066654">
            <w:pPr>
              <w:pBdr>
                <w:top w:val="nil"/>
                <w:left w:val="nil"/>
                <w:bottom w:val="nil"/>
                <w:right w:val="nil"/>
                <w:between w:val="nil"/>
              </w:pBdr>
              <w:spacing w:before="60" w:after="60"/>
              <w:rPr>
                <w:rFonts w:ascii="Arial" w:eastAsia="Arial" w:hAnsi="Arial" w:cs="Arial"/>
                <w:sz w:val="22"/>
                <w:szCs w:val="22"/>
              </w:rPr>
            </w:pPr>
          </w:p>
        </w:tc>
      </w:tr>
      <w:tr w:rsidR="00066654" w14:paraId="1D7F9F9B" w14:textId="77777777">
        <w:tc>
          <w:tcPr>
            <w:tcW w:w="4643" w:type="dxa"/>
          </w:tcPr>
          <w:p w14:paraId="574998B2" w14:textId="77777777" w:rsidR="00066654" w:rsidRDefault="00066654">
            <w:pPr>
              <w:pBdr>
                <w:top w:val="nil"/>
                <w:left w:val="nil"/>
                <w:bottom w:val="nil"/>
                <w:right w:val="nil"/>
                <w:between w:val="nil"/>
              </w:pBdr>
              <w:spacing w:before="60" w:after="60"/>
              <w:rPr>
                <w:rFonts w:ascii="Arial" w:eastAsia="Arial" w:hAnsi="Arial" w:cs="Arial"/>
                <w:sz w:val="22"/>
                <w:szCs w:val="22"/>
              </w:rPr>
            </w:pPr>
          </w:p>
        </w:tc>
        <w:tc>
          <w:tcPr>
            <w:tcW w:w="4644" w:type="dxa"/>
          </w:tcPr>
          <w:p w14:paraId="3D73C5FF" w14:textId="77777777" w:rsidR="00066654" w:rsidRDefault="00066654">
            <w:pPr>
              <w:pBdr>
                <w:top w:val="nil"/>
                <w:left w:val="nil"/>
                <w:bottom w:val="nil"/>
                <w:right w:val="nil"/>
                <w:between w:val="nil"/>
              </w:pBdr>
              <w:spacing w:before="60" w:after="60"/>
              <w:rPr>
                <w:rFonts w:ascii="Arial" w:eastAsia="Arial" w:hAnsi="Arial" w:cs="Arial"/>
                <w:color w:val="000000"/>
                <w:sz w:val="22"/>
                <w:szCs w:val="22"/>
              </w:rPr>
            </w:pPr>
          </w:p>
        </w:tc>
      </w:tr>
      <w:tr w:rsidR="00066654" w14:paraId="1CECDDEB" w14:textId="77777777">
        <w:tc>
          <w:tcPr>
            <w:tcW w:w="4643" w:type="dxa"/>
          </w:tcPr>
          <w:p w14:paraId="441ABA3A" w14:textId="77777777" w:rsidR="00066654" w:rsidRDefault="00541A8E">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sz w:val="22"/>
                <w:szCs w:val="22"/>
              </w:rPr>
              <w:t>…………</w:t>
            </w:r>
            <w:r>
              <w:rPr>
                <w:rFonts w:ascii="Arial" w:eastAsia="Arial" w:hAnsi="Arial" w:cs="Arial"/>
                <w:color w:val="000000"/>
                <w:sz w:val="22"/>
                <w:szCs w:val="22"/>
              </w:rPr>
              <w:t>...……</w:t>
            </w:r>
          </w:p>
        </w:tc>
        <w:tc>
          <w:tcPr>
            <w:tcW w:w="4644" w:type="dxa"/>
          </w:tcPr>
          <w:p w14:paraId="50671065" w14:textId="77777777" w:rsidR="00066654" w:rsidRDefault="00541A8E">
            <w:pPr>
              <w:spacing w:after="60"/>
              <w:rPr>
                <w:rFonts w:ascii="Arial" w:eastAsia="Arial" w:hAnsi="Arial" w:cs="Arial"/>
                <w:color w:val="000000"/>
                <w:sz w:val="22"/>
                <w:szCs w:val="22"/>
              </w:rPr>
            </w:pPr>
            <w:r>
              <w:rPr>
                <w:rFonts w:ascii="Arial" w:eastAsia="Arial" w:hAnsi="Arial" w:cs="Arial"/>
                <w:sz w:val="22"/>
                <w:szCs w:val="22"/>
              </w:rPr>
              <w:t>……………………………...……</w:t>
            </w:r>
          </w:p>
        </w:tc>
      </w:tr>
      <w:tr w:rsidR="00066654" w14:paraId="57D8294C" w14:textId="77777777">
        <w:tc>
          <w:tcPr>
            <w:tcW w:w="4643" w:type="dxa"/>
          </w:tcPr>
          <w:p w14:paraId="460A3113" w14:textId="77777777" w:rsidR="00066654" w:rsidRDefault="00541A8E">
            <w:pPr>
              <w:pBdr>
                <w:top w:val="nil"/>
                <w:left w:val="nil"/>
                <w:bottom w:val="nil"/>
                <w:right w:val="nil"/>
                <w:between w:val="nil"/>
              </w:pBdr>
              <w:spacing w:before="60" w:after="60"/>
              <w:ind w:left="709"/>
              <w:rPr>
                <w:rFonts w:ascii="Arial" w:eastAsia="Arial" w:hAnsi="Arial" w:cs="Arial"/>
                <w:sz w:val="22"/>
                <w:szCs w:val="22"/>
              </w:rPr>
            </w:pPr>
            <w:r>
              <w:rPr>
                <w:rFonts w:ascii="Arial" w:eastAsia="Arial" w:hAnsi="Arial" w:cs="Arial"/>
                <w:color w:val="000000"/>
                <w:sz w:val="22"/>
                <w:szCs w:val="22"/>
              </w:rPr>
              <w:t>za Objednatele</w:t>
            </w:r>
          </w:p>
        </w:tc>
        <w:tc>
          <w:tcPr>
            <w:tcW w:w="4644" w:type="dxa"/>
          </w:tcPr>
          <w:p w14:paraId="1009824B" w14:textId="77777777" w:rsidR="00066654" w:rsidRDefault="00541A8E">
            <w:pPr>
              <w:pBdr>
                <w:top w:val="nil"/>
                <w:left w:val="nil"/>
                <w:bottom w:val="nil"/>
                <w:right w:val="nil"/>
                <w:between w:val="nil"/>
              </w:pBdr>
              <w:spacing w:before="60" w:after="60"/>
              <w:ind w:left="632"/>
              <w:rPr>
                <w:rFonts w:ascii="Arial" w:eastAsia="Arial" w:hAnsi="Arial" w:cs="Arial"/>
                <w:sz w:val="22"/>
                <w:szCs w:val="22"/>
              </w:rPr>
            </w:pPr>
            <w:r>
              <w:rPr>
                <w:rFonts w:ascii="Arial" w:eastAsia="Arial" w:hAnsi="Arial" w:cs="Arial"/>
                <w:color w:val="000000"/>
                <w:sz w:val="22"/>
                <w:szCs w:val="22"/>
              </w:rPr>
              <w:t>za Zhotovitele</w:t>
            </w:r>
          </w:p>
        </w:tc>
      </w:tr>
    </w:tbl>
    <w:p w14:paraId="1AB52F57" w14:textId="77777777" w:rsidR="00066654" w:rsidRDefault="00541A8E">
      <w:pPr>
        <w:spacing w:before="240" w:after="240" w:line="360" w:lineRule="auto"/>
        <w:jc w:val="both"/>
        <w:rPr>
          <w:rFonts w:ascii="Arial" w:eastAsia="Arial" w:hAnsi="Arial" w:cs="Arial"/>
          <w:color w:val="222222"/>
          <w:sz w:val="22"/>
          <w:szCs w:val="22"/>
        </w:rPr>
      </w:pPr>
      <w:r>
        <w:br w:type="page"/>
      </w:r>
    </w:p>
    <w:p w14:paraId="33E5D135" w14:textId="77777777" w:rsidR="00066654" w:rsidRDefault="00066654">
      <w:pPr>
        <w:tabs>
          <w:tab w:val="left" w:pos="5670"/>
        </w:tabs>
        <w:rPr>
          <w:rFonts w:ascii="Arial" w:eastAsia="Arial" w:hAnsi="Arial" w:cs="Arial"/>
          <w:b/>
          <w:sz w:val="22"/>
          <w:szCs w:val="22"/>
        </w:rPr>
      </w:pPr>
    </w:p>
    <w:p w14:paraId="1297A55D" w14:textId="77777777" w:rsidR="00066654" w:rsidRDefault="00541A8E">
      <w:pPr>
        <w:tabs>
          <w:tab w:val="left" w:pos="5670"/>
        </w:tabs>
        <w:jc w:val="center"/>
        <w:rPr>
          <w:rFonts w:ascii="Arial" w:eastAsia="Arial" w:hAnsi="Arial" w:cs="Arial"/>
          <w:b/>
          <w:sz w:val="22"/>
          <w:szCs w:val="22"/>
        </w:rPr>
      </w:pPr>
      <w:r>
        <w:rPr>
          <w:rFonts w:ascii="Arial" w:eastAsia="Arial" w:hAnsi="Arial" w:cs="Arial"/>
          <w:b/>
          <w:sz w:val="22"/>
          <w:szCs w:val="22"/>
        </w:rPr>
        <w:t xml:space="preserve">Příloha č.1 </w:t>
      </w:r>
    </w:p>
    <w:p w14:paraId="5EAFA2B8" w14:textId="77777777" w:rsidR="00066654" w:rsidRDefault="00541A8E">
      <w:pPr>
        <w:tabs>
          <w:tab w:val="left" w:pos="5670"/>
        </w:tabs>
        <w:jc w:val="center"/>
        <w:rPr>
          <w:rFonts w:ascii="Arial" w:eastAsia="Arial" w:hAnsi="Arial" w:cs="Arial"/>
          <w:b/>
          <w:sz w:val="22"/>
          <w:szCs w:val="22"/>
        </w:rPr>
      </w:pPr>
      <w:r>
        <w:rPr>
          <w:rFonts w:ascii="Arial" w:eastAsia="Arial" w:hAnsi="Arial" w:cs="Arial"/>
          <w:b/>
          <w:sz w:val="22"/>
          <w:szCs w:val="22"/>
        </w:rPr>
        <w:t xml:space="preserve">Vymezení servisní podpory a souvisejících služeb </w:t>
      </w:r>
    </w:p>
    <w:p w14:paraId="1302670E" w14:textId="77777777" w:rsidR="00066654" w:rsidRDefault="00066654">
      <w:pPr>
        <w:spacing w:before="120" w:after="120"/>
        <w:jc w:val="both"/>
        <w:rPr>
          <w:rFonts w:ascii="Arial" w:eastAsia="Arial" w:hAnsi="Arial" w:cs="Arial"/>
          <w:b/>
          <w:sz w:val="22"/>
          <w:szCs w:val="22"/>
        </w:rPr>
      </w:pPr>
    </w:p>
    <w:p w14:paraId="5E384160" w14:textId="77777777" w:rsidR="00066654" w:rsidRDefault="00541A8E">
      <w:pPr>
        <w:spacing w:before="120" w:after="120"/>
        <w:jc w:val="both"/>
        <w:rPr>
          <w:rFonts w:ascii="Arial" w:eastAsia="Arial" w:hAnsi="Arial" w:cs="Arial"/>
          <w:b/>
          <w:sz w:val="22"/>
          <w:szCs w:val="22"/>
        </w:rPr>
      </w:pPr>
      <w:r>
        <w:rPr>
          <w:rFonts w:ascii="Arial" w:eastAsia="Arial" w:hAnsi="Arial" w:cs="Arial"/>
          <w:b/>
          <w:sz w:val="22"/>
          <w:szCs w:val="22"/>
        </w:rPr>
        <w:t xml:space="preserve">1.1 Servisní podpora zahrnuje: </w:t>
      </w:r>
    </w:p>
    <w:p w14:paraId="2F30F00B" w14:textId="77777777" w:rsidR="00066654" w:rsidRDefault="00541A8E">
      <w:pPr>
        <w:numPr>
          <w:ilvl w:val="0"/>
          <w:numId w:val="1"/>
        </w:numPr>
        <w:spacing w:before="120" w:after="120"/>
        <w:ind w:left="714" w:hanging="357"/>
        <w:rPr>
          <w:rFonts w:ascii="Arial" w:eastAsia="Arial" w:hAnsi="Arial" w:cs="Arial"/>
          <w:sz w:val="22"/>
          <w:szCs w:val="22"/>
        </w:rPr>
      </w:pPr>
      <w:r>
        <w:rPr>
          <w:rFonts w:ascii="Arial" w:eastAsia="Arial" w:hAnsi="Arial" w:cs="Arial"/>
          <w:sz w:val="22"/>
          <w:szCs w:val="22"/>
        </w:rPr>
        <w:t xml:space="preserve">Monitoring online stavu zařízení 24/7 </w:t>
      </w:r>
    </w:p>
    <w:p w14:paraId="0375AC9E" w14:textId="77777777" w:rsidR="00066654" w:rsidRDefault="00541A8E">
      <w:pPr>
        <w:numPr>
          <w:ilvl w:val="0"/>
          <w:numId w:val="1"/>
        </w:numPr>
        <w:spacing w:before="120" w:after="120"/>
        <w:ind w:left="714" w:hanging="357"/>
        <w:rPr>
          <w:rFonts w:ascii="Arial" w:eastAsia="Arial" w:hAnsi="Arial" w:cs="Arial"/>
          <w:sz w:val="22"/>
          <w:szCs w:val="22"/>
        </w:rPr>
      </w:pPr>
      <w:r>
        <w:rPr>
          <w:rFonts w:ascii="Arial" w:eastAsia="Arial" w:hAnsi="Arial" w:cs="Arial"/>
          <w:sz w:val="22"/>
          <w:szCs w:val="22"/>
        </w:rPr>
        <w:t xml:space="preserve">Monitoring reálného stavu a zobrazení LEDWARU </w:t>
      </w:r>
    </w:p>
    <w:p w14:paraId="546BDBF9" w14:textId="77777777" w:rsidR="00066654" w:rsidRDefault="00541A8E">
      <w:pPr>
        <w:numPr>
          <w:ilvl w:val="0"/>
          <w:numId w:val="1"/>
        </w:numPr>
        <w:spacing w:before="120" w:after="120"/>
        <w:ind w:left="714" w:hanging="357"/>
        <w:rPr>
          <w:rFonts w:ascii="Arial" w:eastAsia="Arial" w:hAnsi="Arial" w:cs="Arial"/>
          <w:sz w:val="22"/>
          <w:szCs w:val="22"/>
        </w:rPr>
      </w:pPr>
      <w:r>
        <w:rPr>
          <w:rFonts w:ascii="Arial" w:eastAsia="Arial" w:hAnsi="Arial" w:cs="Arial"/>
          <w:sz w:val="22"/>
          <w:szCs w:val="22"/>
        </w:rPr>
        <w:t xml:space="preserve">Maintenance SW - vzdálený obrazový dohled v reálném čase </w:t>
      </w:r>
    </w:p>
    <w:p w14:paraId="48E2D099" w14:textId="77777777" w:rsidR="00066654" w:rsidRDefault="00541A8E">
      <w:pPr>
        <w:numPr>
          <w:ilvl w:val="0"/>
          <w:numId w:val="1"/>
        </w:numPr>
        <w:spacing w:before="120" w:after="120"/>
        <w:ind w:left="714" w:hanging="357"/>
        <w:rPr>
          <w:rFonts w:ascii="Arial" w:eastAsia="Arial" w:hAnsi="Arial" w:cs="Arial"/>
          <w:sz w:val="22"/>
          <w:szCs w:val="22"/>
        </w:rPr>
      </w:pPr>
      <w:r>
        <w:rPr>
          <w:rFonts w:ascii="Arial" w:eastAsia="Arial" w:hAnsi="Arial" w:cs="Arial"/>
          <w:sz w:val="22"/>
          <w:szCs w:val="22"/>
        </w:rPr>
        <w:t xml:space="preserve">Aktualizace a údržba LEDWARE v souladu s platnou legislativou </w:t>
      </w:r>
    </w:p>
    <w:p w14:paraId="40696210" w14:textId="77777777" w:rsidR="00066654" w:rsidRDefault="00541A8E">
      <w:pPr>
        <w:numPr>
          <w:ilvl w:val="0"/>
          <w:numId w:val="1"/>
        </w:numPr>
        <w:spacing w:before="120" w:after="120"/>
        <w:ind w:left="714" w:hanging="357"/>
        <w:rPr>
          <w:rFonts w:ascii="Arial" w:eastAsia="Arial" w:hAnsi="Arial" w:cs="Arial"/>
          <w:sz w:val="22"/>
          <w:szCs w:val="22"/>
        </w:rPr>
      </w:pPr>
      <w:r>
        <w:rPr>
          <w:rFonts w:ascii="Arial" w:eastAsia="Arial" w:hAnsi="Arial" w:cs="Arial"/>
          <w:sz w:val="22"/>
          <w:szCs w:val="22"/>
        </w:rPr>
        <w:t xml:space="preserve">Neomezená technická podpora na telefonu každý pracovní den od 8:00 do 18:00 hod. </w:t>
      </w:r>
    </w:p>
    <w:p w14:paraId="25E3C98B" w14:textId="77777777" w:rsidR="00066654" w:rsidRDefault="00541A8E">
      <w:pPr>
        <w:numPr>
          <w:ilvl w:val="0"/>
          <w:numId w:val="1"/>
        </w:numPr>
        <w:spacing w:before="120" w:after="120"/>
        <w:ind w:left="714" w:hanging="357"/>
        <w:rPr>
          <w:rFonts w:ascii="Arial" w:eastAsia="Arial" w:hAnsi="Arial" w:cs="Arial"/>
          <w:sz w:val="22"/>
          <w:szCs w:val="22"/>
        </w:rPr>
      </w:pPr>
      <w:r>
        <w:rPr>
          <w:rFonts w:ascii="Arial" w:eastAsia="Arial" w:hAnsi="Arial" w:cs="Arial"/>
          <w:sz w:val="22"/>
          <w:szCs w:val="22"/>
        </w:rPr>
        <w:t>Vzdálená správa zařízení - rychlé a efektivní řešení problémů se vzdáleným přístupem našeho IT oddělení.</w:t>
      </w:r>
    </w:p>
    <w:p w14:paraId="2EB7A925" w14:textId="77777777" w:rsidR="00066654" w:rsidRDefault="00541A8E">
      <w:pPr>
        <w:numPr>
          <w:ilvl w:val="0"/>
          <w:numId w:val="1"/>
        </w:numPr>
        <w:spacing w:before="120" w:after="120"/>
        <w:ind w:left="714" w:hanging="357"/>
        <w:rPr>
          <w:rFonts w:ascii="Arial" w:eastAsia="Arial" w:hAnsi="Arial" w:cs="Arial"/>
          <w:sz w:val="22"/>
          <w:szCs w:val="22"/>
        </w:rPr>
      </w:pPr>
      <w:r>
        <w:rPr>
          <w:rFonts w:ascii="Arial" w:eastAsia="Arial" w:hAnsi="Arial" w:cs="Arial"/>
          <w:sz w:val="22"/>
          <w:szCs w:val="22"/>
        </w:rPr>
        <w:t>Servisní zásah od 48 do 72 hodin od oficiálního přijetí požadavku</w:t>
      </w:r>
    </w:p>
    <w:p w14:paraId="56E0CD80" w14:textId="77777777" w:rsidR="00066654" w:rsidRDefault="00541A8E">
      <w:pPr>
        <w:numPr>
          <w:ilvl w:val="0"/>
          <w:numId w:val="1"/>
        </w:numPr>
        <w:spacing w:before="120" w:after="120"/>
        <w:rPr>
          <w:rFonts w:ascii="Arial" w:eastAsia="Arial" w:hAnsi="Arial" w:cs="Arial"/>
          <w:sz w:val="22"/>
          <w:szCs w:val="22"/>
        </w:rPr>
      </w:pPr>
      <w:r>
        <w:rPr>
          <w:rFonts w:ascii="Arial" w:eastAsia="Arial" w:hAnsi="Arial" w:cs="Arial"/>
          <w:sz w:val="22"/>
          <w:szCs w:val="22"/>
        </w:rPr>
        <w:t>v ceně servisní podpory jsou obsaženy veškeré IT a grafické úpravy systému LEDWARE včetně všech aktualizací na kompletní změnu webu.</w:t>
      </w:r>
    </w:p>
    <w:tbl>
      <w:tblPr>
        <w:tblStyle w:val="affffff0"/>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066654" w14:paraId="5B3650B4" w14:textId="77777777">
        <w:trPr>
          <w:trHeight w:val="420"/>
        </w:trPr>
        <w:tc>
          <w:tcPr>
            <w:tcW w:w="9069" w:type="dxa"/>
            <w:tcMar>
              <w:top w:w="100" w:type="dxa"/>
              <w:left w:w="100" w:type="dxa"/>
              <w:bottom w:w="100" w:type="dxa"/>
              <w:right w:w="100" w:type="dxa"/>
            </w:tcMar>
          </w:tcPr>
          <w:p w14:paraId="09389845" w14:textId="77777777" w:rsidR="00066654" w:rsidRDefault="00541A8E">
            <w:pPr>
              <w:widowControl w:val="0"/>
              <w:rPr>
                <w:rFonts w:ascii="Arial" w:eastAsia="Arial" w:hAnsi="Arial" w:cs="Arial"/>
                <w:b/>
                <w:sz w:val="22"/>
                <w:szCs w:val="22"/>
              </w:rPr>
            </w:pPr>
            <w:r>
              <w:rPr>
                <w:rFonts w:ascii="Arial" w:eastAsia="Arial" w:hAnsi="Arial" w:cs="Arial"/>
                <w:b/>
                <w:sz w:val="22"/>
                <w:szCs w:val="22"/>
              </w:rPr>
              <w:t xml:space="preserve">Cena za poskytování servisní podpory je 650 Kč měsíčně bez DPH.  </w:t>
            </w:r>
          </w:p>
        </w:tc>
      </w:tr>
    </w:tbl>
    <w:p w14:paraId="4DC2E7BA" w14:textId="77777777" w:rsidR="00066654" w:rsidRDefault="00541A8E">
      <w:pPr>
        <w:spacing w:before="120" w:after="120"/>
        <w:jc w:val="both"/>
        <w:rPr>
          <w:rFonts w:ascii="Arial" w:eastAsia="Arial" w:hAnsi="Arial" w:cs="Arial"/>
          <w:color w:val="222222"/>
          <w:sz w:val="22"/>
          <w:szCs w:val="22"/>
        </w:rPr>
      </w:pPr>
      <w:r>
        <w:rPr>
          <w:rFonts w:ascii="Arial" w:eastAsia="Arial" w:hAnsi="Arial" w:cs="Arial"/>
          <w:b/>
          <w:sz w:val="22"/>
          <w:szCs w:val="22"/>
        </w:rPr>
        <w:t xml:space="preserve">1.2 Profylaxe a celková kontrola zařízení zahrnuje: </w:t>
      </w:r>
    </w:p>
    <w:p w14:paraId="49409858" w14:textId="77777777" w:rsidR="00066654" w:rsidRDefault="00541A8E">
      <w:pPr>
        <w:numPr>
          <w:ilvl w:val="0"/>
          <w:numId w:val="2"/>
        </w:numPr>
        <w:spacing w:before="240" w:line="360" w:lineRule="auto"/>
        <w:jc w:val="both"/>
        <w:rPr>
          <w:rFonts w:ascii="Arial" w:eastAsia="Arial" w:hAnsi="Arial" w:cs="Arial"/>
          <w:color w:val="222222"/>
          <w:sz w:val="22"/>
          <w:szCs w:val="22"/>
        </w:rPr>
      </w:pPr>
      <w:r>
        <w:rPr>
          <w:rFonts w:ascii="Arial" w:eastAsia="Arial" w:hAnsi="Arial" w:cs="Arial"/>
          <w:color w:val="222222"/>
          <w:sz w:val="22"/>
          <w:szCs w:val="22"/>
        </w:rPr>
        <w:t xml:space="preserve">Kontrola vnějšího stavu </w:t>
      </w:r>
      <w:r>
        <w:rPr>
          <w:rFonts w:ascii="Arial" w:eastAsia="Arial" w:hAnsi="Arial" w:cs="Arial"/>
          <w:sz w:val="22"/>
          <w:szCs w:val="22"/>
        </w:rPr>
        <w:t>elektronické dotykové tabule</w:t>
      </w:r>
    </w:p>
    <w:p w14:paraId="4E2156A3" w14:textId="77777777" w:rsidR="00066654" w:rsidRDefault="00541A8E">
      <w:pPr>
        <w:numPr>
          <w:ilvl w:val="0"/>
          <w:numId w:val="2"/>
        </w:numPr>
        <w:spacing w:line="360" w:lineRule="auto"/>
        <w:jc w:val="both"/>
        <w:rPr>
          <w:rFonts w:ascii="Arial" w:eastAsia="Arial" w:hAnsi="Arial" w:cs="Arial"/>
          <w:color w:val="222222"/>
          <w:sz w:val="22"/>
          <w:szCs w:val="22"/>
        </w:rPr>
      </w:pPr>
      <w:r>
        <w:rPr>
          <w:rFonts w:ascii="Arial" w:eastAsia="Arial" w:hAnsi="Arial" w:cs="Arial"/>
          <w:color w:val="222222"/>
          <w:sz w:val="22"/>
          <w:szCs w:val="22"/>
        </w:rPr>
        <w:t>Kontrola předního tvrzeného skla</w:t>
      </w:r>
    </w:p>
    <w:p w14:paraId="70058FEA" w14:textId="77777777" w:rsidR="00066654" w:rsidRDefault="00541A8E">
      <w:pPr>
        <w:numPr>
          <w:ilvl w:val="0"/>
          <w:numId w:val="2"/>
        </w:numPr>
        <w:spacing w:line="360" w:lineRule="auto"/>
        <w:jc w:val="both"/>
        <w:rPr>
          <w:rFonts w:ascii="Arial" w:eastAsia="Arial" w:hAnsi="Arial" w:cs="Arial"/>
          <w:color w:val="222222"/>
          <w:sz w:val="22"/>
          <w:szCs w:val="22"/>
        </w:rPr>
      </w:pPr>
      <w:r>
        <w:rPr>
          <w:rFonts w:ascii="Arial" w:eastAsia="Arial" w:hAnsi="Arial" w:cs="Arial"/>
          <w:color w:val="222222"/>
          <w:sz w:val="22"/>
          <w:szCs w:val="22"/>
        </w:rPr>
        <w:t>ČIštění ventilátorů a venkovních komponent</w:t>
      </w:r>
    </w:p>
    <w:p w14:paraId="206F0902" w14:textId="77777777" w:rsidR="00066654" w:rsidRDefault="00541A8E">
      <w:pPr>
        <w:numPr>
          <w:ilvl w:val="0"/>
          <w:numId w:val="2"/>
        </w:numPr>
        <w:spacing w:line="360" w:lineRule="auto"/>
        <w:jc w:val="both"/>
        <w:rPr>
          <w:rFonts w:ascii="Arial" w:eastAsia="Arial" w:hAnsi="Arial" w:cs="Arial"/>
          <w:color w:val="222222"/>
          <w:sz w:val="22"/>
          <w:szCs w:val="22"/>
        </w:rPr>
      </w:pPr>
      <w:r>
        <w:rPr>
          <w:rFonts w:ascii="Arial" w:eastAsia="Arial" w:hAnsi="Arial" w:cs="Arial"/>
          <w:color w:val="222222"/>
          <w:sz w:val="22"/>
          <w:szCs w:val="22"/>
        </w:rPr>
        <w:t>Kontrola funkčnosti dotykové vrstvy / MULTITOUCH TEST</w:t>
      </w:r>
    </w:p>
    <w:p w14:paraId="5EB95516" w14:textId="77777777" w:rsidR="00066654" w:rsidRDefault="00541A8E">
      <w:pPr>
        <w:numPr>
          <w:ilvl w:val="0"/>
          <w:numId w:val="2"/>
        </w:numPr>
        <w:spacing w:line="360" w:lineRule="auto"/>
        <w:jc w:val="both"/>
        <w:rPr>
          <w:rFonts w:ascii="Arial" w:eastAsia="Arial" w:hAnsi="Arial" w:cs="Arial"/>
          <w:color w:val="222222"/>
          <w:sz w:val="22"/>
          <w:szCs w:val="22"/>
        </w:rPr>
      </w:pPr>
      <w:r>
        <w:rPr>
          <w:rFonts w:ascii="Arial" w:eastAsia="Arial" w:hAnsi="Arial" w:cs="Arial"/>
          <w:color w:val="222222"/>
          <w:sz w:val="22"/>
          <w:szCs w:val="22"/>
        </w:rPr>
        <w:t>Kontrola životnosti SSD disku a RAM paměti, StressTest ostatních komponent</w:t>
      </w:r>
    </w:p>
    <w:p w14:paraId="07021226" w14:textId="77777777" w:rsidR="00066654" w:rsidRDefault="00541A8E">
      <w:pPr>
        <w:numPr>
          <w:ilvl w:val="0"/>
          <w:numId w:val="2"/>
        </w:numPr>
        <w:spacing w:line="360" w:lineRule="auto"/>
        <w:jc w:val="both"/>
        <w:rPr>
          <w:rFonts w:ascii="Arial" w:eastAsia="Arial" w:hAnsi="Arial" w:cs="Arial"/>
          <w:color w:val="222222"/>
          <w:sz w:val="22"/>
          <w:szCs w:val="22"/>
        </w:rPr>
      </w:pPr>
      <w:r>
        <w:rPr>
          <w:rFonts w:ascii="Arial" w:eastAsia="Arial" w:hAnsi="Arial" w:cs="Arial"/>
          <w:color w:val="222222"/>
          <w:sz w:val="22"/>
          <w:szCs w:val="22"/>
        </w:rPr>
        <w:t xml:space="preserve">Antivirová kontrola systému </w:t>
      </w:r>
      <w:r>
        <w:rPr>
          <w:rFonts w:ascii="Arial" w:eastAsia="Arial" w:hAnsi="Arial" w:cs="Arial"/>
          <w:sz w:val="22"/>
          <w:szCs w:val="22"/>
        </w:rPr>
        <w:t>elektronické dotykové tabule</w:t>
      </w:r>
      <w:r>
        <w:rPr>
          <w:rFonts w:ascii="Arial" w:eastAsia="Arial" w:hAnsi="Arial" w:cs="Arial"/>
          <w:color w:val="222222"/>
          <w:sz w:val="22"/>
          <w:szCs w:val="22"/>
        </w:rPr>
        <w:t xml:space="preserve"> a LEDWARE</w:t>
      </w:r>
    </w:p>
    <w:tbl>
      <w:tblPr>
        <w:tblStyle w:val="affffff1"/>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066654" w14:paraId="22EAA09B" w14:textId="77777777">
        <w:trPr>
          <w:trHeight w:val="700"/>
        </w:trPr>
        <w:tc>
          <w:tcPr>
            <w:tcW w:w="9069" w:type="dxa"/>
            <w:tcMar>
              <w:top w:w="100" w:type="dxa"/>
              <w:left w:w="100" w:type="dxa"/>
              <w:bottom w:w="100" w:type="dxa"/>
              <w:right w:w="100" w:type="dxa"/>
            </w:tcMar>
          </w:tcPr>
          <w:p w14:paraId="757EF785" w14:textId="77777777" w:rsidR="00066654" w:rsidRDefault="00541A8E">
            <w:pPr>
              <w:widowControl w:val="0"/>
              <w:rPr>
                <w:rFonts w:ascii="Arial" w:eastAsia="Arial" w:hAnsi="Arial" w:cs="Arial"/>
                <w:b/>
                <w:sz w:val="22"/>
                <w:szCs w:val="22"/>
              </w:rPr>
            </w:pPr>
            <w:r>
              <w:rPr>
                <w:rFonts w:ascii="Arial" w:eastAsia="Arial" w:hAnsi="Arial" w:cs="Arial"/>
                <w:b/>
                <w:sz w:val="22"/>
                <w:szCs w:val="22"/>
              </w:rPr>
              <w:t xml:space="preserve">Cena za profylaxi elektronické dotykové tabule a její celkovou kontrolu je 1890 Kč ročně bez DPH. </w:t>
            </w:r>
          </w:p>
        </w:tc>
      </w:tr>
    </w:tbl>
    <w:p w14:paraId="1E201461" w14:textId="77777777" w:rsidR="00066654" w:rsidRDefault="00541A8E">
      <w:pPr>
        <w:spacing w:before="120" w:after="120"/>
        <w:jc w:val="both"/>
        <w:rPr>
          <w:rFonts w:ascii="Arial" w:eastAsia="Arial" w:hAnsi="Arial" w:cs="Arial"/>
          <w:b/>
          <w:sz w:val="22"/>
          <w:szCs w:val="22"/>
        </w:rPr>
      </w:pPr>
      <w:r>
        <w:rPr>
          <w:rFonts w:ascii="Arial" w:eastAsia="Arial" w:hAnsi="Arial" w:cs="Arial"/>
          <w:b/>
          <w:sz w:val="22"/>
          <w:szCs w:val="22"/>
        </w:rPr>
        <w:t>1.3 Licence software</w:t>
      </w:r>
    </w:p>
    <w:tbl>
      <w:tblPr>
        <w:tblStyle w:val="affffff2"/>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066654" w14:paraId="45582B12" w14:textId="77777777">
        <w:trPr>
          <w:trHeight w:val="700"/>
        </w:trPr>
        <w:tc>
          <w:tcPr>
            <w:tcW w:w="9069" w:type="dxa"/>
            <w:tcMar>
              <w:top w:w="100" w:type="dxa"/>
              <w:left w:w="100" w:type="dxa"/>
              <w:bottom w:w="100" w:type="dxa"/>
              <w:right w:w="100" w:type="dxa"/>
            </w:tcMar>
          </w:tcPr>
          <w:p w14:paraId="4FBA9E4F" w14:textId="77777777" w:rsidR="00066654" w:rsidRDefault="00541A8E">
            <w:pPr>
              <w:widowControl w:val="0"/>
              <w:rPr>
                <w:rFonts w:ascii="Arial" w:eastAsia="Arial" w:hAnsi="Arial" w:cs="Arial"/>
                <w:b/>
                <w:sz w:val="22"/>
                <w:szCs w:val="22"/>
              </w:rPr>
            </w:pPr>
            <w:r>
              <w:rPr>
                <w:rFonts w:ascii="Arial" w:eastAsia="Arial" w:hAnsi="Arial" w:cs="Arial"/>
                <w:b/>
                <w:sz w:val="22"/>
                <w:szCs w:val="22"/>
              </w:rPr>
              <w:t xml:space="preserve">Cena za licenci software je ve výši  875 Kč měsíčně bez DPH. </w:t>
            </w:r>
          </w:p>
        </w:tc>
      </w:tr>
    </w:tbl>
    <w:p w14:paraId="62791A5E" w14:textId="77777777" w:rsidR="00066654" w:rsidRDefault="00066654">
      <w:pPr>
        <w:spacing w:before="240" w:after="240" w:line="360" w:lineRule="auto"/>
        <w:jc w:val="both"/>
        <w:rPr>
          <w:rFonts w:ascii="Arial" w:eastAsia="Arial" w:hAnsi="Arial" w:cs="Arial"/>
          <w:color w:val="222222"/>
          <w:sz w:val="22"/>
          <w:szCs w:val="22"/>
        </w:rPr>
      </w:pPr>
    </w:p>
    <w:sectPr w:rsidR="00066654">
      <w:headerReference w:type="default" r:id="rId9"/>
      <w:footerReference w:type="default" r:id="rId10"/>
      <w:headerReference w:type="first" r:id="rId11"/>
      <w:footerReference w:type="first" r:id="rId12"/>
      <w:pgSz w:w="11907" w:h="16840"/>
      <w:pgMar w:top="1106" w:right="1418" w:bottom="1134" w:left="1418" w:header="425" w:footer="902"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BBDF" w14:textId="77777777" w:rsidR="00541A8E" w:rsidRDefault="00541A8E">
      <w:r>
        <w:separator/>
      </w:r>
    </w:p>
  </w:endnote>
  <w:endnote w:type="continuationSeparator" w:id="0">
    <w:p w14:paraId="72E9FB88" w14:textId="77777777" w:rsidR="00541A8E" w:rsidRDefault="0054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CC9C" w14:textId="77777777" w:rsidR="00066654" w:rsidRDefault="00541A8E">
    <w:pPr>
      <w:jc w:val="center"/>
      <w:rPr>
        <w:rFonts w:ascii="Arial" w:eastAsia="Arial" w:hAnsi="Arial" w:cs="Arial"/>
        <w:i/>
      </w:rPr>
    </w:pPr>
    <w:r>
      <w:pict w14:anchorId="58875CC7">
        <v:rect id="_x0000_i1027" style="width:0;height:1.5pt" o:hralign="center" o:hrstd="t" o:hr="t" fillcolor="#a0a0a0" stroked="f"/>
      </w:pict>
    </w:r>
  </w:p>
  <w:p w14:paraId="4DD53B16" w14:textId="77777777" w:rsidR="00066654" w:rsidRDefault="00541A8E">
    <w:pPr>
      <w:tabs>
        <w:tab w:val="center" w:pos="4536"/>
        <w:tab w:val="right" w:pos="9072"/>
      </w:tabs>
      <w:jc w:val="center"/>
      <w:rPr>
        <w:rFonts w:ascii="Arial" w:eastAsia="Arial" w:hAnsi="Arial" w:cs="Arial"/>
        <w:i/>
      </w:rPr>
    </w:pPr>
    <w:r>
      <w:rPr>
        <w:rFonts w:ascii="Arial" w:eastAsia="Arial" w:hAnsi="Arial" w:cs="Arial"/>
        <w:i/>
      </w:rPr>
      <w:t xml:space="preserve">Stránka </w:t>
    </w:r>
    <w:r>
      <w:rPr>
        <w:rFonts w:ascii="Arial" w:eastAsia="Arial" w:hAnsi="Arial" w:cs="Arial"/>
        <w:i/>
      </w:rPr>
      <w:fldChar w:fldCharType="begin"/>
    </w:r>
    <w:r>
      <w:rPr>
        <w:rFonts w:ascii="Arial" w:eastAsia="Arial" w:hAnsi="Arial" w:cs="Arial"/>
        <w:i/>
      </w:rPr>
      <w:instrText>PAGE</w:instrText>
    </w:r>
    <w:r>
      <w:rPr>
        <w:rFonts w:ascii="Arial" w:eastAsia="Arial" w:hAnsi="Arial" w:cs="Arial"/>
        <w:i/>
      </w:rPr>
      <w:fldChar w:fldCharType="separate"/>
    </w:r>
    <w:r w:rsidR="00367291">
      <w:rPr>
        <w:rFonts w:ascii="Arial" w:eastAsia="Arial" w:hAnsi="Arial" w:cs="Arial"/>
        <w:i/>
        <w:noProof/>
      </w:rPr>
      <w:t>2</w:t>
    </w:r>
    <w:r>
      <w:rPr>
        <w:rFonts w:ascii="Arial" w:eastAsia="Arial" w:hAnsi="Arial" w:cs="Arial"/>
        <w:i/>
      </w:rPr>
      <w:fldChar w:fldCharType="end"/>
    </w:r>
    <w:r>
      <w:rPr>
        <w:rFonts w:ascii="Arial" w:eastAsia="Arial" w:hAnsi="Arial" w:cs="Arial"/>
        <w:i/>
      </w:rPr>
      <w:t xml:space="preserve"> z 6      </w:t>
    </w:r>
  </w:p>
  <w:p w14:paraId="0848A099" w14:textId="77777777" w:rsidR="00066654" w:rsidRDefault="00541A8E">
    <w:pPr>
      <w:tabs>
        <w:tab w:val="center" w:pos="4536"/>
        <w:tab w:val="right" w:pos="9072"/>
      </w:tabs>
      <w:jc w:val="center"/>
      <w:rPr>
        <w:rFonts w:ascii="Arial" w:eastAsia="Arial" w:hAnsi="Arial" w:cs="Arial"/>
      </w:rPr>
    </w:pPr>
    <w:hyperlink r:id="rId1">
      <w:r>
        <w:rPr>
          <w:rFonts w:ascii="Arial" w:eastAsia="Arial" w:hAnsi="Arial" w:cs="Arial"/>
          <w:color w:val="1155CC"/>
          <w:u w:val="single"/>
        </w:rPr>
        <w:t>www.uredni-deska.eu</w:t>
      </w:r>
    </w:hyperlink>
    <w:r>
      <w:rPr>
        <w:rFonts w:ascii="Arial" w:eastAsia="Arial" w:hAnsi="Arial" w:cs="Arial"/>
      </w:rPr>
      <w:t xml:space="preserve"> | </w:t>
    </w:r>
    <w:hyperlink r:id="rId2">
      <w:r>
        <w:rPr>
          <w:rFonts w:ascii="Arial" w:eastAsia="Arial" w:hAnsi="Arial" w:cs="Arial"/>
          <w:color w:val="1155CC"/>
          <w:u w:val="single"/>
        </w:rPr>
        <w:t>www.digiday.cz</w:t>
      </w:r>
    </w:hyperlink>
    <w:r>
      <w:rPr>
        <w:rFonts w:ascii="Arial" w:eastAsia="Arial" w:hAnsi="Arial" w:cs="Arial"/>
      </w:rPr>
      <w:t xml:space="preserve"> I</w:t>
    </w:r>
    <w:hyperlink r:id="rId3">
      <w:r>
        <w:rPr>
          <w:rFonts w:ascii="Arial" w:eastAsia="Arial" w:hAnsi="Arial" w:cs="Arial"/>
          <w:color w:val="1155CC"/>
          <w:u w:val="single"/>
        </w:rPr>
        <w:t xml:space="preserve"> www.etabula.sk</w:t>
      </w:r>
    </w:hyperlink>
  </w:p>
  <w:p w14:paraId="6545CCBF" w14:textId="77777777" w:rsidR="00066654" w:rsidRDefault="00541A8E">
    <w:pPr>
      <w:tabs>
        <w:tab w:val="center" w:pos="4536"/>
        <w:tab w:val="right" w:pos="9072"/>
      </w:tabs>
      <w:jc w:val="center"/>
      <w:rPr>
        <w:rFonts w:ascii="Arial" w:eastAsia="Arial" w:hAnsi="Arial" w:cs="Arial"/>
        <w:i/>
      </w:rPr>
    </w:pPr>
    <w:r>
      <w:rPr>
        <w:rFonts w:ascii="Arial" w:eastAsia="Arial" w:hAnsi="Arial" w:cs="Arial"/>
        <w:color w:val="D5A6BD"/>
      </w:rPr>
      <w:t>DigiDay Czech s.r.o., 1. máje 481/16, Ostrava - Mariánské Hory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3281" w14:textId="77777777" w:rsidR="00066654" w:rsidRDefault="00066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F2DE" w14:textId="77777777" w:rsidR="00541A8E" w:rsidRDefault="00541A8E">
      <w:r>
        <w:separator/>
      </w:r>
    </w:p>
  </w:footnote>
  <w:footnote w:type="continuationSeparator" w:id="0">
    <w:p w14:paraId="38D9D198" w14:textId="77777777" w:rsidR="00541A8E" w:rsidRDefault="0054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C92F" w14:textId="77777777" w:rsidR="00066654" w:rsidRDefault="00541A8E">
    <w:pPr>
      <w:jc w:val="center"/>
      <w:rPr>
        <w:rFonts w:ascii="Arial" w:eastAsia="Arial" w:hAnsi="Arial" w:cs="Arial"/>
        <w:color w:val="D5A6BD"/>
      </w:rPr>
    </w:pPr>
    <w:r>
      <w:rPr>
        <w:rFonts w:ascii="Arial" w:eastAsia="Arial" w:hAnsi="Arial" w:cs="Arial"/>
        <w:noProof/>
      </w:rPr>
      <w:drawing>
        <wp:inline distT="114300" distB="114300" distL="114300" distR="114300" wp14:anchorId="5B4FC475" wp14:editId="1E30930C">
          <wp:extent cx="1849275" cy="789690"/>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9275" cy="789690"/>
                  </a:xfrm>
                  <a:prstGeom prst="rect">
                    <a:avLst/>
                  </a:prstGeom>
                  <a:ln/>
                </pic:spPr>
              </pic:pic>
            </a:graphicData>
          </a:graphic>
        </wp:inline>
      </w:drawing>
    </w:r>
    <w:r>
      <w:rPr>
        <w:rFonts w:ascii="Arial" w:eastAsia="Arial" w:hAnsi="Arial" w:cs="Arial"/>
      </w:rPr>
      <w:br/>
    </w:r>
    <w:r>
      <w:rPr>
        <w:color w:val="D5A6BD"/>
      </w:rPr>
      <w:t>EDUCO INTERAKTIVNÍ DOTYKOVÉ PANELY PRO ŠKOLY</w:t>
    </w:r>
  </w:p>
  <w:p w14:paraId="1588D769" w14:textId="77777777" w:rsidR="00066654" w:rsidRDefault="00541A8E">
    <w:pPr>
      <w:jc w:val="center"/>
      <w:rPr>
        <w:color w:val="D5A6BD"/>
      </w:rPr>
    </w:pPr>
    <w:r>
      <w:pict w14:anchorId="48860555">
        <v:rect id="_x0000_i1026"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BB98" w14:textId="77777777" w:rsidR="00066654" w:rsidRDefault="00541A8E">
    <w:pPr>
      <w:jc w:val="center"/>
      <w:rPr>
        <w:rFonts w:ascii="Arial" w:eastAsia="Arial" w:hAnsi="Arial" w:cs="Arial"/>
        <w:color w:val="000000"/>
      </w:rPr>
    </w:pPr>
    <w:r>
      <w:rPr>
        <w:noProof/>
      </w:rPr>
      <w:drawing>
        <wp:inline distT="114300" distB="114300" distL="114300" distR="114300" wp14:anchorId="5BFF2265" wp14:editId="65D7704E">
          <wp:extent cx="1920712" cy="821927"/>
          <wp:effectExtent l="0" t="0" r="0" b="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0712" cy="821927"/>
                  </a:xfrm>
                  <a:prstGeom prst="rect">
                    <a:avLst/>
                  </a:prstGeom>
                  <a:ln/>
                </pic:spPr>
              </pic:pic>
            </a:graphicData>
          </a:graphic>
        </wp:inline>
      </w:drawing>
    </w:r>
    <w:r>
      <w:br/>
    </w:r>
    <w:r>
      <w:rPr>
        <w:color w:val="D5A6BD"/>
      </w:rPr>
      <w:t>EDUCO INTERAKTIVNÍ DOTYKOVÉ PANELY PRO ŠKOLY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3095F"/>
    <w:multiLevelType w:val="multilevel"/>
    <w:tmpl w:val="EBA4B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2C2B8E"/>
    <w:multiLevelType w:val="multilevel"/>
    <w:tmpl w:val="33C8C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9448338">
    <w:abstractNumId w:val="0"/>
  </w:num>
  <w:num w:numId="2" w16cid:durableId="390036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54"/>
    <w:rsid w:val="00066654"/>
    <w:rsid w:val="002F51DA"/>
    <w:rsid w:val="00367291"/>
    <w:rsid w:val="00541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0300B"/>
  <w15:docId w15:val="{04855AFA-DE3C-4CDD-9F1F-30A8AB6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a">
    <w:basedOn w:val="TableNormalff1"/>
    <w:tblPr>
      <w:tblStyleRowBandSize w:val="1"/>
      <w:tblStyleColBandSize w:val="1"/>
      <w:tblCellMar>
        <w:top w:w="100" w:type="dxa"/>
        <w:left w:w="100" w:type="dxa"/>
        <w:bottom w:w="100" w:type="dxa"/>
        <w:right w:w="100" w:type="dxa"/>
      </w:tblCellMar>
    </w:tblPr>
  </w:style>
  <w:style w:type="table" w:customStyle="1" w:styleId="a0">
    <w:basedOn w:val="TableNormalff1"/>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AB0FC9"/>
    <w:rPr>
      <w:color w:val="0000FF" w:themeColor="hyperlink"/>
      <w:u w:val="single"/>
    </w:rPr>
  </w:style>
  <w:style w:type="paragraph" w:styleId="Zhlav">
    <w:name w:val="header"/>
    <w:link w:val="ZhlavChar"/>
    <w:uiPriority w:val="99"/>
    <w:unhideWhenUsed/>
    <w:rsid w:val="00A73E14"/>
    <w:pPr>
      <w:tabs>
        <w:tab w:val="center" w:pos="4536"/>
        <w:tab w:val="right" w:pos="9072"/>
      </w:tabs>
    </w:pPr>
  </w:style>
  <w:style w:type="character" w:customStyle="1" w:styleId="ZhlavChar">
    <w:name w:val="Záhlaví Char"/>
    <w:basedOn w:val="Standardnpsmoodstavce"/>
    <w:link w:val="Zhlav"/>
    <w:uiPriority w:val="99"/>
    <w:rsid w:val="00A73E14"/>
  </w:style>
  <w:style w:type="paragraph" w:styleId="Zpat">
    <w:name w:val="footer"/>
    <w:link w:val="ZpatChar"/>
    <w:uiPriority w:val="99"/>
    <w:unhideWhenUsed/>
    <w:rsid w:val="00A73E14"/>
    <w:pPr>
      <w:tabs>
        <w:tab w:val="center" w:pos="4536"/>
        <w:tab w:val="right" w:pos="9072"/>
      </w:tabs>
    </w:pPr>
  </w:style>
  <w:style w:type="character" w:customStyle="1" w:styleId="ZpatChar">
    <w:name w:val="Zápatí Char"/>
    <w:basedOn w:val="Standardnpsmoodstavce"/>
    <w:link w:val="Zpat"/>
    <w:uiPriority w:val="99"/>
    <w:rsid w:val="00A73E14"/>
  </w:style>
  <w:style w:type="paragraph" w:styleId="Textbubliny">
    <w:name w:val="Balloon Text"/>
    <w:link w:val="TextbublinyChar"/>
    <w:uiPriority w:val="99"/>
    <w:semiHidden/>
    <w:unhideWhenUsed/>
    <w:rsid w:val="00FC4838"/>
    <w:rPr>
      <w:rFonts w:ascii="Tahoma" w:hAnsi="Tahoma" w:cs="Tahoma"/>
      <w:sz w:val="16"/>
      <w:szCs w:val="16"/>
    </w:rPr>
  </w:style>
  <w:style w:type="character" w:customStyle="1" w:styleId="TextbublinyChar">
    <w:name w:val="Text bubliny Char"/>
    <w:basedOn w:val="Standardnpsmoodstavce"/>
    <w:link w:val="Textbubliny"/>
    <w:uiPriority w:val="99"/>
    <w:semiHidden/>
    <w:rsid w:val="00FC4838"/>
    <w:rPr>
      <w:rFonts w:ascii="Tahoma" w:hAnsi="Tahoma" w:cs="Tahoma"/>
      <w:sz w:val="16"/>
      <w:szCs w:val="16"/>
    </w:rPr>
  </w:style>
  <w:style w:type="paragraph" w:styleId="Odstavecseseznamem">
    <w:name w:val="List Paragraph"/>
    <w:uiPriority w:val="34"/>
    <w:qFormat/>
    <w:rsid w:val="009F22CB"/>
    <w:pPr>
      <w:ind w:left="720"/>
      <w:contextualSpacing/>
    </w:pPr>
  </w:style>
  <w:style w:type="character" w:styleId="Odkaznakoment">
    <w:name w:val="annotation reference"/>
    <w:basedOn w:val="Standardnpsmoodstavce"/>
    <w:uiPriority w:val="99"/>
    <w:semiHidden/>
    <w:unhideWhenUsed/>
    <w:rsid w:val="00643286"/>
    <w:rPr>
      <w:sz w:val="16"/>
      <w:szCs w:val="16"/>
    </w:rPr>
  </w:style>
  <w:style w:type="paragraph" w:styleId="Textkomente">
    <w:name w:val="annotation text"/>
    <w:link w:val="TextkomenteChar"/>
    <w:uiPriority w:val="99"/>
    <w:semiHidden/>
    <w:unhideWhenUsed/>
    <w:rsid w:val="00643286"/>
  </w:style>
  <w:style w:type="character" w:customStyle="1" w:styleId="TextkomenteChar">
    <w:name w:val="Text komentáře Char"/>
    <w:basedOn w:val="Standardnpsmoodstavce"/>
    <w:link w:val="Textkomente"/>
    <w:uiPriority w:val="99"/>
    <w:semiHidden/>
    <w:rsid w:val="00643286"/>
  </w:style>
  <w:style w:type="paragraph" w:styleId="Pedmtkomente">
    <w:name w:val="annotation subject"/>
    <w:basedOn w:val="Textkomente"/>
    <w:next w:val="Textkomente"/>
    <w:link w:val="PedmtkomenteChar"/>
    <w:uiPriority w:val="99"/>
    <w:semiHidden/>
    <w:unhideWhenUsed/>
    <w:rsid w:val="00643286"/>
    <w:rPr>
      <w:b/>
      <w:bCs/>
    </w:rPr>
  </w:style>
  <w:style w:type="character" w:customStyle="1" w:styleId="PedmtkomenteChar">
    <w:name w:val="Předmět komentáře Char"/>
    <w:basedOn w:val="TextkomenteChar"/>
    <w:link w:val="Pedmtkomente"/>
    <w:uiPriority w:val="99"/>
    <w:semiHidden/>
    <w:rsid w:val="00643286"/>
    <w:rPr>
      <w:b/>
      <w:bCs/>
    </w:rPr>
  </w:style>
  <w:style w:type="table" w:customStyle="1" w:styleId="a1">
    <w:basedOn w:val="TableNormalff1"/>
    <w:tblPr>
      <w:tblStyleRowBandSize w:val="1"/>
      <w:tblStyleColBandSize w:val="1"/>
      <w:tblCellMar>
        <w:top w:w="100" w:type="dxa"/>
        <w:left w:w="108" w:type="dxa"/>
        <w:bottom w:w="100" w:type="dxa"/>
        <w:right w:w="108" w:type="dxa"/>
      </w:tblCellMar>
    </w:tblPr>
  </w:style>
  <w:style w:type="table" w:customStyle="1" w:styleId="a2">
    <w:basedOn w:val="TableNormalff1"/>
    <w:tblPr>
      <w:tblStyleRowBandSize w:val="1"/>
      <w:tblStyleColBandSize w:val="1"/>
      <w:tblCellMar>
        <w:top w:w="100" w:type="dxa"/>
        <w:left w:w="108" w:type="dxa"/>
        <w:bottom w:w="100" w:type="dxa"/>
        <w:right w:w="108" w:type="dxa"/>
      </w:tblCellMar>
    </w:tblPr>
  </w:style>
  <w:style w:type="table" w:customStyle="1" w:styleId="a3">
    <w:basedOn w:val="TableNormalff1"/>
    <w:tblPr>
      <w:tblStyleRowBandSize w:val="1"/>
      <w:tblStyleColBandSize w:val="1"/>
      <w:tblCellMar>
        <w:top w:w="100" w:type="dxa"/>
        <w:left w:w="108" w:type="dxa"/>
        <w:bottom w:w="100" w:type="dxa"/>
        <w:right w:w="108" w:type="dxa"/>
      </w:tblCellMar>
    </w:tblPr>
  </w:style>
  <w:style w:type="table" w:customStyle="1" w:styleId="a4">
    <w:basedOn w:val="TableNormalff1"/>
    <w:tblPr>
      <w:tblStyleRowBandSize w:val="1"/>
      <w:tblStyleColBandSize w:val="1"/>
      <w:tblCellMar>
        <w:top w:w="100" w:type="dxa"/>
        <w:left w:w="108" w:type="dxa"/>
        <w:bottom w:w="100" w:type="dxa"/>
        <w:right w:w="108" w:type="dxa"/>
      </w:tblCellMar>
    </w:tblPr>
  </w:style>
  <w:style w:type="table" w:customStyle="1" w:styleId="a5">
    <w:basedOn w:val="TableNormalff1"/>
    <w:tblPr>
      <w:tblStyleRowBandSize w:val="1"/>
      <w:tblStyleColBandSize w:val="1"/>
      <w:tblCellMar>
        <w:top w:w="100" w:type="dxa"/>
        <w:left w:w="108" w:type="dxa"/>
        <w:bottom w:w="100" w:type="dxa"/>
        <w:right w:w="108" w:type="dxa"/>
      </w:tblCellMar>
    </w:tblPr>
  </w:style>
  <w:style w:type="table" w:customStyle="1" w:styleId="a6">
    <w:basedOn w:val="TableNormalff1"/>
    <w:tblPr>
      <w:tblStyleRowBandSize w:val="1"/>
      <w:tblStyleColBandSize w:val="1"/>
      <w:tblCellMar>
        <w:top w:w="100" w:type="dxa"/>
        <w:left w:w="108" w:type="dxa"/>
        <w:bottom w:w="100" w:type="dxa"/>
        <w:right w:w="108" w:type="dxa"/>
      </w:tblCellMar>
    </w:tblPr>
  </w:style>
  <w:style w:type="table" w:customStyle="1" w:styleId="a7">
    <w:basedOn w:val="TableNormalff1"/>
    <w:tblPr>
      <w:tblStyleRowBandSize w:val="1"/>
      <w:tblStyleColBandSize w:val="1"/>
      <w:tblCellMar>
        <w:top w:w="100" w:type="dxa"/>
        <w:left w:w="108" w:type="dxa"/>
        <w:bottom w:w="100" w:type="dxa"/>
        <w:right w:w="108" w:type="dxa"/>
      </w:tblCellMar>
    </w:tblPr>
  </w:style>
  <w:style w:type="table" w:customStyle="1" w:styleId="a8">
    <w:basedOn w:val="TableNormalff1"/>
    <w:tblPr>
      <w:tblStyleRowBandSize w:val="1"/>
      <w:tblStyleColBandSize w:val="1"/>
      <w:tblCellMar>
        <w:top w:w="100" w:type="dxa"/>
        <w:left w:w="108" w:type="dxa"/>
        <w:bottom w:w="100" w:type="dxa"/>
        <w:right w:w="108" w:type="dxa"/>
      </w:tblCellMar>
    </w:tblPr>
  </w:style>
  <w:style w:type="table" w:customStyle="1" w:styleId="a9">
    <w:basedOn w:val="TableNormalff1"/>
    <w:tblPr>
      <w:tblStyleRowBandSize w:val="1"/>
      <w:tblStyleColBandSize w:val="1"/>
      <w:tblCellMar>
        <w:top w:w="100" w:type="dxa"/>
        <w:left w:w="108" w:type="dxa"/>
        <w:bottom w:w="100" w:type="dxa"/>
        <w:right w:w="108" w:type="dxa"/>
      </w:tblCellMar>
    </w:tblPr>
  </w:style>
  <w:style w:type="table" w:customStyle="1" w:styleId="aa">
    <w:basedOn w:val="TableNormalff1"/>
    <w:tblPr>
      <w:tblStyleRowBandSize w:val="1"/>
      <w:tblStyleColBandSize w:val="1"/>
      <w:tblCellMar>
        <w:top w:w="100" w:type="dxa"/>
        <w:left w:w="108" w:type="dxa"/>
        <w:bottom w:w="100" w:type="dxa"/>
        <w:right w:w="108" w:type="dxa"/>
      </w:tblCellMar>
    </w:tblPr>
  </w:style>
  <w:style w:type="paragraph" w:styleId="Revize">
    <w:name w:val="Revision"/>
    <w:hidden/>
    <w:uiPriority w:val="99"/>
    <w:semiHidden/>
    <w:rsid w:val="00CA34BE"/>
  </w:style>
  <w:style w:type="table" w:customStyle="1" w:styleId="ab">
    <w:basedOn w:val="TableNormalfc"/>
    <w:tblPr>
      <w:tblStyleRowBandSize w:val="1"/>
      <w:tblStyleColBandSize w:val="1"/>
      <w:tblCellMar>
        <w:top w:w="100" w:type="dxa"/>
        <w:left w:w="108" w:type="dxa"/>
        <w:bottom w:w="100" w:type="dxa"/>
        <w:right w:w="108" w:type="dxa"/>
      </w:tblCellMar>
    </w:tblPr>
  </w:style>
  <w:style w:type="table" w:customStyle="1" w:styleId="ac">
    <w:basedOn w:val="TableNormalfc"/>
    <w:tblPr>
      <w:tblStyleRowBandSize w:val="1"/>
      <w:tblStyleColBandSize w:val="1"/>
      <w:tblCellMar>
        <w:top w:w="100" w:type="dxa"/>
        <w:left w:w="108" w:type="dxa"/>
        <w:bottom w:w="100" w:type="dxa"/>
        <w:right w:w="108" w:type="dxa"/>
      </w:tblCellMar>
    </w:tblPr>
  </w:style>
  <w:style w:type="table" w:customStyle="1" w:styleId="ad">
    <w:basedOn w:val="TableNormalfc"/>
    <w:tblPr>
      <w:tblStyleRowBandSize w:val="1"/>
      <w:tblStyleColBandSize w:val="1"/>
      <w:tblCellMar>
        <w:top w:w="100" w:type="dxa"/>
        <w:left w:w="108" w:type="dxa"/>
        <w:bottom w:w="100" w:type="dxa"/>
        <w:right w:w="108" w:type="dxa"/>
      </w:tblCellMar>
    </w:tblPr>
  </w:style>
  <w:style w:type="table" w:customStyle="1" w:styleId="ae">
    <w:basedOn w:val="TableNormalfc"/>
    <w:tblPr>
      <w:tblStyleRowBandSize w:val="1"/>
      <w:tblStyleColBandSize w:val="1"/>
      <w:tblCellMar>
        <w:top w:w="100" w:type="dxa"/>
        <w:left w:w="108" w:type="dxa"/>
        <w:bottom w:w="100" w:type="dxa"/>
        <w:right w:w="108" w:type="dxa"/>
      </w:tblCellMar>
    </w:tblPr>
  </w:style>
  <w:style w:type="table" w:customStyle="1" w:styleId="af">
    <w:basedOn w:val="TableNormalfc"/>
    <w:tblPr>
      <w:tblStyleRowBandSize w:val="1"/>
      <w:tblStyleColBandSize w:val="1"/>
      <w:tblCellMar>
        <w:top w:w="100" w:type="dxa"/>
        <w:left w:w="100" w:type="dxa"/>
        <w:bottom w:w="100" w:type="dxa"/>
        <w:right w:w="100" w:type="dxa"/>
      </w:tblCellMar>
    </w:tblPr>
  </w:style>
  <w:style w:type="table" w:customStyle="1" w:styleId="af0">
    <w:basedOn w:val="TableNormalfc"/>
    <w:tblPr>
      <w:tblStyleRowBandSize w:val="1"/>
      <w:tblStyleColBandSize w:val="1"/>
      <w:tblCellMar>
        <w:top w:w="100" w:type="dxa"/>
        <w:left w:w="108" w:type="dxa"/>
        <w:bottom w:w="100" w:type="dxa"/>
        <w:right w:w="108" w:type="dxa"/>
      </w:tblCellMar>
    </w:tblPr>
  </w:style>
  <w:style w:type="table" w:customStyle="1" w:styleId="af1">
    <w:basedOn w:val="TableNormalfc"/>
    <w:tblPr>
      <w:tblStyleRowBandSize w:val="1"/>
      <w:tblStyleColBandSize w:val="1"/>
      <w:tblCellMar>
        <w:top w:w="100" w:type="dxa"/>
        <w:left w:w="108" w:type="dxa"/>
        <w:bottom w:w="100" w:type="dxa"/>
        <w:right w:w="108" w:type="dxa"/>
      </w:tblCellMar>
    </w:tblPr>
  </w:style>
  <w:style w:type="table" w:customStyle="1" w:styleId="af2">
    <w:basedOn w:val="TableNormalfc"/>
    <w:tblPr>
      <w:tblStyleRowBandSize w:val="1"/>
      <w:tblStyleColBandSize w:val="1"/>
      <w:tblCellMar>
        <w:top w:w="100" w:type="dxa"/>
        <w:left w:w="108" w:type="dxa"/>
        <w:bottom w:w="100" w:type="dxa"/>
        <w:right w:w="108" w:type="dxa"/>
      </w:tblCellMar>
    </w:tblPr>
  </w:style>
  <w:style w:type="table" w:customStyle="1" w:styleId="af3">
    <w:basedOn w:val="TableNormalfc"/>
    <w:tblPr>
      <w:tblStyleRowBandSize w:val="1"/>
      <w:tblStyleColBandSize w:val="1"/>
      <w:tblCellMar>
        <w:top w:w="100" w:type="dxa"/>
        <w:left w:w="108" w:type="dxa"/>
        <w:bottom w:w="100" w:type="dxa"/>
        <w:right w:w="108" w:type="dxa"/>
      </w:tblCellMar>
    </w:tblPr>
  </w:style>
  <w:style w:type="table" w:customStyle="1" w:styleId="af4">
    <w:basedOn w:val="TableNormalfc"/>
    <w:tblPr>
      <w:tblStyleRowBandSize w:val="1"/>
      <w:tblStyleColBandSize w:val="1"/>
      <w:tblCellMar>
        <w:top w:w="100" w:type="dxa"/>
        <w:left w:w="108" w:type="dxa"/>
        <w:bottom w:w="100" w:type="dxa"/>
        <w:right w:w="108" w:type="dxa"/>
      </w:tblCellMar>
    </w:tblPr>
  </w:style>
  <w:style w:type="table" w:customStyle="1" w:styleId="af5">
    <w:basedOn w:val="TableNormalfc"/>
    <w:tblPr>
      <w:tblStyleRowBandSize w:val="1"/>
      <w:tblStyleColBandSize w:val="1"/>
      <w:tblCellMar>
        <w:top w:w="100" w:type="dxa"/>
        <w:left w:w="108" w:type="dxa"/>
        <w:bottom w:w="100" w:type="dxa"/>
        <w:right w:w="108" w:type="dxa"/>
      </w:tblCellMar>
    </w:tblPr>
  </w:style>
  <w:style w:type="table" w:customStyle="1" w:styleId="af6">
    <w:basedOn w:val="TableNormalfc"/>
    <w:tblPr>
      <w:tblStyleRowBandSize w:val="1"/>
      <w:tblStyleColBandSize w:val="1"/>
      <w:tblCellMar>
        <w:top w:w="100" w:type="dxa"/>
        <w:left w:w="108" w:type="dxa"/>
        <w:bottom w:w="100" w:type="dxa"/>
        <w:right w:w="108" w:type="dxa"/>
      </w:tblCellMar>
    </w:tblPr>
  </w:style>
  <w:style w:type="table" w:customStyle="1" w:styleId="af7">
    <w:basedOn w:val="TableNormalfc"/>
    <w:tblPr>
      <w:tblStyleRowBandSize w:val="1"/>
      <w:tblStyleColBandSize w:val="1"/>
      <w:tblCellMar>
        <w:top w:w="100" w:type="dxa"/>
        <w:left w:w="108" w:type="dxa"/>
        <w:bottom w:w="100" w:type="dxa"/>
        <w:right w:w="108" w:type="dxa"/>
      </w:tblCellMar>
    </w:tblPr>
  </w:style>
  <w:style w:type="table" w:customStyle="1" w:styleId="af8">
    <w:basedOn w:val="TableNormalfc"/>
    <w:tblPr>
      <w:tblStyleRowBandSize w:val="1"/>
      <w:tblStyleColBandSize w:val="1"/>
      <w:tblCellMar>
        <w:top w:w="100" w:type="dxa"/>
        <w:left w:w="108" w:type="dxa"/>
        <w:bottom w:w="100" w:type="dxa"/>
        <w:right w:w="108" w:type="dxa"/>
      </w:tblCellMar>
    </w:tblPr>
  </w:style>
  <w:style w:type="table" w:customStyle="1" w:styleId="af9">
    <w:basedOn w:val="TableNormalfc"/>
    <w:tblPr>
      <w:tblStyleRowBandSize w:val="1"/>
      <w:tblStyleColBandSize w:val="1"/>
      <w:tblCellMar>
        <w:top w:w="100" w:type="dxa"/>
        <w:left w:w="108" w:type="dxa"/>
        <w:bottom w:w="100" w:type="dxa"/>
        <w:right w:w="108" w:type="dxa"/>
      </w:tblCellMar>
    </w:tblPr>
  </w:style>
  <w:style w:type="table" w:customStyle="1" w:styleId="afa">
    <w:basedOn w:val="TableNormalfc"/>
    <w:tblPr>
      <w:tblStyleRowBandSize w:val="1"/>
      <w:tblStyleColBandSize w:val="1"/>
      <w:tblCellMar>
        <w:top w:w="100" w:type="dxa"/>
        <w:left w:w="108" w:type="dxa"/>
        <w:bottom w:w="100" w:type="dxa"/>
        <w:right w:w="108" w:type="dxa"/>
      </w:tblCellMar>
    </w:tblPr>
  </w:style>
  <w:style w:type="table" w:customStyle="1" w:styleId="afb">
    <w:basedOn w:val="TableNormalf4"/>
    <w:tblPr>
      <w:tblStyleRowBandSize w:val="1"/>
      <w:tblStyleColBandSize w:val="1"/>
      <w:tblCellMar>
        <w:top w:w="100" w:type="dxa"/>
        <w:left w:w="108" w:type="dxa"/>
        <w:bottom w:w="100" w:type="dxa"/>
        <w:right w:w="108" w:type="dxa"/>
      </w:tblCellMar>
    </w:tblPr>
  </w:style>
  <w:style w:type="table" w:customStyle="1" w:styleId="afc">
    <w:basedOn w:val="TableNormalf4"/>
    <w:tblPr>
      <w:tblStyleRowBandSize w:val="1"/>
      <w:tblStyleColBandSize w:val="1"/>
      <w:tblCellMar>
        <w:top w:w="100" w:type="dxa"/>
        <w:left w:w="108" w:type="dxa"/>
        <w:bottom w:w="100" w:type="dxa"/>
        <w:right w:w="108" w:type="dxa"/>
      </w:tblCellMar>
    </w:tblPr>
  </w:style>
  <w:style w:type="table" w:customStyle="1" w:styleId="afd">
    <w:basedOn w:val="TableNormalf4"/>
    <w:tblPr>
      <w:tblStyleRowBandSize w:val="1"/>
      <w:tblStyleColBandSize w:val="1"/>
      <w:tblCellMar>
        <w:top w:w="100" w:type="dxa"/>
        <w:left w:w="108" w:type="dxa"/>
        <w:bottom w:w="100" w:type="dxa"/>
        <w:right w:w="108" w:type="dxa"/>
      </w:tblCellMar>
    </w:tblPr>
  </w:style>
  <w:style w:type="table" w:customStyle="1" w:styleId="afe">
    <w:basedOn w:val="TableNormalf4"/>
    <w:tblPr>
      <w:tblStyleRowBandSize w:val="1"/>
      <w:tblStyleColBandSize w:val="1"/>
      <w:tblCellMar>
        <w:top w:w="100" w:type="dxa"/>
        <w:left w:w="108" w:type="dxa"/>
        <w:bottom w:w="100" w:type="dxa"/>
        <w:right w:w="108" w:type="dxa"/>
      </w:tblCellMar>
    </w:tblPr>
  </w:style>
  <w:style w:type="table" w:customStyle="1" w:styleId="aff">
    <w:basedOn w:val="TableNormalf4"/>
    <w:tblPr>
      <w:tblStyleRowBandSize w:val="1"/>
      <w:tblStyleColBandSize w:val="1"/>
      <w:tblCellMar>
        <w:top w:w="100" w:type="dxa"/>
        <w:left w:w="108" w:type="dxa"/>
        <w:bottom w:w="100" w:type="dxa"/>
        <w:right w:w="108" w:type="dxa"/>
      </w:tblCellMar>
    </w:tblPr>
  </w:style>
  <w:style w:type="table" w:customStyle="1" w:styleId="aff0">
    <w:basedOn w:val="TableNormalf4"/>
    <w:tblPr>
      <w:tblStyleRowBandSize w:val="1"/>
      <w:tblStyleColBandSize w:val="1"/>
      <w:tblCellMar>
        <w:top w:w="100" w:type="dxa"/>
        <w:left w:w="100" w:type="dxa"/>
        <w:bottom w:w="100" w:type="dxa"/>
        <w:right w:w="100" w:type="dxa"/>
      </w:tblCellMar>
    </w:tblPr>
  </w:style>
  <w:style w:type="table" w:customStyle="1" w:styleId="aff1">
    <w:basedOn w:val="TableNormalf4"/>
    <w:tblPr>
      <w:tblStyleRowBandSize w:val="1"/>
      <w:tblStyleColBandSize w:val="1"/>
      <w:tblCellMar>
        <w:top w:w="100" w:type="dxa"/>
        <w:left w:w="100" w:type="dxa"/>
        <w:bottom w:w="100" w:type="dxa"/>
        <w:right w:w="100" w:type="dxa"/>
      </w:tblCellMar>
    </w:tblPr>
  </w:style>
  <w:style w:type="table" w:customStyle="1" w:styleId="aff2">
    <w:basedOn w:val="TableNormalf4"/>
    <w:tblPr>
      <w:tblStyleRowBandSize w:val="1"/>
      <w:tblStyleColBandSize w:val="1"/>
      <w:tblCellMar>
        <w:top w:w="100" w:type="dxa"/>
        <w:left w:w="100" w:type="dxa"/>
        <w:bottom w:w="100" w:type="dxa"/>
        <w:right w:w="100" w:type="dxa"/>
      </w:tblCellMar>
    </w:tblPr>
  </w:style>
  <w:style w:type="table" w:customStyle="1" w:styleId="aff3">
    <w:basedOn w:val="TableNormalf4"/>
    <w:tblPr>
      <w:tblStyleRowBandSize w:val="1"/>
      <w:tblStyleColBandSize w:val="1"/>
      <w:tblCellMar>
        <w:top w:w="100" w:type="dxa"/>
        <w:left w:w="100" w:type="dxa"/>
        <w:bottom w:w="100" w:type="dxa"/>
        <w:right w:w="100" w:type="dxa"/>
      </w:tblCellMar>
    </w:tblPr>
  </w:style>
  <w:style w:type="table" w:customStyle="1" w:styleId="aff4">
    <w:basedOn w:val="TableNormalf4"/>
    <w:tblPr>
      <w:tblStyleRowBandSize w:val="1"/>
      <w:tblStyleColBandSize w:val="1"/>
      <w:tblCellMar>
        <w:top w:w="100" w:type="dxa"/>
        <w:left w:w="100" w:type="dxa"/>
        <w:bottom w:w="100" w:type="dxa"/>
        <w:right w:w="100" w:type="dxa"/>
      </w:tblCellMar>
    </w:tblPr>
  </w:style>
  <w:style w:type="table" w:customStyle="1" w:styleId="aff5">
    <w:basedOn w:val="TableNormalf4"/>
    <w:tblPr>
      <w:tblStyleRowBandSize w:val="1"/>
      <w:tblStyleColBandSize w:val="1"/>
      <w:tblCellMar>
        <w:top w:w="100" w:type="dxa"/>
        <w:left w:w="100" w:type="dxa"/>
        <w:bottom w:w="100" w:type="dxa"/>
        <w:right w:w="100" w:type="dxa"/>
      </w:tblCellMar>
    </w:tblPr>
  </w:style>
  <w:style w:type="table" w:customStyle="1" w:styleId="aff6">
    <w:basedOn w:val="TableNormalf4"/>
    <w:tblPr>
      <w:tblStyleRowBandSize w:val="1"/>
      <w:tblStyleColBandSize w:val="1"/>
      <w:tblCellMar>
        <w:top w:w="100" w:type="dxa"/>
        <w:left w:w="100" w:type="dxa"/>
        <w:bottom w:w="100" w:type="dxa"/>
        <w:right w:w="100" w:type="dxa"/>
      </w:tblCellMar>
    </w:tblPr>
  </w:style>
  <w:style w:type="table" w:customStyle="1" w:styleId="aff7">
    <w:basedOn w:val="TableNormalf4"/>
    <w:tblPr>
      <w:tblStyleRowBandSize w:val="1"/>
      <w:tblStyleColBandSize w:val="1"/>
      <w:tblCellMar>
        <w:top w:w="100" w:type="dxa"/>
        <w:left w:w="100" w:type="dxa"/>
        <w:bottom w:w="100" w:type="dxa"/>
        <w:right w:w="100" w:type="dxa"/>
      </w:tblCellMar>
    </w:tblPr>
  </w:style>
  <w:style w:type="table" w:customStyle="1" w:styleId="aff8">
    <w:basedOn w:val="TableNormalf4"/>
    <w:tblPr>
      <w:tblStyleRowBandSize w:val="1"/>
      <w:tblStyleColBandSize w:val="1"/>
      <w:tblCellMar>
        <w:top w:w="100" w:type="dxa"/>
        <w:left w:w="100" w:type="dxa"/>
        <w:bottom w:w="100" w:type="dxa"/>
        <w:right w:w="100" w:type="dxa"/>
      </w:tblCellMar>
    </w:tblPr>
  </w:style>
  <w:style w:type="table" w:customStyle="1" w:styleId="aff9">
    <w:basedOn w:val="TableNormalf4"/>
    <w:tblPr>
      <w:tblStyleRowBandSize w:val="1"/>
      <w:tblStyleColBandSize w:val="1"/>
      <w:tblCellMar>
        <w:top w:w="100" w:type="dxa"/>
        <w:left w:w="100" w:type="dxa"/>
        <w:bottom w:w="100" w:type="dxa"/>
        <w:right w:w="100" w:type="dxa"/>
      </w:tblCellMar>
    </w:tblPr>
  </w:style>
  <w:style w:type="table" w:customStyle="1" w:styleId="affa">
    <w:basedOn w:val="TableNormalf4"/>
    <w:tblPr>
      <w:tblStyleRowBandSize w:val="1"/>
      <w:tblStyleColBandSize w:val="1"/>
      <w:tblCellMar>
        <w:top w:w="100" w:type="dxa"/>
        <w:left w:w="100" w:type="dxa"/>
        <w:bottom w:w="100" w:type="dxa"/>
        <w:right w:w="100" w:type="dxa"/>
      </w:tblCellMar>
    </w:tblPr>
  </w:style>
  <w:style w:type="table" w:customStyle="1" w:styleId="affb">
    <w:basedOn w:val="TableNormalf4"/>
    <w:tblPr>
      <w:tblStyleRowBandSize w:val="1"/>
      <w:tblStyleColBandSize w:val="1"/>
      <w:tblCellMar>
        <w:top w:w="100" w:type="dxa"/>
        <w:left w:w="100" w:type="dxa"/>
        <w:bottom w:w="100" w:type="dxa"/>
        <w:right w:w="100" w:type="dxa"/>
      </w:tblCellMar>
    </w:tblPr>
  </w:style>
  <w:style w:type="table" w:customStyle="1" w:styleId="affc">
    <w:basedOn w:val="TableNormalf4"/>
    <w:tblPr>
      <w:tblStyleRowBandSize w:val="1"/>
      <w:tblStyleColBandSize w:val="1"/>
      <w:tblCellMar>
        <w:top w:w="100" w:type="dxa"/>
        <w:left w:w="100" w:type="dxa"/>
        <w:bottom w:w="100" w:type="dxa"/>
        <w:right w:w="100" w:type="dxa"/>
      </w:tblCellMar>
    </w:tblPr>
  </w:style>
  <w:style w:type="table" w:customStyle="1" w:styleId="affd">
    <w:basedOn w:val="TableNormalf4"/>
    <w:tblPr>
      <w:tblStyleRowBandSize w:val="1"/>
      <w:tblStyleColBandSize w:val="1"/>
      <w:tblCellMar>
        <w:top w:w="100" w:type="dxa"/>
        <w:left w:w="100" w:type="dxa"/>
        <w:bottom w:w="100" w:type="dxa"/>
        <w:right w:w="100" w:type="dxa"/>
      </w:tblCellMar>
    </w:tblPr>
  </w:style>
  <w:style w:type="table" w:customStyle="1" w:styleId="affe">
    <w:basedOn w:val="TableNormalf4"/>
    <w:tblPr>
      <w:tblStyleRowBandSize w:val="1"/>
      <w:tblStyleColBandSize w:val="1"/>
      <w:tblCellMar>
        <w:top w:w="100" w:type="dxa"/>
        <w:left w:w="100" w:type="dxa"/>
        <w:bottom w:w="100" w:type="dxa"/>
        <w:right w:w="100" w:type="dxa"/>
      </w:tblCellMar>
    </w:tblPr>
  </w:style>
  <w:style w:type="table" w:customStyle="1" w:styleId="afff">
    <w:basedOn w:val="TableNormalf4"/>
    <w:tblPr>
      <w:tblStyleRowBandSize w:val="1"/>
      <w:tblStyleColBandSize w:val="1"/>
      <w:tblCellMar>
        <w:top w:w="100" w:type="dxa"/>
        <w:left w:w="100" w:type="dxa"/>
        <w:bottom w:w="100" w:type="dxa"/>
        <w:right w:w="100" w:type="dxa"/>
      </w:tblCellMar>
    </w:tblPr>
  </w:style>
  <w:style w:type="table" w:customStyle="1" w:styleId="afff0">
    <w:basedOn w:val="TableNormalf4"/>
    <w:tblPr>
      <w:tblStyleRowBandSize w:val="1"/>
      <w:tblStyleColBandSize w:val="1"/>
      <w:tblCellMar>
        <w:top w:w="100" w:type="dxa"/>
        <w:left w:w="100" w:type="dxa"/>
        <w:bottom w:w="100" w:type="dxa"/>
        <w:right w:w="100" w:type="dxa"/>
      </w:tblCellMar>
    </w:tblPr>
  </w:style>
  <w:style w:type="table" w:customStyle="1" w:styleId="afff1">
    <w:basedOn w:val="TableNormalf4"/>
    <w:tblPr>
      <w:tblStyleRowBandSize w:val="1"/>
      <w:tblStyleColBandSize w:val="1"/>
      <w:tblCellMar>
        <w:top w:w="100" w:type="dxa"/>
        <w:left w:w="100" w:type="dxa"/>
        <w:bottom w:w="100" w:type="dxa"/>
        <w:right w:w="100" w:type="dxa"/>
      </w:tblCellMar>
    </w:tblPr>
  </w:style>
  <w:style w:type="table" w:customStyle="1" w:styleId="afff2">
    <w:basedOn w:val="TableNormalf4"/>
    <w:tblPr>
      <w:tblStyleRowBandSize w:val="1"/>
      <w:tblStyleColBandSize w:val="1"/>
      <w:tblCellMar>
        <w:top w:w="100" w:type="dxa"/>
        <w:left w:w="100" w:type="dxa"/>
        <w:bottom w:w="100" w:type="dxa"/>
        <w:right w:w="100" w:type="dxa"/>
      </w:tblCellMar>
    </w:tblPr>
  </w:style>
  <w:style w:type="table" w:customStyle="1" w:styleId="afff3">
    <w:basedOn w:val="TableNormalf4"/>
    <w:tblPr>
      <w:tblStyleRowBandSize w:val="1"/>
      <w:tblStyleColBandSize w:val="1"/>
      <w:tblCellMar>
        <w:top w:w="100" w:type="dxa"/>
        <w:left w:w="100" w:type="dxa"/>
        <w:bottom w:w="100" w:type="dxa"/>
        <w:right w:w="100" w:type="dxa"/>
      </w:tblCellMar>
    </w:tblPr>
  </w:style>
  <w:style w:type="table" w:customStyle="1" w:styleId="afff4">
    <w:basedOn w:val="TableNormalf4"/>
    <w:tblPr>
      <w:tblStyleRowBandSize w:val="1"/>
      <w:tblStyleColBandSize w:val="1"/>
      <w:tblCellMar>
        <w:top w:w="100" w:type="dxa"/>
        <w:left w:w="100" w:type="dxa"/>
        <w:bottom w:w="100" w:type="dxa"/>
        <w:right w:w="100" w:type="dxa"/>
      </w:tblCellMar>
    </w:tblPr>
  </w:style>
  <w:style w:type="table" w:customStyle="1" w:styleId="afff5">
    <w:basedOn w:val="TableNormalf4"/>
    <w:tblPr>
      <w:tblStyleRowBandSize w:val="1"/>
      <w:tblStyleColBandSize w:val="1"/>
      <w:tblCellMar>
        <w:top w:w="100" w:type="dxa"/>
        <w:left w:w="100" w:type="dxa"/>
        <w:bottom w:w="100" w:type="dxa"/>
        <w:right w:w="100" w:type="dxa"/>
      </w:tblCellMar>
    </w:tblPr>
  </w:style>
  <w:style w:type="table" w:customStyle="1" w:styleId="afff6">
    <w:basedOn w:val="TableNormalf4"/>
    <w:tblPr>
      <w:tblStyleRowBandSize w:val="1"/>
      <w:tblStyleColBandSize w:val="1"/>
      <w:tblCellMar>
        <w:top w:w="100" w:type="dxa"/>
        <w:left w:w="100" w:type="dxa"/>
        <w:bottom w:w="100" w:type="dxa"/>
        <w:right w:w="100" w:type="dxa"/>
      </w:tblCellMar>
    </w:tblPr>
  </w:style>
  <w:style w:type="table" w:customStyle="1" w:styleId="afff7">
    <w:basedOn w:val="TableNormalf4"/>
    <w:tblPr>
      <w:tblStyleRowBandSize w:val="1"/>
      <w:tblStyleColBandSize w:val="1"/>
      <w:tblCellMar>
        <w:top w:w="100" w:type="dxa"/>
        <w:left w:w="100" w:type="dxa"/>
        <w:bottom w:w="100" w:type="dxa"/>
        <w:right w:w="100" w:type="dxa"/>
      </w:tblCellMar>
    </w:tblPr>
  </w:style>
  <w:style w:type="table" w:customStyle="1" w:styleId="afff8">
    <w:basedOn w:val="TableNormalf4"/>
    <w:tblPr>
      <w:tblStyleRowBandSize w:val="1"/>
      <w:tblStyleColBandSize w:val="1"/>
      <w:tblCellMar>
        <w:top w:w="100" w:type="dxa"/>
        <w:left w:w="100" w:type="dxa"/>
        <w:bottom w:w="100" w:type="dxa"/>
        <w:right w:w="100" w:type="dxa"/>
      </w:tblCellMar>
    </w:tblPr>
  </w:style>
  <w:style w:type="table" w:customStyle="1" w:styleId="afff9">
    <w:basedOn w:val="TableNormalf4"/>
    <w:tblPr>
      <w:tblStyleRowBandSize w:val="1"/>
      <w:tblStyleColBandSize w:val="1"/>
      <w:tblCellMar>
        <w:top w:w="100" w:type="dxa"/>
        <w:left w:w="100" w:type="dxa"/>
        <w:bottom w:w="100" w:type="dxa"/>
        <w:right w:w="100" w:type="dxa"/>
      </w:tblCellMar>
    </w:tblPr>
  </w:style>
  <w:style w:type="table" w:customStyle="1" w:styleId="afffa">
    <w:basedOn w:val="TableNormalf4"/>
    <w:tblPr>
      <w:tblStyleRowBandSize w:val="1"/>
      <w:tblStyleColBandSize w:val="1"/>
      <w:tblCellMar>
        <w:top w:w="100" w:type="dxa"/>
        <w:left w:w="100" w:type="dxa"/>
        <w:bottom w:w="100" w:type="dxa"/>
        <w:right w:w="100" w:type="dxa"/>
      </w:tblCellMar>
    </w:tblPr>
  </w:style>
  <w:style w:type="table" w:customStyle="1" w:styleId="afffb">
    <w:basedOn w:val="TableNormalf4"/>
    <w:tblPr>
      <w:tblStyleRowBandSize w:val="1"/>
      <w:tblStyleColBandSize w:val="1"/>
      <w:tblCellMar>
        <w:top w:w="100" w:type="dxa"/>
        <w:left w:w="100" w:type="dxa"/>
        <w:bottom w:w="100" w:type="dxa"/>
        <w:right w:w="100" w:type="dxa"/>
      </w:tblCellMar>
    </w:tblPr>
  </w:style>
  <w:style w:type="table" w:customStyle="1" w:styleId="afffc">
    <w:basedOn w:val="TableNormalf4"/>
    <w:tblPr>
      <w:tblStyleRowBandSize w:val="1"/>
      <w:tblStyleColBandSize w:val="1"/>
      <w:tblCellMar>
        <w:top w:w="100" w:type="dxa"/>
        <w:left w:w="100" w:type="dxa"/>
        <w:bottom w:w="100" w:type="dxa"/>
        <w:right w:w="100" w:type="dxa"/>
      </w:tblCellMar>
    </w:tblPr>
  </w:style>
  <w:style w:type="table" w:customStyle="1" w:styleId="afffd">
    <w:basedOn w:val="TableNormalf4"/>
    <w:tblPr>
      <w:tblStyleRowBandSize w:val="1"/>
      <w:tblStyleColBandSize w:val="1"/>
      <w:tblCellMar>
        <w:top w:w="100" w:type="dxa"/>
        <w:left w:w="100" w:type="dxa"/>
        <w:bottom w:w="100" w:type="dxa"/>
        <w:right w:w="100" w:type="dxa"/>
      </w:tblCellMar>
    </w:tblPr>
  </w:style>
  <w:style w:type="table" w:customStyle="1" w:styleId="afffe">
    <w:basedOn w:val="TableNormalf4"/>
    <w:tblPr>
      <w:tblStyleRowBandSize w:val="1"/>
      <w:tblStyleColBandSize w:val="1"/>
      <w:tblCellMar>
        <w:top w:w="100" w:type="dxa"/>
        <w:left w:w="100" w:type="dxa"/>
        <w:bottom w:w="100" w:type="dxa"/>
        <w:right w:w="100" w:type="dxa"/>
      </w:tblCellMar>
    </w:tblPr>
  </w:style>
  <w:style w:type="table" w:customStyle="1" w:styleId="affff">
    <w:basedOn w:val="TableNormalf4"/>
    <w:tblPr>
      <w:tblStyleRowBandSize w:val="1"/>
      <w:tblStyleColBandSize w:val="1"/>
      <w:tblCellMar>
        <w:top w:w="100" w:type="dxa"/>
        <w:left w:w="100" w:type="dxa"/>
        <w:bottom w:w="100" w:type="dxa"/>
        <w:right w:w="100" w:type="dxa"/>
      </w:tblCellMar>
    </w:tblPr>
  </w:style>
  <w:style w:type="table" w:customStyle="1" w:styleId="affff0">
    <w:basedOn w:val="TableNormalf4"/>
    <w:tblPr>
      <w:tblStyleRowBandSize w:val="1"/>
      <w:tblStyleColBandSize w:val="1"/>
      <w:tblCellMar>
        <w:top w:w="100" w:type="dxa"/>
        <w:left w:w="100" w:type="dxa"/>
        <w:bottom w:w="100" w:type="dxa"/>
        <w:right w:w="100" w:type="dxa"/>
      </w:tblCellMar>
    </w:tblPr>
  </w:style>
  <w:style w:type="table" w:customStyle="1" w:styleId="affff1">
    <w:basedOn w:val="TableNormalf4"/>
    <w:tblPr>
      <w:tblStyleRowBandSize w:val="1"/>
      <w:tblStyleColBandSize w:val="1"/>
      <w:tblCellMar>
        <w:top w:w="100" w:type="dxa"/>
        <w:left w:w="100" w:type="dxa"/>
        <w:bottom w:w="100" w:type="dxa"/>
        <w:right w:w="100" w:type="dxa"/>
      </w:tblCellMar>
    </w:tblPr>
  </w:style>
  <w:style w:type="table" w:customStyle="1" w:styleId="affff2">
    <w:basedOn w:val="TableNormalf4"/>
    <w:tblPr>
      <w:tblStyleRowBandSize w:val="1"/>
      <w:tblStyleColBandSize w:val="1"/>
      <w:tblCellMar>
        <w:top w:w="100" w:type="dxa"/>
        <w:left w:w="100" w:type="dxa"/>
        <w:bottom w:w="100" w:type="dxa"/>
        <w:right w:w="100" w:type="dxa"/>
      </w:tblCellMar>
    </w:tblPr>
  </w:style>
  <w:style w:type="table" w:customStyle="1" w:styleId="affff3">
    <w:basedOn w:val="TableNormalf4"/>
    <w:tblPr>
      <w:tblStyleRowBandSize w:val="1"/>
      <w:tblStyleColBandSize w:val="1"/>
      <w:tblCellMar>
        <w:top w:w="100" w:type="dxa"/>
        <w:left w:w="100" w:type="dxa"/>
        <w:bottom w:w="100" w:type="dxa"/>
        <w:right w:w="100" w:type="dxa"/>
      </w:tblCellMar>
    </w:tblPr>
  </w:style>
  <w:style w:type="table" w:customStyle="1" w:styleId="affff4">
    <w:basedOn w:val="TableNormalf4"/>
    <w:tblPr>
      <w:tblStyleRowBandSize w:val="1"/>
      <w:tblStyleColBandSize w:val="1"/>
      <w:tblCellMar>
        <w:top w:w="100" w:type="dxa"/>
        <w:left w:w="100" w:type="dxa"/>
        <w:bottom w:w="100" w:type="dxa"/>
        <w:right w:w="100" w:type="dxa"/>
      </w:tblCellMar>
    </w:tblPr>
  </w:style>
  <w:style w:type="table" w:customStyle="1" w:styleId="affff5">
    <w:basedOn w:val="TableNormalf4"/>
    <w:tblPr>
      <w:tblStyleRowBandSize w:val="1"/>
      <w:tblStyleColBandSize w:val="1"/>
      <w:tblCellMar>
        <w:top w:w="100" w:type="dxa"/>
        <w:left w:w="100" w:type="dxa"/>
        <w:bottom w:w="100" w:type="dxa"/>
        <w:right w:w="100" w:type="dxa"/>
      </w:tblCellMar>
    </w:tblPr>
  </w:style>
  <w:style w:type="table" w:customStyle="1" w:styleId="affff6">
    <w:basedOn w:val="TableNormalf4"/>
    <w:tblPr>
      <w:tblStyleRowBandSize w:val="1"/>
      <w:tblStyleColBandSize w:val="1"/>
      <w:tblCellMar>
        <w:top w:w="100" w:type="dxa"/>
        <w:left w:w="100" w:type="dxa"/>
        <w:bottom w:w="100" w:type="dxa"/>
        <w:right w:w="100" w:type="dxa"/>
      </w:tblCellMar>
    </w:tblPr>
  </w:style>
  <w:style w:type="table" w:customStyle="1" w:styleId="affff7">
    <w:basedOn w:val="TableNormalf4"/>
    <w:tblPr>
      <w:tblStyleRowBandSize w:val="1"/>
      <w:tblStyleColBandSize w:val="1"/>
      <w:tblCellMar>
        <w:top w:w="100" w:type="dxa"/>
        <w:left w:w="100" w:type="dxa"/>
        <w:bottom w:w="100" w:type="dxa"/>
        <w:right w:w="100" w:type="dxa"/>
      </w:tblCellMar>
    </w:tblPr>
  </w:style>
  <w:style w:type="table" w:customStyle="1" w:styleId="affff8">
    <w:basedOn w:val="TableNormalf4"/>
    <w:tblPr>
      <w:tblStyleRowBandSize w:val="1"/>
      <w:tblStyleColBandSize w:val="1"/>
      <w:tblCellMar>
        <w:top w:w="100" w:type="dxa"/>
        <w:left w:w="100" w:type="dxa"/>
        <w:bottom w:w="100" w:type="dxa"/>
        <w:right w:w="100" w:type="dxa"/>
      </w:tblCellMar>
    </w:tblPr>
  </w:style>
  <w:style w:type="table" w:customStyle="1" w:styleId="affff9">
    <w:basedOn w:val="TableNormalf4"/>
    <w:tblPr>
      <w:tblStyleRowBandSize w:val="1"/>
      <w:tblStyleColBandSize w:val="1"/>
      <w:tblCellMar>
        <w:top w:w="100" w:type="dxa"/>
        <w:left w:w="100" w:type="dxa"/>
        <w:bottom w:w="100" w:type="dxa"/>
        <w:right w:w="100" w:type="dxa"/>
      </w:tblCellMar>
    </w:tblPr>
  </w:style>
  <w:style w:type="table" w:customStyle="1" w:styleId="affffa">
    <w:basedOn w:val="TableNormalf4"/>
    <w:tblPr>
      <w:tblStyleRowBandSize w:val="1"/>
      <w:tblStyleColBandSize w:val="1"/>
      <w:tblCellMar>
        <w:top w:w="100" w:type="dxa"/>
        <w:left w:w="100" w:type="dxa"/>
        <w:bottom w:w="100" w:type="dxa"/>
        <w:right w:w="100" w:type="dxa"/>
      </w:tblCellMar>
    </w:tblPr>
  </w:style>
  <w:style w:type="table" w:customStyle="1" w:styleId="affffb">
    <w:basedOn w:val="TableNormalf4"/>
    <w:tblPr>
      <w:tblStyleRowBandSize w:val="1"/>
      <w:tblStyleColBandSize w:val="1"/>
      <w:tblCellMar>
        <w:top w:w="100" w:type="dxa"/>
        <w:left w:w="100" w:type="dxa"/>
        <w:bottom w:w="100" w:type="dxa"/>
        <w:right w:w="100" w:type="dxa"/>
      </w:tblCellMar>
    </w:tblPr>
  </w:style>
  <w:style w:type="table" w:customStyle="1" w:styleId="affffc">
    <w:basedOn w:val="TableNormalf4"/>
    <w:tblPr>
      <w:tblStyleRowBandSize w:val="1"/>
      <w:tblStyleColBandSize w:val="1"/>
      <w:tblCellMar>
        <w:top w:w="100" w:type="dxa"/>
        <w:left w:w="100" w:type="dxa"/>
        <w:bottom w:w="100" w:type="dxa"/>
        <w:right w:w="100" w:type="dxa"/>
      </w:tblCellMar>
    </w:tblPr>
  </w:style>
  <w:style w:type="table" w:customStyle="1" w:styleId="affffd">
    <w:basedOn w:val="TableNormalf4"/>
    <w:tblPr>
      <w:tblStyleRowBandSize w:val="1"/>
      <w:tblStyleColBandSize w:val="1"/>
      <w:tblCellMar>
        <w:top w:w="100" w:type="dxa"/>
        <w:left w:w="100" w:type="dxa"/>
        <w:bottom w:w="100" w:type="dxa"/>
        <w:right w:w="100" w:type="dxa"/>
      </w:tblCellMar>
    </w:tblPr>
  </w:style>
  <w:style w:type="table" w:customStyle="1" w:styleId="affffe">
    <w:basedOn w:val="TableNormalf4"/>
    <w:tblPr>
      <w:tblStyleRowBandSize w:val="1"/>
      <w:tblStyleColBandSize w:val="1"/>
      <w:tblCellMar>
        <w:top w:w="100" w:type="dxa"/>
        <w:left w:w="100" w:type="dxa"/>
        <w:bottom w:w="100" w:type="dxa"/>
        <w:right w:w="100" w:type="dxa"/>
      </w:tblCellMar>
    </w:tblPr>
  </w:style>
  <w:style w:type="table" w:customStyle="1" w:styleId="afffff">
    <w:basedOn w:val="TableNormalf4"/>
    <w:tblPr>
      <w:tblStyleRowBandSize w:val="1"/>
      <w:tblStyleColBandSize w:val="1"/>
      <w:tblCellMar>
        <w:top w:w="100" w:type="dxa"/>
        <w:left w:w="100" w:type="dxa"/>
        <w:bottom w:w="100" w:type="dxa"/>
        <w:right w:w="100" w:type="dxa"/>
      </w:tblCellMar>
    </w:tblPr>
  </w:style>
  <w:style w:type="table" w:customStyle="1" w:styleId="afffff0">
    <w:basedOn w:val="TableNormalf4"/>
    <w:tblPr>
      <w:tblStyleRowBandSize w:val="1"/>
      <w:tblStyleColBandSize w:val="1"/>
      <w:tblCellMar>
        <w:top w:w="100" w:type="dxa"/>
        <w:left w:w="100" w:type="dxa"/>
        <w:bottom w:w="100" w:type="dxa"/>
        <w:right w:w="100" w:type="dxa"/>
      </w:tblCellMar>
    </w:tblPr>
  </w:style>
  <w:style w:type="table" w:customStyle="1" w:styleId="afffff1">
    <w:basedOn w:val="TableNormalf4"/>
    <w:tblPr>
      <w:tblStyleRowBandSize w:val="1"/>
      <w:tblStyleColBandSize w:val="1"/>
      <w:tblCellMar>
        <w:top w:w="100" w:type="dxa"/>
        <w:left w:w="100" w:type="dxa"/>
        <w:bottom w:w="100" w:type="dxa"/>
        <w:right w:w="100" w:type="dxa"/>
      </w:tblCellMar>
    </w:tblPr>
  </w:style>
  <w:style w:type="table" w:customStyle="1" w:styleId="afffff2">
    <w:basedOn w:val="TableNormalf4"/>
    <w:tblPr>
      <w:tblStyleRowBandSize w:val="1"/>
      <w:tblStyleColBandSize w:val="1"/>
      <w:tblCellMar>
        <w:top w:w="100" w:type="dxa"/>
        <w:left w:w="100" w:type="dxa"/>
        <w:bottom w:w="100" w:type="dxa"/>
        <w:right w:w="100" w:type="dxa"/>
      </w:tblCellMar>
    </w:tblPr>
  </w:style>
  <w:style w:type="table" w:customStyle="1" w:styleId="afffff3">
    <w:basedOn w:val="TableNormalf4"/>
    <w:tblPr>
      <w:tblStyleRowBandSize w:val="1"/>
      <w:tblStyleColBandSize w:val="1"/>
      <w:tblCellMar>
        <w:top w:w="100" w:type="dxa"/>
        <w:left w:w="100" w:type="dxa"/>
        <w:bottom w:w="100" w:type="dxa"/>
        <w:right w:w="100" w:type="dxa"/>
      </w:tblCellMar>
    </w:tblPr>
  </w:style>
  <w:style w:type="table" w:customStyle="1" w:styleId="afffff4">
    <w:basedOn w:val="TableNormalf4"/>
    <w:tblPr>
      <w:tblStyleRowBandSize w:val="1"/>
      <w:tblStyleColBandSize w:val="1"/>
      <w:tblCellMar>
        <w:top w:w="100" w:type="dxa"/>
        <w:left w:w="100" w:type="dxa"/>
        <w:bottom w:w="100" w:type="dxa"/>
        <w:right w:w="100" w:type="dxa"/>
      </w:tblCellMar>
    </w:tblPr>
  </w:style>
  <w:style w:type="table" w:customStyle="1" w:styleId="afffff5">
    <w:basedOn w:val="TableNormalf4"/>
    <w:tblPr>
      <w:tblStyleRowBandSize w:val="1"/>
      <w:tblStyleColBandSize w:val="1"/>
      <w:tblCellMar>
        <w:top w:w="100" w:type="dxa"/>
        <w:left w:w="100" w:type="dxa"/>
        <w:bottom w:w="100" w:type="dxa"/>
        <w:right w:w="100" w:type="dxa"/>
      </w:tblCellMar>
    </w:tblPr>
  </w:style>
  <w:style w:type="table" w:customStyle="1" w:styleId="afffff6">
    <w:basedOn w:val="TableNormalf4"/>
    <w:tblPr>
      <w:tblStyleRowBandSize w:val="1"/>
      <w:tblStyleColBandSize w:val="1"/>
      <w:tblCellMar>
        <w:top w:w="100" w:type="dxa"/>
        <w:left w:w="100" w:type="dxa"/>
        <w:bottom w:w="100" w:type="dxa"/>
        <w:right w:w="100" w:type="dxa"/>
      </w:tblCellMar>
    </w:tblPr>
  </w:style>
  <w:style w:type="table" w:customStyle="1" w:styleId="afffff7">
    <w:basedOn w:val="TableNormalf4"/>
    <w:tblPr>
      <w:tblStyleRowBandSize w:val="1"/>
      <w:tblStyleColBandSize w:val="1"/>
      <w:tblCellMar>
        <w:top w:w="100" w:type="dxa"/>
        <w:left w:w="100" w:type="dxa"/>
        <w:bottom w:w="100" w:type="dxa"/>
        <w:right w:w="100" w:type="dxa"/>
      </w:tblCellMar>
    </w:tblPr>
  </w:style>
  <w:style w:type="table" w:customStyle="1" w:styleId="afffff8">
    <w:basedOn w:val="TableNormalf4"/>
    <w:tblPr>
      <w:tblStyleRowBandSize w:val="1"/>
      <w:tblStyleColBandSize w:val="1"/>
      <w:tblCellMar>
        <w:top w:w="100" w:type="dxa"/>
        <w:left w:w="100" w:type="dxa"/>
        <w:bottom w:w="100" w:type="dxa"/>
        <w:right w:w="100" w:type="dxa"/>
      </w:tblCellMar>
    </w:tblPr>
  </w:style>
  <w:style w:type="table" w:customStyle="1" w:styleId="afffff9">
    <w:basedOn w:val="TableNormalf4"/>
    <w:tblPr>
      <w:tblStyleRowBandSize w:val="1"/>
      <w:tblStyleColBandSize w:val="1"/>
      <w:tblCellMar>
        <w:top w:w="100" w:type="dxa"/>
        <w:left w:w="100" w:type="dxa"/>
        <w:bottom w:w="100" w:type="dxa"/>
        <w:right w:w="100" w:type="dxa"/>
      </w:tblCellMar>
    </w:tblPr>
  </w:style>
  <w:style w:type="table" w:customStyle="1" w:styleId="afffffa">
    <w:basedOn w:val="TableNormalf4"/>
    <w:tblPr>
      <w:tblStyleRowBandSize w:val="1"/>
      <w:tblStyleColBandSize w:val="1"/>
      <w:tblCellMar>
        <w:top w:w="100" w:type="dxa"/>
        <w:left w:w="100" w:type="dxa"/>
        <w:bottom w:w="100" w:type="dxa"/>
        <w:right w:w="100" w:type="dxa"/>
      </w:tblCellMar>
    </w:tblPr>
  </w:style>
  <w:style w:type="table" w:customStyle="1" w:styleId="afffffb">
    <w:basedOn w:val="TableNormalf4"/>
    <w:tblPr>
      <w:tblStyleRowBandSize w:val="1"/>
      <w:tblStyleColBandSize w:val="1"/>
      <w:tblCellMar>
        <w:top w:w="100" w:type="dxa"/>
        <w:left w:w="100" w:type="dxa"/>
        <w:bottom w:w="100" w:type="dxa"/>
        <w:right w:w="100" w:type="dxa"/>
      </w:tblCellMar>
    </w:tblPr>
  </w:style>
  <w:style w:type="table" w:customStyle="1" w:styleId="afffffc">
    <w:basedOn w:val="TableNormalf4"/>
    <w:tblPr>
      <w:tblStyleRowBandSize w:val="1"/>
      <w:tblStyleColBandSize w:val="1"/>
      <w:tblCellMar>
        <w:top w:w="100" w:type="dxa"/>
        <w:left w:w="100" w:type="dxa"/>
        <w:bottom w:w="100" w:type="dxa"/>
        <w:right w:w="100" w:type="dxa"/>
      </w:tblCellMar>
    </w:tblPr>
  </w:style>
  <w:style w:type="table" w:customStyle="1" w:styleId="afffffd">
    <w:basedOn w:val="TableNormalf4"/>
    <w:tblPr>
      <w:tblStyleRowBandSize w:val="1"/>
      <w:tblStyleColBandSize w:val="1"/>
      <w:tblCellMar>
        <w:top w:w="100" w:type="dxa"/>
        <w:left w:w="100" w:type="dxa"/>
        <w:bottom w:w="100" w:type="dxa"/>
        <w:right w:w="100" w:type="dxa"/>
      </w:tblCellMar>
    </w:tblPr>
  </w:style>
  <w:style w:type="table" w:customStyle="1" w:styleId="afffffe">
    <w:basedOn w:val="TableNormalf4"/>
    <w:tblPr>
      <w:tblStyleRowBandSize w:val="1"/>
      <w:tblStyleColBandSize w:val="1"/>
      <w:tblCellMar>
        <w:top w:w="100" w:type="dxa"/>
        <w:left w:w="100" w:type="dxa"/>
        <w:bottom w:w="100" w:type="dxa"/>
        <w:right w:w="10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
    <w:basedOn w:val="TableNormalf4"/>
    <w:tblPr>
      <w:tblStyleRowBandSize w:val="1"/>
      <w:tblStyleColBandSize w:val="1"/>
    </w:tblPr>
  </w:style>
  <w:style w:type="table" w:customStyle="1" w:styleId="affffff0">
    <w:basedOn w:val="TableNormalf4"/>
    <w:tblPr>
      <w:tblStyleRowBandSize w:val="1"/>
      <w:tblStyleColBandSize w:val="1"/>
    </w:tblPr>
  </w:style>
  <w:style w:type="table" w:customStyle="1" w:styleId="affffff1">
    <w:basedOn w:val="TableNormalf4"/>
    <w:tblPr>
      <w:tblStyleRowBandSize w:val="1"/>
      <w:tblStyleColBandSize w:val="1"/>
    </w:tblPr>
  </w:style>
  <w:style w:type="table" w:customStyle="1" w:styleId="affffff2">
    <w:basedOn w:val="TableNormalf4"/>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klamace@digida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tabula.sk" TargetMode="External"/><Relationship Id="rId2" Type="http://schemas.openxmlformats.org/officeDocument/2006/relationships/hyperlink" Target="http://www.digiday.cz" TargetMode="External"/><Relationship Id="rId1" Type="http://schemas.openxmlformats.org/officeDocument/2006/relationships/hyperlink" Target="http://www.uredni-desk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MA6VOLkecEA+3M2C+Doz+CZFw==">CgMxLjAyCGguZ2pkZ3hzMgloLjFmb2I5dGU4AHIhMXRqZkFhMmJBS2ZETzNUSVVYclVEdXB6RkhGYWllSFd5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1520</Words>
  <Characters>8972</Characters>
  <Application>Microsoft Office Word</Application>
  <DocSecurity>0</DocSecurity>
  <Lines>74</Lines>
  <Paragraphs>20</Paragraphs>
  <ScaleCrop>false</ScaleCrop>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 Libor, Ing.</dc:creator>
  <cp:lastModifiedBy>Šárka Topičová</cp:lastModifiedBy>
  <cp:revision>2</cp:revision>
  <dcterms:created xsi:type="dcterms:W3CDTF">2021-11-16T09:05:00Z</dcterms:created>
  <dcterms:modified xsi:type="dcterms:W3CDTF">2025-12-02T15:06:00Z</dcterms:modified>
</cp:coreProperties>
</file>