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D0274A">
        <w:t>140</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D0274A">
        <w:rPr>
          <w:b/>
          <w:sz w:val="24"/>
        </w:rPr>
        <w:t>ELCERAM a.s.</w:t>
      </w:r>
    </w:p>
    <w:p w:rsidR="00402AFA" w:rsidRDefault="00402AFA" w:rsidP="00410070">
      <w:pPr>
        <w:tabs>
          <w:tab w:val="left" w:pos="1985"/>
        </w:tabs>
        <w:spacing w:line="230" w:lineRule="exact"/>
        <w:rPr>
          <w:b/>
          <w:bCs/>
          <w:sz w:val="24"/>
        </w:rPr>
      </w:pPr>
      <w:r>
        <w:rPr>
          <w:sz w:val="24"/>
        </w:rPr>
        <w:t>se sídlem:</w:t>
      </w:r>
      <w:r>
        <w:rPr>
          <w:b/>
          <w:bCs/>
          <w:sz w:val="24"/>
        </w:rPr>
        <w:tab/>
      </w:r>
      <w:r w:rsidR="00D0274A">
        <w:rPr>
          <w:b/>
          <w:bCs/>
          <w:sz w:val="24"/>
        </w:rPr>
        <w:t xml:space="preserve">Okružní 1144/19, </w:t>
      </w:r>
      <w:proofErr w:type="gramStart"/>
      <w:r w:rsidR="00D0274A">
        <w:rPr>
          <w:b/>
          <w:bCs/>
          <w:sz w:val="24"/>
        </w:rPr>
        <w:t>500 03  Hradec</w:t>
      </w:r>
      <w:proofErr w:type="gramEnd"/>
      <w:r w:rsidR="00D0274A">
        <w:rPr>
          <w:b/>
          <w:bCs/>
          <w:sz w:val="24"/>
        </w:rPr>
        <w:t xml:space="preserve"> Králové</w:t>
      </w:r>
    </w:p>
    <w:p w:rsidR="003D0091" w:rsidRDefault="00402AFA" w:rsidP="00410070">
      <w:pPr>
        <w:tabs>
          <w:tab w:val="left" w:pos="1985"/>
        </w:tabs>
        <w:spacing w:line="230" w:lineRule="exact"/>
        <w:rPr>
          <w:sz w:val="24"/>
        </w:rPr>
      </w:pPr>
      <w:r>
        <w:rPr>
          <w:sz w:val="24"/>
        </w:rPr>
        <w:t>IČ:</w:t>
      </w:r>
      <w:r w:rsidR="00410070">
        <w:rPr>
          <w:sz w:val="24"/>
        </w:rPr>
        <w:t xml:space="preserve">                            </w:t>
      </w:r>
      <w:r w:rsidR="00D0274A">
        <w:rPr>
          <w:sz w:val="24"/>
        </w:rPr>
        <w:t>601 08 681</w:t>
      </w:r>
    </w:p>
    <w:p w:rsidR="00402AFA" w:rsidRPr="001124B3" w:rsidRDefault="003D0091" w:rsidP="001124B3">
      <w:pPr>
        <w:pStyle w:val="Nadpis4"/>
        <w:rPr>
          <w:bCs/>
        </w:rPr>
      </w:pPr>
      <w:r>
        <w:t>DIČ:</w:t>
      </w:r>
      <w:r w:rsidR="00402AFA">
        <w:rPr>
          <w:b/>
          <w:bCs/>
        </w:rPr>
        <w:tab/>
      </w:r>
      <w:r w:rsidR="001124B3">
        <w:rPr>
          <w:bCs/>
        </w:rPr>
        <w:t xml:space="preserve">                     </w:t>
      </w:r>
      <w:r w:rsidR="00D0274A">
        <w:rPr>
          <w:bCs/>
        </w:rPr>
        <w:t>CZ 601 08 681</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D0274A">
        <w:rPr>
          <w:sz w:val="24"/>
        </w:rPr>
        <w:t> Hradci Králové</w:t>
      </w:r>
      <w:r w:rsidR="00410070">
        <w:rPr>
          <w:sz w:val="24"/>
        </w:rPr>
        <w:t>,</w:t>
      </w:r>
      <w:r>
        <w:rPr>
          <w:sz w:val="24"/>
        </w:rPr>
        <w:t xml:space="preserve"> oddíl</w:t>
      </w:r>
      <w:r w:rsidR="00D0274A">
        <w:rPr>
          <w:sz w:val="24"/>
        </w:rPr>
        <w:t xml:space="preserve"> B</w:t>
      </w:r>
      <w:r>
        <w:rPr>
          <w:sz w:val="24"/>
        </w:rPr>
        <w:t>,</w:t>
      </w:r>
      <w:r w:rsidR="00D74815">
        <w:rPr>
          <w:sz w:val="24"/>
        </w:rPr>
        <w:t xml:space="preserve"> </w:t>
      </w:r>
      <w:r>
        <w:rPr>
          <w:sz w:val="24"/>
        </w:rPr>
        <w:t xml:space="preserve">vložka </w:t>
      </w:r>
      <w:r w:rsidR="00D0274A">
        <w:rPr>
          <w:sz w:val="24"/>
        </w:rPr>
        <w:t>994</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D0274A" w:rsidRPr="00D0274A">
        <w:rPr>
          <w:b/>
          <w:sz w:val="24"/>
        </w:rPr>
        <w:t xml:space="preserve">Ing. </w:t>
      </w:r>
      <w:r w:rsidR="00D07D4A">
        <w:rPr>
          <w:b/>
          <w:sz w:val="24"/>
        </w:rPr>
        <w:t>Janem Johanem</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D07D4A">
        <w:rPr>
          <w:sz w:val="24"/>
        </w:rPr>
        <w:t xml:space="preserve">                     generálním</w:t>
      </w:r>
      <w:proofErr w:type="gramEnd"/>
      <w:r w:rsidR="00D07D4A">
        <w:rPr>
          <w:sz w:val="24"/>
        </w:rPr>
        <w:t xml:space="preserve"> ředitelem na základě plné moci</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D0274A">
        <w:rPr>
          <w:b/>
          <w:sz w:val="24"/>
        </w:rPr>
        <w:t>140</w:t>
      </w:r>
      <w:r w:rsidRPr="00410070">
        <w:rPr>
          <w:b/>
          <w:sz w:val="24"/>
        </w:rPr>
        <w:t xml:space="preserve"> „</w:t>
      </w:r>
      <w:r w:rsidR="00D0274A">
        <w:rPr>
          <w:b/>
          <w:sz w:val="24"/>
        </w:rPr>
        <w:t>Pokročilý materiálový systém pro výrobu chytré výkonové elektroniky ADMAT</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D0274A" w:rsidRPr="00992FBC" w:rsidRDefault="00D0274A">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D0274A">
        <w:rPr>
          <w:b/>
          <w:bCs/>
        </w:rPr>
        <w:t>Západočeská univerzita v Plzni</w:t>
      </w:r>
    </w:p>
    <w:p w:rsidR="00402AFA" w:rsidRPr="00992FBC" w:rsidRDefault="00402AFA" w:rsidP="00410070">
      <w:pPr>
        <w:pStyle w:val="Zkladntext"/>
        <w:tabs>
          <w:tab w:val="left" w:pos="1843"/>
        </w:tabs>
        <w:ind w:right="-227"/>
        <w:jc w:val="left"/>
      </w:pPr>
      <w:r w:rsidRPr="00992FBC">
        <w:t>Sídlo:</w:t>
      </w:r>
      <w:r w:rsidRPr="00992FBC">
        <w:rPr>
          <w:b/>
          <w:bCs/>
        </w:rPr>
        <w:tab/>
      </w:r>
      <w:r w:rsidR="00D0274A">
        <w:rPr>
          <w:b/>
          <w:bCs/>
        </w:rPr>
        <w:t xml:space="preserve">Univerzitní 2732/8, </w:t>
      </w:r>
      <w:proofErr w:type="gramStart"/>
      <w:r w:rsidR="00D0274A">
        <w:rPr>
          <w:b/>
          <w:bCs/>
        </w:rPr>
        <w:t>306 14  Plzeň</w:t>
      </w:r>
      <w:proofErr w:type="gramEnd"/>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D0274A">
        <w:rPr>
          <w:b/>
          <w:bCs/>
        </w:rPr>
        <w:t>497 77 513</w:t>
      </w:r>
    </w:p>
    <w:p w:rsidR="00402AFA" w:rsidRPr="00992FBC" w:rsidRDefault="00402AFA">
      <w:pPr>
        <w:pStyle w:val="Zkladntext"/>
        <w:tabs>
          <w:tab w:val="left" w:pos="1843"/>
        </w:tabs>
        <w:ind w:right="-227"/>
        <w:rPr>
          <w:b/>
          <w:bCs/>
          <w:color w:val="FFC000"/>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D0274A"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D0274A">
        <w:rPr>
          <w:b/>
          <w:sz w:val="24"/>
        </w:rPr>
        <w:t xml:space="preserve"> </w:t>
      </w:r>
      <w:r w:rsidR="00D0274A" w:rsidRPr="00D0274A">
        <w:rPr>
          <w:b/>
          <w:sz w:val="24"/>
        </w:rPr>
        <w:t>07/2017 – 12/2020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D0274A"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D0274A" w:rsidRPr="00D0274A">
        <w:rPr>
          <w:b/>
          <w:bCs/>
        </w:rPr>
        <w:t>115-4656780247/0100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D0274A">
        <w:t>Komerční banka, a.s.</w:t>
      </w:r>
    </w:p>
    <w:p w:rsidR="003D775D" w:rsidRDefault="003D775D" w:rsidP="00410070">
      <w:pPr>
        <w:pStyle w:val="Zkladntext"/>
        <w:tabs>
          <w:tab w:val="left" w:pos="5387"/>
        </w:tabs>
        <w:jc w:val="left"/>
      </w:pPr>
      <w:r>
        <w:tab/>
      </w:r>
      <w:r w:rsidR="00410070">
        <w:t xml:space="preserve">             </w:t>
      </w:r>
      <w:r w:rsidR="00D0274A">
        <w:t>Na Příkopě 33, Praha 1</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D0274A" w:rsidRDefault="00D0274A" w:rsidP="00866392">
      <w:pPr>
        <w:keepNext/>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D0274A"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ELCERAM a.s.</w:t>
      </w:r>
    </w:p>
    <w:p w:rsidR="00012F66" w:rsidRPr="00410070" w:rsidRDefault="00410070" w:rsidP="00410070">
      <w:pPr>
        <w:tabs>
          <w:tab w:val="left" w:pos="5812"/>
        </w:tabs>
        <w:rPr>
          <w:b/>
          <w:bCs/>
          <w:iCs/>
          <w:sz w:val="18"/>
          <w:szCs w:val="18"/>
        </w:rPr>
      </w:pPr>
      <w:r>
        <w:rPr>
          <w:b/>
          <w:bCs/>
          <w:iCs/>
          <w:sz w:val="18"/>
          <w:szCs w:val="18"/>
        </w:rPr>
        <w:t xml:space="preserve">             </w:t>
      </w:r>
      <w:r w:rsidR="00D0274A">
        <w:rPr>
          <w:b/>
          <w:bCs/>
          <w:iCs/>
          <w:sz w:val="18"/>
          <w:szCs w:val="18"/>
        </w:rPr>
        <w:t xml:space="preserve">                                                                                                                        Okružní 1144/19, </w:t>
      </w:r>
      <w:proofErr w:type="gramStart"/>
      <w:r w:rsidR="00D0274A">
        <w:rPr>
          <w:b/>
          <w:bCs/>
          <w:iCs/>
          <w:sz w:val="18"/>
          <w:szCs w:val="18"/>
        </w:rPr>
        <w:t>500 03  Hradec</w:t>
      </w:r>
      <w:proofErr w:type="gramEnd"/>
      <w:r w:rsidR="00D0274A">
        <w:rPr>
          <w:b/>
          <w:bCs/>
          <w:iCs/>
          <w:sz w:val="18"/>
          <w:szCs w:val="18"/>
        </w:rPr>
        <w:t xml:space="preserve"> Králové</w:t>
      </w:r>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Default="00E977ED">
      <w:pPr>
        <w:tabs>
          <w:tab w:val="left" w:pos="993"/>
          <w:tab w:val="left" w:pos="5387"/>
        </w:tabs>
        <w:jc w:val="both"/>
        <w:rPr>
          <w:bCs/>
          <w:sz w:val="24"/>
        </w:rPr>
      </w:pPr>
      <w:r>
        <w:rPr>
          <w:bCs/>
          <w:sz w:val="24"/>
        </w:rPr>
        <w:t xml:space="preserve">           </w:t>
      </w:r>
    </w:p>
    <w:p w:rsidR="00D07D4A" w:rsidRPr="00DA7174" w:rsidRDefault="00D07D4A">
      <w:pPr>
        <w:tabs>
          <w:tab w:val="left" w:pos="993"/>
          <w:tab w:val="left" w:pos="5387"/>
        </w:tabs>
        <w:jc w:val="both"/>
        <w:rPr>
          <w:b/>
          <w:bCs/>
          <w:sz w:val="24"/>
        </w:rPr>
      </w:pPr>
      <w:bookmarkStart w:id="0" w:name="_GoBack"/>
      <w:bookmarkEnd w:id="0"/>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42525D">
        <w:rPr>
          <w:b/>
          <w:bCs/>
          <w:sz w:val="24"/>
        </w:rPr>
        <w:t xml:space="preserve">               Ing. </w:t>
      </w:r>
      <w:r w:rsidR="00D07D4A">
        <w:rPr>
          <w:b/>
          <w:bCs/>
          <w:sz w:val="24"/>
        </w:rPr>
        <w:t>Jan Johan</w:t>
      </w:r>
    </w:p>
    <w:p w:rsidR="00402AFA" w:rsidRPr="006A60D0" w:rsidRDefault="00D07D4A" w:rsidP="00410070">
      <w:pPr>
        <w:pStyle w:val="Zkladntext"/>
        <w:tabs>
          <w:tab w:val="left" w:pos="993"/>
          <w:tab w:val="left" w:pos="5387"/>
        </w:tabs>
        <w:rPr>
          <w:bCs/>
        </w:rPr>
      </w:pPr>
      <w:r>
        <w:rPr>
          <w:bCs/>
          <w:spacing w:val="-8"/>
        </w:rPr>
        <w:t xml:space="preserve"> </w:t>
      </w:r>
      <w:r w:rsidR="00CC4A2A">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r>
      <w:r>
        <w:rPr>
          <w:b/>
        </w:rPr>
        <w:t xml:space="preserve">          </w:t>
      </w:r>
      <w:r w:rsidR="00410070">
        <w:rPr>
          <w:bCs/>
        </w:rPr>
        <w:t xml:space="preserve">  </w:t>
      </w:r>
      <w:r w:rsidR="0042525D">
        <w:rPr>
          <w:bCs/>
        </w:rPr>
        <w:t xml:space="preserve">          </w:t>
      </w:r>
      <w:r>
        <w:rPr>
          <w:bCs/>
        </w:rPr>
        <w:t>generální ředitel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8A9" w:rsidRDefault="00EC48A9">
      <w:r>
        <w:separator/>
      </w:r>
    </w:p>
  </w:endnote>
  <w:endnote w:type="continuationSeparator" w:id="0">
    <w:p w:rsidR="00EC48A9" w:rsidRDefault="00EC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D07D4A">
      <w:rPr>
        <w:noProof/>
      </w:rPr>
      <w:t>10</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8A9" w:rsidRDefault="00EC48A9">
      <w:r>
        <w:separator/>
      </w:r>
    </w:p>
  </w:footnote>
  <w:footnote w:type="continuationSeparator" w:id="0">
    <w:p w:rsidR="00EC48A9" w:rsidRDefault="00EC4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D0274A">
      <w:rPr>
        <w:sz w:val="16"/>
        <w:szCs w:val="16"/>
      </w:rPr>
      <w:t>140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525D"/>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B37E1"/>
    <w:rsid w:val="00CC2391"/>
    <w:rsid w:val="00CC4A2A"/>
    <w:rsid w:val="00CC4CB2"/>
    <w:rsid w:val="00CC5EF6"/>
    <w:rsid w:val="00CC7670"/>
    <w:rsid w:val="00CE2856"/>
    <w:rsid w:val="00CE63BF"/>
    <w:rsid w:val="00CE7C00"/>
    <w:rsid w:val="00CF01EE"/>
    <w:rsid w:val="00CF2AAD"/>
    <w:rsid w:val="00D0274A"/>
    <w:rsid w:val="00D06A03"/>
    <w:rsid w:val="00D07D4A"/>
    <w:rsid w:val="00D215BA"/>
    <w:rsid w:val="00D22B13"/>
    <w:rsid w:val="00D4024F"/>
    <w:rsid w:val="00D42C9C"/>
    <w:rsid w:val="00D5506F"/>
    <w:rsid w:val="00D6166D"/>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92DBC-814A-4641-8C0F-83A097F5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206C7064.dotm</Template>
  <TotalTime>50</TotalTime>
  <Pages>11</Pages>
  <Words>4800</Words>
  <Characters>29123</Characters>
  <Application>Microsoft Office Word</Application>
  <DocSecurity>0</DocSecurity>
  <Lines>242</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22</cp:revision>
  <cp:lastPrinted>2017-08-08T09:40:00Z</cp:lastPrinted>
  <dcterms:created xsi:type="dcterms:W3CDTF">2017-06-07T08:15:00Z</dcterms:created>
  <dcterms:modified xsi:type="dcterms:W3CDTF">2017-08-08T09:43:00Z</dcterms:modified>
</cp:coreProperties>
</file>