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1213/2025</w:t>
      </w:r>
      <w:bookmarkEnd w:id="3"/>
      <w:bookmarkEnd w:id="4"/>
      <w:bookmarkEnd w:id="5"/>
    </w:p>
    <w:p>
      <w:pPr>
        <w:pStyle w:val="Style8"/>
        <w:keepNext/>
        <w:keepLines/>
        <w:widowControl w:val="0"/>
        <w:shd w:val="clear" w:color="auto" w:fill="auto"/>
        <w:bidi w:val="0"/>
        <w:spacing w:before="0" w:after="180" w:line="240" w:lineRule="auto"/>
        <w:ind w:left="260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“Tvršický vodovod, šachta č. 6 – výměna šoupěte”</w:t>
      </w:r>
    </w:p>
    <w:p>
      <w:pPr>
        <w:pStyle w:val="Style8"/>
        <w:keepNext/>
        <w:keepLines/>
        <w:widowControl w:val="0"/>
        <w:shd w:val="clear" w:color="auto" w:fill="auto"/>
        <w:bidi w:val="0"/>
        <w:spacing w:before="0" w:after="18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8"/>
        <w:keepNext/>
        <w:keepLines/>
        <w:widowControl w:val="0"/>
        <w:shd w:val="clear" w:color="auto" w:fill="auto"/>
        <w:tabs>
          <w:tab w:pos="2786"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10"/>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val="0"/>
        <w:keepLines w:val="0"/>
        <w:widowControl w:val="0"/>
        <w:shd w:val="clear" w:color="auto" w:fill="auto"/>
        <w:bidi w:val="0"/>
        <w:spacing w:before="0" w:after="180" w:line="240" w:lineRule="auto"/>
        <w:ind w:left="0" w:right="0" w:firstLine="0"/>
        <w:jc w:val="left"/>
      </w:pPr>
      <w:bookmarkStart w:id="12" w:name="bookmark12"/>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18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8"/>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p>
      <w:pPr>
        <w:pStyle w:val="Style8"/>
        <w:keepNext/>
        <w:keepLines/>
        <w:widowControl w:val="0"/>
        <w:shd w:val="clear" w:color="auto" w:fill="auto"/>
        <w:tabs>
          <w:tab w:pos="2786" w:val="left"/>
        </w:tabs>
        <w:bidi w:val="0"/>
        <w:spacing w:before="0" w:after="0" w:line="240" w:lineRule="auto"/>
        <w:ind w:left="0" w:right="0" w:firstLine="0"/>
        <w:jc w:val="left"/>
      </w:pPr>
      <w:bookmarkStart w:id="19" w:name="bookmark19"/>
      <w:bookmarkStart w:id="20" w:name="bookmark20"/>
      <w:bookmarkStart w:id="21" w:name="bookmark21"/>
      <w:r>
        <w:rPr>
          <w:b/>
          <w:bCs/>
          <w:color w:val="000000"/>
          <w:spacing w:val="0"/>
          <w:w w:val="100"/>
          <w:position w:val="0"/>
          <w:shd w:val="clear" w:color="auto" w:fill="auto"/>
          <w:lang w:val="cs-CZ" w:eastAsia="cs-CZ" w:bidi="cs-CZ"/>
        </w:rPr>
        <w:t>zhotovitel:</w:t>
        <w:tab/>
        <w:t>FINSTAV Vodohospodářská stavební s.r.o.</w:t>
      </w:r>
      <w:bookmarkEnd w:id="19"/>
      <w:bookmarkEnd w:id="20"/>
      <w:bookmarkEnd w:id="21"/>
    </w:p>
    <w:p>
      <w:pPr>
        <w:pStyle w:val="Style8"/>
        <w:keepNext/>
        <w:keepLines/>
        <w:widowControl w:val="0"/>
        <w:shd w:val="clear" w:color="auto" w:fill="auto"/>
        <w:tabs>
          <w:tab w:pos="2786" w:val="left"/>
        </w:tabs>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sídlo:</w:t>
        <w:tab/>
        <w:t>Černovická 4264, 430 03 Chomutov</w:t>
      </w:r>
      <w:bookmarkEnd w:id="22"/>
      <w:bookmarkEnd w:id="23"/>
      <w:bookmarkEnd w:id="24"/>
    </w:p>
    <w:p>
      <w:pPr>
        <w:pStyle w:val="Style10"/>
        <w:keepNext w:val="0"/>
        <w:keepLines w:val="0"/>
        <w:widowControl w:val="0"/>
        <w:shd w:val="clear" w:color="auto" w:fill="auto"/>
        <w:bidi w:val="0"/>
        <w:spacing w:before="0" w:after="0" w:line="240" w:lineRule="auto"/>
        <w:ind w:left="0" w:right="0" w:firstLine="0"/>
        <w:jc w:val="left"/>
      </w:pPr>
      <w:bookmarkStart w:id="25" w:name="bookmark25"/>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25"/>
    </w:p>
    <w:p>
      <w:pPr>
        <w:pStyle w:val="Style10"/>
        <w:keepNext w:val="0"/>
        <w:keepLines w:val="0"/>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stavbyvedoucí: manažer stavby:</w:t>
      </w:r>
      <w:bookmarkEnd w:id="26"/>
      <w:bookmarkEnd w:id="27"/>
      <w:bookmarkEnd w:id="28"/>
    </w:p>
    <w:p>
      <w:pPr>
        <w:pStyle w:val="Style10"/>
        <w:keepNext w:val="0"/>
        <w:keepLines w:val="0"/>
        <w:widowControl w:val="0"/>
        <w:shd w:val="clear" w:color="auto" w:fill="auto"/>
        <w:tabs>
          <w:tab w:pos="2786" w:val="left"/>
        </w:tabs>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IČO:</w:t>
        <w:tab/>
        <w:t>44567731</w:t>
      </w:r>
      <w:bookmarkEnd w:id="29"/>
      <w:bookmarkEnd w:id="30"/>
    </w:p>
    <w:p>
      <w:pPr>
        <w:pStyle w:val="Style8"/>
        <w:keepNext/>
        <w:keepLines/>
        <w:widowControl w:val="0"/>
        <w:shd w:val="clear" w:color="auto" w:fill="auto"/>
        <w:tabs>
          <w:tab w:pos="2786"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CZ44567731</w:t>
      </w:r>
      <w:bookmarkEnd w:id="31"/>
      <w:bookmarkEnd w:id="32"/>
      <w:bookmarkEnd w:id="33"/>
    </w:p>
    <w:p>
      <w:pPr>
        <w:pStyle w:val="Style8"/>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8"/>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8"/>
        <w:keepNext/>
        <w:keepLines/>
        <w:widowControl w:val="0"/>
        <w:shd w:val="clear" w:color="auto" w:fill="auto"/>
        <w:tabs>
          <w:tab w:pos="2786" w:val="left"/>
        </w:tabs>
        <w:bidi w:val="0"/>
        <w:spacing w:before="0" w:after="18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40"/>
      <w:bookmarkEnd w:id="41"/>
      <w:bookmarkEnd w:id="42"/>
    </w:p>
    <w:p>
      <w:pPr>
        <w:pStyle w:val="Style10"/>
        <w:keepNext w:val="0"/>
        <w:keepLines w:val="0"/>
        <w:widowControl w:val="0"/>
        <w:shd w:val="clear" w:color="auto" w:fill="auto"/>
        <w:bidi w:val="0"/>
        <w:spacing w:before="0" w:after="18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(dále jen „zhotovitel“)</w:t>
      </w:r>
      <w:bookmarkEnd w:id="43"/>
      <w:bookmarkEnd w:id="44"/>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„Tvršický vodovod, šachta č. 6 – výměna šoupěte” (dále jen „Veřejná zakázka“), ve kterém byla nabídka zhotovitele vyhodnocena jako ekonomicky nejvýhodnější.</w:t>
      </w:r>
      <w:bookmarkEnd w:id="45"/>
      <w:bookmarkEnd w:id="46"/>
      <w:bookmarkEnd w:id="48"/>
    </w:p>
    <w:p>
      <w:pPr>
        <w:pStyle w:val="Style8"/>
        <w:keepNext/>
        <w:keepLines/>
        <w:widowControl w:val="0"/>
        <w:shd w:val="clear" w:color="auto" w:fill="auto"/>
        <w:bidi w:val="0"/>
        <w:spacing w:before="0" w:line="240" w:lineRule="auto"/>
        <w:ind w:right="0" w:firstLine="20"/>
        <w:jc w:val="both"/>
      </w:pPr>
      <w:bookmarkStart w:id="49" w:name="bookmark49"/>
      <w:bookmarkStart w:id="50" w:name="bookmark50"/>
      <w:bookmarkStart w:id="51" w:name="bookmark51"/>
      <w:r>
        <w:rPr>
          <w:color w:val="000000"/>
          <w:spacing w:val="0"/>
          <w:w w:val="100"/>
          <w:position w:val="0"/>
          <w:shd w:val="clear" w:color="auto" w:fill="auto"/>
          <w:lang w:val="cs-CZ" w:eastAsia="cs-CZ" w:bidi="cs-CZ"/>
        </w:rPr>
        <w:t>Předmětem veřejné zakázky je nahrazení stávajícího kovotěsnícího šoupěte šoupětem měkotěsnícím, včetně zemních prací a dodávky šoupěte. Jedná se o šoupě - pitná voda litina GGG 50 krátká stavební dl PN10/16 DN 300x270mm. V rámci stavby bude původní konstrukce demontována a nahrazena novou konstrukcí šoupátko pitná voda litina GGG 50 krátká. V daném termínu od 02.12.2025 – proběhne zahájení odstávky pro výměnu šoupěte, ukončení odstávky pro výměnu šoupěte je 04.12.2025.</w:t>
      </w:r>
      <w:bookmarkEnd w:id="49"/>
      <w:bookmarkEnd w:id="50"/>
      <w:bookmarkEnd w:id="51"/>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Zhotovitel se zavazuje provést výše uvedené dílo v rozsahu cenové nabídky firmy FINSTAV Vodohospodářská stavební s.r.o., která tvoří přílohu č. 1 této smlouvy.</w:t>
      </w:r>
      <w:bookmarkEnd w:id="52"/>
      <w:bookmarkEnd w:id="53"/>
      <w:bookmarkEnd w:id="55"/>
    </w:p>
    <w:p>
      <w:pPr>
        <w:pStyle w:val="Style8"/>
        <w:keepNext/>
        <w:keepLines/>
        <w:widowControl w:val="0"/>
        <w:shd w:val="clear" w:color="auto" w:fill="auto"/>
        <w:bidi w:val="0"/>
        <w:spacing w:before="0" w:line="240" w:lineRule="auto"/>
        <w:ind w:left="0" w:right="0" w:firstLine="380"/>
        <w:jc w:val="both"/>
      </w:pPr>
      <w:bookmarkStart w:id="56" w:name="bookmark56"/>
      <w:bookmarkStart w:id="57" w:name="bookmark57"/>
      <w:bookmarkStart w:id="58" w:name="bookmark58"/>
      <w:r>
        <w:rPr>
          <w:color w:val="000000"/>
          <w:spacing w:val="0"/>
          <w:w w:val="100"/>
          <w:position w:val="0"/>
          <w:shd w:val="clear" w:color="auto" w:fill="auto"/>
          <w:lang w:val="cs-CZ" w:eastAsia="cs-CZ" w:bidi="cs-CZ"/>
        </w:rPr>
        <w:t>Místo provádění díla: k.ú. Velemyšleves, kraj Ústecký</w:t>
      </w:r>
      <w:bookmarkEnd w:id="56"/>
      <w:bookmarkEnd w:id="57"/>
      <w:bookmarkEnd w:id="58"/>
    </w:p>
    <w:p>
      <w:pPr>
        <w:pStyle w:val="Style8"/>
        <w:keepNext/>
        <w:keepLines/>
        <w:widowControl w:val="0"/>
        <w:numPr>
          <w:ilvl w:val="0"/>
          <w:numId w:val="1"/>
        </w:numPr>
        <w:shd w:val="clear" w:color="auto" w:fill="auto"/>
        <w:tabs>
          <w:tab w:pos="360" w:val="left"/>
        </w:tabs>
        <w:bidi w:val="0"/>
        <w:spacing w:before="0" w:line="240" w:lineRule="auto"/>
        <w:ind w:left="0" w:right="0" w:firstLine="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Za předmět díla se dále považuje:</w:t>
      </w:r>
      <w:bookmarkEnd w:id="59"/>
      <w:bookmarkEnd w:id="60"/>
      <w:bookmarkEnd w:id="62"/>
    </w:p>
    <w:p>
      <w:pPr>
        <w:pStyle w:val="Style15"/>
        <w:keepNext/>
        <w:keepLines/>
        <w:widowControl w:val="0"/>
        <w:numPr>
          <w:ilvl w:val="0"/>
          <w:numId w:val="3"/>
        </w:numPr>
        <w:shd w:val="clear" w:color="auto" w:fill="auto"/>
        <w:bidi w:val="0"/>
        <w:spacing w:before="0" w:after="0" w:line="240" w:lineRule="auto"/>
        <w:ind w:right="0" w:hanging="62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a) zpracování podrobného harmonogramu postupu prací, který bude schválen objednatelem,</w:t>
      </w:r>
      <w:bookmarkEnd w:id="63"/>
      <w:bookmarkEnd w:id="64"/>
      <w:bookmarkEnd w:id="66"/>
    </w:p>
    <w:p>
      <w:pPr>
        <w:pStyle w:val="Style15"/>
        <w:keepNext/>
        <w:keepLines/>
        <w:widowControl w:val="0"/>
        <w:numPr>
          <w:ilvl w:val="0"/>
          <w:numId w:val="5"/>
        </w:numPr>
        <w:shd w:val="clear" w:color="auto" w:fill="auto"/>
        <w:bidi w:val="0"/>
        <w:spacing w:before="0" w:after="0" w:line="240" w:lineRule="auto"/>
        <w:ind w:left="0" w:right="0" w:firstLine="38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b) ověření a případná aktualizace výskytu a uložení podzemních zařízení</w:t>
      </w:r>
      <w:bookmarkEnd w:id="67"/>
      <w:bookmarkEnd w:id="68"/>
      <w:bookmarkEnd w:id="70"/>
    </w:p>
    <w:p>
      <w:pPr>
        <w:pStyle w:val="Style15"/>
        <w:keepNext/>
        <w:keepLines/>
        <w:widowControl w:val="0"/>
        <w:shd w:val="clear" w:color="auto" w:fill="auto"/>
        <w:bidi w:val="0"/>
        <w:spacing w:before="0" w:after="0" w:line="240" w:lineRule="auto"/>
        <w:ind w:right="0" w:hanging="62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3.c) 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71"/>
      <w:bookmarkEnd w:id="72"/>
      <w:bookmarkEnd w:id="73"/>
    </w:p>
    <w:p>
      <w:pPr>
        <w:pStyle w:val="Style15"/>
        <w:keepNext/>
        <w:keepLines/>
        <w:widowControl w:val="0"/>
        <w:shd w:val="clear" w:color="auto" w:fill="auto"/>
        <w:bidi w:val="0"/>
        <w:spacing w:before="0" w:after="0" w:line="240" w:lineRule="auto"/>
        <w:ind w:right="0" w:hanging="62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3.d) 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74"/>
      <w:bookmarkEnd w:id="75"/>
      <w:bookmarkEnd w:id="76"/>
    </w:p>
    <w:p>
      <w:pPr>
        <w:pStyle w:val="Style15"/>
        <w:keepNext/>
        <w:keepLines/>
        <w:widowControl w:val="0"/>
        <w:shd w:val="clear" w:color="auto" w:fill="auto"/>
        <w:bidi w:val="0"/>
        <w:spacing w:before="0" w:after="0" w:line="240" w:lineRule="auto"/>
        <w:ind w:right="0" w:hanging="62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3.e) zajištění bezpečnosti a ochrany zdraví při práci, požární ochrany, ochrany životního prostředí, péče o nepředané objekty a konstrukce stavby, zařízení a ostraha staveniště,</w:t>
      </w:r>
      <w:bookmarkEnd w:id="77"/>
      <w:bookmarkEnd w:id="78"/>
      <w:bookmarkEnd w:id="79"/>
    </w:p>
    <w:p>
      <w:pPr>
        <w:pStyle w:val="Style15"/>
        <w:keepNext/>
        <w:keepLines/>
        <w:widowControl w:val="0"/>
        <w:shd w:val="clear" w:color="auto" w:fill="auto"/>
        <w:bidi w:val="0"/>
        <w:spacing w:before="0" w:after="0" w:line="240" w:lineRule="auto"/>
        <w:ind w:right="0" w:hanging="62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3.f) vybudování staveniště tak, aby byly splněny požadavky a podmínky všech dotčených vlastníků pozemků,</w:t>
      </w:r>
      <w:bookmarkEnd w:id="80"/>
      <w:bookmarkEnd w:id="81"/>
      <w:bookmarkEnd w:id="82"/>
    </w:p>
    <w:p>
      <w:pPr>
        <w:pStyle w:val="Style15"/>
        <w:keepNext/>
        <w:keepLines/>
        <w:widowControl w:val="0"/>
        <w:shd w:val="clear" w:color="auto" w:fill="auto"/>
        <w:bidi w:val="0"/>
        <w:spacing w:before="0" w:after="0" w:line="240" w:lineRule="auto"/>
        <w:ind w:right="0" w:hanging="620"/>
        <w:jc w:val="both"/>
      </w:pPr>
      <w:bookmarkStart w:id="83" w:name="bookmark83"/>
      <w:bookmarkStart w:id="84" w:name="bookmark84"/>
      <w:bookmarkStart w:id="85" w:name="bookmark85"/>
      <w:r>
        <w:rPr>
          <w:color w:val="000000"/>
          <w:spacing w:val="0"/>
          <w:w w:val="100"/>
          <w:position w:val="0"/>
          <w:shd w:val="clear" w:color="auto" w:fill="auto"/>
          <w:lang w:val="cs-CZ" w:eastAsia="cs-CZ" w:bidi="cs-CZ"/>
        </w:rPr>
        <w:t>3.g) zajištění technického řešení výjezdů ze stavby, včetně případného dopravního řešení a jejich projednání s příslušnými orgány státní správy a dotčenými organizacemi,</w:t>
      </w:r>
      <w:bookmarkEnd w:id="83"/>
      <w:bookmarkEnd w:id="84"/>
      <w:bookmarkEnd w:id="85"/>
    </w:p>
    <w:p>
      <w:pPr>
        <w:pStyle w:val="Style15"/>
        <w:keepNext/>
        <w:keepLines/>
        <w:widowControl w:val="0"/>
        <w:shd w:val="clear" w:color="auto" w:fill="auto"/>
        <w:bidi w:val="0"/>
        <w:spacing w:before="0" w:after="0" w:line="240" w:lineRule="auto"/>
        <w:ind w:right="0" w:hanging="62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3.h) projednání a provedení dopravně inženýrských opatření nutných pro realizaci stavby (včetně zajištění příslušných povolení – DIO, apod.),</w:t>
      </w:r>
      <w:bookmarkEnd w:id="86"/>
      <w:bookmarkEnd w:id="87"/>
      <w:bookmarkEnd w:id="88"/>
    </w:p>
    <w:p>
      <w:pPr>
        <w:pStyle w:val="Style15"/>
        <w:keepNext/>
        <w:keepLines/>
        <w:widowControl w:val="0"/>
        <w:shd w:val="clear" w:color="auto" w:fill="auto"/>
        <w:bidi w:val="0"/>
        <w:spacing w:before="0" w:after="200" w:line="240" w:lineRule="auto"/>
        <w:ind w:right="0" w:hanging="62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3.i)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89"/>
      <w:bookmarkEnd w:id="90"/>
      <w:bookmarkEnd w:id="91"/>
    </w:p>
    <w:p>
      <w:pPr>
        <w:pStyle w:val="Style15"/>
        <w:keepNext/>
        <w:keepLines/>
        <w:widowControl w:val="0"/>
        <w:numPr>
          <w:ilvl w:val="0"/>
          <w:numId w:val="7"/>
        </w:numPr>
        <w:shd w:val="clear" w:color="auto" w:fill="auto"/>
        <w:bidi w:val="0"/>
        <w:spacing w:before="0" w:after="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j) vytyčení všech inženýrských sítí a projednání postupu všech prací s jejich provozovateli vč. projednání a zajištění případných přeložek uvedených v projektové dokumentaci,</w:t>
      </w:r>
      <w:bookmarkEnd w:id="92"/>
      <w:bookmarkEnd w:id="93"/>
      <w:bookmarkEnd w:id="95"/>
    </w:p>
    <w:p>
      <w:pPr>
        <w:pStyle w:val="Style15"/>
        <w:keepNext/>
        <w:keepLines/>
        <w:widowControl w:val="0"/>
        <w:shd w:val="clear" w:color="auto" w:fill="auto"/>
        <w:bidi w:val="0"/>
        <w:spacing w:before="0" w:after="0" w:line="240" w:lineRule="auto"/>
        <w:ind w:right="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3.k)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6"/>
      <w:bookmarkEnd w:id="97"/>
      <w:bookmarkEnd w:id="98"/>
    </w:p>
    <w:p>
      <w:pPr>
        <w:pStyle w:val="Style15"/>
        <w:keepNext/>
        <w:keepLines/>
        <w:widowControl w:val="0"/>
        <w:shd w:val="clear" w:color="auto" w:fill="auto"/>
        <w:bidi w:val="0"/>
        <w:spacing w:before="0" w:after="0" w:line="240" w:lineRule="auto"/>
        <w:ind w:right="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3.l) zpracování vlastního plánu kontrol a zkoušek, který stanoví odpovědnou osobu za kontrolu a odebírání vzorků a provádění zkoušek ze strany zhotovitele. Plán bude předán ke schválení TDS. Plán bude podrobný a konkrétní</w:t>
      </w:r>
      <w:bookmarkEnd w:id="100"/>
      <w:bookmarkEnd w:id="101"/>
      <w:bookmarkEnd w:id="99"/>
    </w:p>
    <w:p>
      <w:pPr>
        <w:pStyle w:val="Style15"/>
        <w:keepNext/>
        <w:keepLines/>
        <w:widowControl w:val="0"/>
        <w:shd w:val="clear" w:color="auto" w:fill="auto"/>
        <w:bidi w:val="0"/>
        <w:spacing w:before="0" w:after="0" w:line="240" w:lineRule="auto"/>
        <w:ind w:right="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3.m)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02"/>
      <w:bookmarkEnd w:id="103"/>
      <w:bookmarkEnd w:id="104"/>
    </w:p>
    <w:p>
      <w:pPr>
        <w:pStyle w:val="Style15"/>
        <w:keepNext/>
        <w:keepLines/>
        <w:widowControl w:val="0"/>
        <w:shd w:val="clear" w:color="auto" w:fill="auto"/>
        <w:bidi w:val="0"/>
        <w:spacing w:before="0" w:after="0" w:line="240" w:lineRule="auto"/>
        <w:ind w:right="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3.n)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5"/>
      <w:bookmarkEnd w:id="106"/>
      <w:bookmarkEnd w:id="107"/>
    </w:p>
    <w:p>
      <w:pPr>
        <w:pStyle w:val="Style15"/>
        <w:keepNext/>
        <w:keepLines/>
        <w:widowControl w:val="0"/>
        <w:shd w:val="clear" w:color="auto" w:fill="auto"/>
        <w:bidi w:val="0"/>
        <w:spacing w:before="0" w:after="0" w:line="240" w:lineRule="auto"/>
        <w:ind w:right="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3.o) 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08"/>
      <w:bookmarkEnd w:id="109"/>
      <w:bookmarkEnd w:id="110"/>
    </w:p>
    <w:p>
      <w:pPr>
        <w:pStyle w:val="Style15"/>
        <w:keepNext/>
        <w:keepLines/>
        <w:widowControl w:val="0"/>
        <w:shd w:val="clear" w:color="auto" w:fill="auto"/>
        <w:bidi w:val="0"/>
        <w:spacing w:before="0" w:after="0" w:line="240" w:lineRule="auto"/>
        <w:ind w:right="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3.p) nutná koordinace a součinnost zhotovitele i všech podzhotovitelů s koordinátorem bezpečnosti a ochrany zdraví při práci na staveništi, v případě, že bude určen objednatelem na základě zákona č. 309/2006 Sb.,</w:t>
      </w:r>
      <w:bookmarkEnd w:id="111"/>
      <w:bookmarkEnd w:id="112"/>
      <w:bookmarkEnd w:id="113"/>
    </w:p>
    <w:p>
      <w:pPr>
        <w:pStyle w:val="Style15"/>
        <w:keepNext/>
        <w:keepLines/>
        <w:widowControl w:val="0"/>
        <w:shd w:val="clear" w:color="auto" w:fill="auto"/>
        <w:bidi w:val="0"/>
        <w:spacing w:before="0" w:after="0" w:line="240" w:lineRule="auto"/>
        <w:ind w:right="0"/>
        <w:jc w:val="both"/>
      </w:pPr>
      <w:bookmarkStart w:id="114" w:name="bookmark114"/>
      <w:bookmarkStart w:id="115" w:name="bookmark115"/>
      <w:bookmarkStart w:id="116" w:name="bookmark116"/>
      <w:r>
        <w:rPr>
          <w:color w:val="000000"/>
          <w:spacing w:val="0"/>
          <w:w w:val="100"/>
          <w:position w:val="0"/>
          <w:shd w:val="clear" w:color="auto" w:fill="auto"/>
          <w:lang w:val="cs-CZ" w:eastAsia="cs-CZ" w:bidi="cs-CZ"/>
        </w:rPr>
        <w:t>3.q)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4"/>
      <w:bookmarkEnd w:id="115"/>
      <w:bookmarkEnd w:id="116"/>
    </w:p>
    <w:p>
      <w:pPr>
        <w:pStyle w:val="Style15"/>
        <w:keepNext/>
        <w:keepLines/>
        <w:widowControl w:val="0"/>
        <w:shd w:val="clear" w:color="auto" w:fill="auto"/>
        <w:bidi w:val="0"/>
        <w:spacing w:before="0" w:after="0" w:line="240" w:lineRule="auto"/>
        <w:ind w:right="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3.r) 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17"/>
      <w:bookmarkEnd w:id="118"/>
      <w:bookmarkEnd w:id="119"/>
    </w:p>
    <w:p>
      <w:pPr>
        <w:pStyle w:val="Style15"/>
        <w:keepNext/>
        <w:keepLines/>
        <w:widowControl w:val="0"/>
        <w:shd w:val="clear" w:color="auto" w:fill="auto"/>
        <w:bidi w:val="0"/>
        <w:spacing w:before="0" w:after="0" w:line="240" w:lineRule="auto"/>
        <w:ind w:right="0"/>
        <w:jc w:val="both"/>
      </w:pPr>
      <w:bookmarkStart w:id="120" w:name="bookmark120"/>
      <w:bookmarkStart w:id="121" w:name="bookmark121"/>
      <w:bookmarkStart w:id="122" w:name="bookmark122"/>
      <w:r>
        <w:rPr>
          <w:color w:val="000000"/>
          <w:spacing w:val="0"/>
          <w:w w:val="100"/>
          <w:position w:val="0"/>
          <w:shd w:val="clear" w:color="auto" w:fill="auto"/>
          <w:lang w:val="cs-CZ" w:eastAsia="cs-CZ" w:bidi="cs-CZ"/>
        </w:rPr>
        <w:t>3.s) čerpání vody a další práce (hrázkování, jímkování, převádění) nutné pro realizaci stavby v korytě toku,</w:t>
      </w:r>
      <w:bookmarkEnd w:id="120"/>
      <w:bookmarkEnd w:id="121"/>
      <w:bookmarkEnd w:id="122"/>
    </w:p>
    <w:p>
      <w:pPr>
        <w:pStyle w:val="Style15"/>
        <w:keepNext/>
        <w:keepLines/>
        <w:widowControl w:val="0"/>
        <w:shd w:val="clear" w:color="auto" w:fill="auto"/>
        <w:bidi w:val="0"/>
        <w:spacing w:before="0" w:after="460" w:line="240" w:lineRule="auto"/>
        <w:ind w:right="0"/>
        <w:jc w:val="both"/>
      </w:pPr>
      <w:bookmarkStart w:id="123" w:name="bookmark123"/>
      <w:bookmarkStart w:id="124" w:name="bookmark124"/>
      <w:bookmarkStart w:id="125" w:name="bookmark125"/>
      <w:r>
        <w:rPr>
          <w:color w:val="000000"/>
          <w:spacing w:val="0"/>
          <w:w w:val="100"/>
          <w:position w:val="0"/>
          <w:shd w:val="clear" w:color="auto" w:fill="auto"/>
          <w:lang w:val="cs-CZ" w:eastAsia="cs-CZ" w:bidi="cs-CZ"/>
        </w:rPr>
        <w:t>3.t)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23"/>
      <w:bookmarkEnd w:id="124"/>
      <w:bookmarkEnd w:id="125"/>
    </w:p>
    <w:p>
      <w:pPr>
        <w:pStyle w:val="Style8"/>
        <w:keepNext/>
        <w:keepLines/>
        <w:widowControl w:val="0"/>
        <w:numPr>
          <w:ilvl w:val="0"/>
          <w:numId w:val="7"/>
        </w:numPr>
        <w:shd w:val="clear" w:color="auto" w:fill="auto"/>
        <w:tabs>
          <w:tab w:pos="360" w:val="left"/>
        </w:tabs>
        <w:bidi w:val="0"/>
        <w:spacing w:before="0" w:after="0" w:line="240" w:lineRule="auto"/>
        <w:ind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6"/>
      <w:bookmarkEnd w:id="127"/>
      <w:bookmarkEnd w:id="129"/>
    </w:p>
    <w:p>
      <w:pPr>
        <w:pStyle w:val="Style8"/>
        <w:keepNext/>
        <w:keepLines/>
        <w:widowControl w:val="0"/>
        <w:numPr>
          <w:ilvl w:val="0"/>
          <w:numId w:val="7"/>
        </w:numPr>
        <w:shd w:val="clear" w:color="auto" w:fill="auto"/>
        <w:tabs>
          <w:tab w:pos="382"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0"/>
      <w:bookmarkEnd w:id="131"/>
      <w:bookmarkEnd w:id="133"/>
    </w:p>
    <w:p>
      <w:pPr>
        <w:pStyle w:val="Style8"/>
        <w:keepNext/>
        <w:keepLines/>
        <w:widowControl w:val="0"/>
        <w:numPr>
          <w:ilvl w:val="0"/>
          <w:numId w:val="7"/>
        </w:numPr>
        <w:shd w:val="clear" w:color="auto" w:fill="auto"/>
        <w:tabs>
          <w:tab w:pos="382" w:val="left"/>
        </w:tabs>
        <w:bidi w:val="0"/>
        <w:spacing w:before="0" w:after="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Objednatel předá zhotoviteli staveniště (nebo jeho ucelenou část) prosté práv třetích osob.</w:t>
      </w:r>
      <w:bookmarkEnd w:id="134"/>
      <w:bookmarkEnd w:id="135"/>
      <w:bookmarkEnd w:id="137"/>
    </w:p>
    <w:p>
      <w:pPr>
        <w:pStyle w:val="Style8"/>
        <w:keepNext/>
        <w:keepLines/>
        <w:widowControl w:val="0"/>
        <w:shd w:val="clear" w:color="auto" w:fill="auto"/>
        <w:bidi w:val="0"/>
        <w:spacing w:before="0" w:line="240" w:lineRule="auto"/>
        <w:ind w:right="0" w:firstLine="20"/>
        <w:jc w:val="both"/>
      </w:pPr>
      <w:bookmarkStart w:id="138" w:name="bookmark138"/>
      <w:bookmarkStart w:id="139" w:name="bookmark139"/>
      <w:bookmarkStart w:id="140" w:name="bookmark14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38"/>
      <w:bookmarkEnd w:id="139"/>
      <w:bookmarkEnd w:id="140"/>
    </w:p>
    <w:p>
      <w:pPr>
        <w:pStyle w:val="Style8"/>
        <w:keepNext/>
        <w:keepLines/>
        <w:widowControl w:val="0"/>
        <w:numPr>
          <w:ilvl w:val="0"/>
          <w:numId w:val="7"/>
        </w:numPr>
        <w:shd w:val="clear" w:color="auto" w:fill="auto"/>
        <w:tabs>
          <w:tab w:pos="382" w:val="left"/>
        </w:tabs>
        <w:bidi w:val="0"/>
        <w:spacing w:before="0" w:after="0" w:line="240" w:lineRule="auto"/>
        <w:ind w:left="0" w:right="0" w:firstLine="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 účely této smlouvy se rozumí:</w:t>
      </w:r>
      <w:bookmarkEnd w:id="141"/>
      <w:bookmarkEnd w:id="142"/>
      <w:bookmarkEnd w:id="144"/>
    </w:p>
    <w:p>
      <w:pPr>
        <w:pStyle w:val="Style10"/>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8"/>
        <w:keepNext/>
        <w:keepLines/>
        <w:widowControl w:val="0"/>
        <w:numPr>
          <w:ilvl w:val="0"/>
          <w:numId w:val="9"/>
        </w:numPr>
        <w:shd w:val="clear" w:color="auto" w:fill="auto"/>
        <w:tabs>
          <w:tab w:pos="382" w:val="left"/>
        </w:tabs>
        <w:bidi w:val="0"/>
        <w:spacing w:before="0" w:line="240" w:lineRule="auto"/>
        <w:ind w:left="0" w:right="0" w:firstLine="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Smluvní strany se dohodly na následujících lhůtách a podmínkách pro realizaci díla.</w:t>
      </w:r>
      <w:bookmarkEnd w:id="145"/>
      <w:bookmarkEnd w:id="146"/>
      <w:bookmarkEnd w:id="148"/>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149" w:name="bookmark149"/>
      <w:bookmarkEnd w:id="149"/>
      <w:r>
        <w:rPr>
          <w:color w:val="000000"/>
          <w:spacing w:val="0"/>
          <w:w w:val="100"/>
          <w:position w:val="0"/>
          <w:shd w:val="clear" w:color="auto" w:fill="auto"/>
          <w:lang w:val="cs-CZ" w:eastAsia="cs-CZ" w:bidi="cs-CZ"/>
        </w:rPr>
        <w:t>převzetí staveniště:</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na výzvu objednatele nejpozději do 5 kalendářních dní od doručení výzvy manažerovi stavby: l, email:</w:t>
      </w:r>
    </w:p>
    <w:p>
      <w:pPr>
        <w:pStyle w:val="Style10"/>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150" w:name="bookmark150"/>
      <w:bookmarkEnd w:id="150"/>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10"/>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151" w:name="bookmark151"/>
      <w:bookmarkEnd w:id="151"/>
      <w:r>
        <w:rPr>
          <w:color w:val="000000"/>
          <w:spacing w:val="0"/>
          <w:w w:val="100"/>
          <w:position w:val="0"/>
          <w:shd w:val="clear" w:color="auto" w:fill="auto"/>
          <w:lang w:val="cs-CZ" w:eastAsia="cs-CZ" w:bidi="cs-CZ"/>
        </w:rPr>
        <w:t>předání a převzetí dokončeného díla: nejpozději do 15.12.2025</w:t>
      </w:r>
    </w:p>
    <w:p>
      <w:pPr>
        <w:pStyle w:val="Style10"/>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152" w:name="bookmark152"/>
      <w:bookmarkEnd w:id="152"/>
      <w:r>
        <w:rPr>
          <w:color w:val="000000"/>
          <w:spacing w:val="0"/>
          <w:w w:val="100"/>
          <w:position w:val="0"/>
          <w:shd w:val="clear" w:color="auto" w:fill="auto"/>
          <w:lang w:val="cs-CZ" w:eastAsia="cs-CZ" w:bidi="cs-CZ"/>
        </w:rPr>
        <w:t>vyklizení staveniště:</w:t>
      </w:r>
    </w:p>
    <w:p>
      <w:pPr>
        <w:pStyle w:val="Style10"/>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8"/>
        <w:keepNext/>
        <w:keepLines/>
        <w:widowControl w:val="0"/>
        <w:numPr>
          <w:ilvl w:val="0"/>
          <w:numId w:val="9"/>
        </w:numPr>
        <w:shd w:val="clear" w:color="auto" w:fill="auto"/>
        <w:tabs>
          <w:tab w:pos="382" w:val="left"/>
        </w:tabs>
        <w:bidi w:val="0"/>
        <w:spacing w:before="0" w:after="12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53"/>
      <w:bookmarkEnd w:id="154"/>
      <w:bookmarkEnd w:id="156"/>
    </w:p>
    <w:p>
      <w:pPr>
        <w:pStyle w:val="Style8"/>
        <w:keepNext/>
        <w:keepLines/>
        <w:widowControl w:val="0"/>
        <w:numPr>
          <w:ilvl w:val="0"/>
          <w:numId w:val="9"/>
        </w:numPr>
        <w:shd w:val="clear" w:color="auto" w:fill="auto"/>
        <w:tabs>
          <w:tab w:pos="382" w:val="left"/>
        </w:tabs>
        <w:bidi w:val="0"/>
        <w:spacing w:before="0" w:line="240" w:lineRule="auto"/>
        <w:ind w:left="300" w:right="0" w:hanging="30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57"/>
      <w:bookmarkEnd w:id="158"/>
      <w:bookmarkEnd w:id="160"/>
    </w:p>
    <w:p>
      <w:pPr>
        <w:pStyle w:val="Style8"/>
        <w:keepNext/>
        <w:keepLines/>
        <w:widowControl w:val="0"/>
        <w:numPr>
          <w:ilvl w:val="0"/>
          <w:numId w:val="9"/>
        </w:numPr>
        <w:shd w:val="clear" w:color="auto" w:fill="auto"/>
        <w:tabs>
          <w:tab w:pos="382" w:val="left"/>
        </w:tabs>
        <w:bidi w:val="0"/>
        <w:spacing w:before="0" w:after="120" w:line="240" w:lineRule="auto"/>
        <w:ind w:left="300" w:right="0" w:hanging="30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61"/>
      <w:bookmarkEnd w:id="162"/>
      <w:bookmarkEnd w:id="164"/>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3"/>
        </w:numPr>
        <w:shd w:val="clear" w:color="auto" w:fill="auto"/>
        <w:tabs>
          <w:tab w:pos="378"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61" w:left="1395" w:right="1384" w:bottom="1359" w:header="0" w:footer="3" w:gutter="0"/>
          <w:pgNumType w:start="1"/>
          <w:cols w:space="720"/>
          <w:noEndnote/>
          <w:rtlGutter w:val="0"/>
          <w:docGrid w:linePitch="360"/>
        </w:sectPr>
      </w:pPr>
      <w:bookmarkStart w:id="166" w:name="bookmark166"/>
      <w:bookmarkEnd w:id="16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w:t>
      </w:r>
    </w:p>
    <w:p>
      <w:pPr>
        <w:pStyle w:val="Style10"/>
        <w:keepNext w:val="0"/>
        <w:keepLines w:val="0"/>
        <w:widowControl w:val="0"/>
        <w:shd w:val="clear" w:color="auto" w:fill="auto"/>
        <w:bidi w:val="0"/>
        <w:spacing w:before="200" w:after="120" w:line="322" w:lineRule="auto"/>
        <w:ind w:left="380" w:right="0" w:firstLine="7260"/>
        <w:jc w:val="both"/>
      </w:pPr>
      <w:r>
        <w:rPr>
          <w:color w:val="000000"/>
          <w:spacing w:val="0"/>
          <w:w w:val="100"/>
          <w:position w:val="0"/>
          <w:shd w:val="clear" w:color="auto" w:fill="auto"/>
          <w:lang w:val="cs-CZ" w:eastAsia="cs-CZ" w:bidi="cs-CZ"/>
        </w:rPr>
        <w:t>Smlouva o dílo kontrolním dnu stavby předloženy zhotovitelem formou návrhu dodatku ke smlouvě o dílo.</w:t>
      </w:r>
    </w:p>
    <w:p>
      <w:pPr>
        <w:pStyle w:val="Style10"/>
        <w:keepNext w:val="0"/>
        <w:keepLines w:val="0"/>
        <w:widowControl w:val="0"/>
        <w:numPr>
          <w:ilvl w:val="0"/>
          <w:numId w:val="13"/>
        </w:numPr>
        <w:shd w:val="clear" w:color="auto" w:fill="auto"/>
        <w:tabs>
          <w:tab w:pos="394"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10"/>
        <w:keepNext w:val="0"/>
        <w:keepLines w:val="0"/>
        <w:widowControl w:val="0"/>
        <w:numPr>
          <w:ilvl w:val="0"/>
          <w:numId w:val="13"/>
        </w:numPr>
        <w:shd w:val="clear" w:color="auto" w:fill="auto"/>
        <w:tabs>
          <w:tab w:pos="394"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10"/>
        <w:keepNext w:val="0"/>
        <w:keepLines w:val="0"/>
        <w:widowControl w:val="0"/>
        <w:numPr>
          <w:ilvl w:val="0"/>
          <w:numId w:val="13"/>
        </w:numPr>
        <w:shd w:val="clear" w:color="auto" w:fill="auto"/>
        <w:tabs>
          <w:tab w:pos="394"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Celková smluvní cena bez DPH </w:t>
      </w:r>
      <w:r>
        <w:rPr>
          <w:b/>
          <w:bCs/>
          <w:color w:val="000000"/>
          <w:spacing w:val="0"/>
          <w:w w:val="100"/>
          <w:position w:val="0"/>
          <w:shd w:val="clear" w:color="auto" w:fill="auto"/>
          <w:lang w:val="cs-CZ" w:eastAsia="cs-CZ" w:bidi="cs-CZ"/>
        </w:rPr>
        <w:t>144 865,60 Kč</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3"/>
        </w:numPr>
        <w:shd w:val="clear" w:color="auto" w:fill="auto"/>
        <w:tabs>
          <w:tab w:pos="394" w:val="left"/>
        </w:tabs>
        <w:bidi w:val="0"/>
        <w:spacing w:before="0" w:after="700" w:line="259" w:lineRule="auto"/>
        <w:ind w:left="380" w:right="0" w:hanging="380"/>
        <w:jc w:val="both"/>
      </w:pPr>
      <w:bookmarkStart w:id="170" w:name="bookmark170"/>
      <w:bookmarkEnd w:id="170"/>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line="240" w:lineRule="auto"/>
        <w:ind w:left="0" w:right="0" w:firstLine="380"/>
        <w:jc w:val="both"/>
      </w:pPr>
      <w:r>
        <w:rPr>
          <w:i/>
          <w:iCs/>
          <w:color w:val="808080"/>
          <w:spacing w:val="0"/>
          <w:w w:val="100"/>
          <w:position w:val="0"/>
          <w:sz w:val="18"/>
          <w:szCs w:val="18"/>
          <w:shd w:val="clear" w:color="auto" w:fill="auto"/>
          <w:lang w:val="cs-CZ" w:eastAsia="cs-CZ" w:bidi="cs-CZ"/>
        </w:rPr>
        <w:t>a.i.1.</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480" w:line="240" w:lineRule="auto"/>
        <w:ind w:left="380" w:right="0" w:firstLine="20"/>
        <w:jc w:val="both"/>
      </w:pPr>
      <w:r>
        <w:rPr>
          <w:i/>
          <w:iCs/>
          <w:color w:val="808080"/>
          <w:spacing w:val="0"/>
          <w:w w:val="100"/>
          <w:position w:val="0"/>
          <w:sz w:val="18"/>
          <w:szCs w:val="18"/>
          <w:shd w:val="clear" w:color="auto" w:fill="auto"/>
          <w:lang w:val="cs-CZ" w:eastAsia="cs-CZ" w:bidi="cs-CZ"/>
        </w:rPr>
        <w:t>a.i.2.</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Cena díla bude uhrazena jednorázově, po dokončení a předání hotového díla na základě konečné faktury, kterou bude provedeno vyúčtování po dokončení, předání a převzetí díla bez vad a nedodělků. Fakturu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shd w:val="clear" w:color="auto" w:fill="auto"/>
        <w:bidi w:val="0"/>
        <w:spacing w:before="0" w:line="240"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a.i.3. </w:t>
      </w:r>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10"/>
        <w:keepNext w:val="0"/>
        <w:keepLines w:val="0"/>
        <w:widowControl w:val="0"/>
        <w:shd w:val="clear" w:color="auto" w:fill="auto"/>
        <w:bidi w:val="0"/>
        <w:spacing w:before="0" w:after="2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a.i.4.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line="230"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a.i.5. </w:t>
      </w:r>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10"/>
        <w:keepNext w:val="0"/>
        <w:keepLines w:val="0"/>
        <w:widowControl w:val="0"/>
        <w:shd w:val="clear" w:color="auto" w:fill="auto"/>
        <w:bidi w:val="0"/>
        <w:spacing w:before="0" w:line="240" w:lineRule="auto"/>
        <w:ind w:left="380" w:right="0" w:firstLine="20"/>
        <w:jc w:val="both"/>
      </w:pPr>
      <w:r>
        <w:rPr>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0"/>
        <w:keepNext w:val="0"/>
        <w:keepLines w:val="0"/>
        <w:widowControl w:val="0"/>
        <w:shd w:val="clear" w:color="auto" w:fill="auto"/>
        <w:bidi w:val="0"/>
        <w:spacing w:before="0" w:line="295" w:lineRule="auto"/>
        <w:ind w:left="380" w:right="0" w:firstLine="7260"/>
        <w:jc w:val="both"/>
      </w:pPr>
      <w:r>
        <w:rPr>
          <w:color w:val="000000"/>
          <w:spacing w:val="0"/>
          <w:w w:val="100"/>
          <w:position w:val="0"/>
          <w:shd w:val="clear" w:color="auto" w:fill="auto"/>
          <w:lang w:val="cs-CZ" w:eastAsia="cs-CZ" w:bidi="cs-CZ"/>
        </w:rPr>
        <w:t xml:space="preserve">Smlouva o dílo </w:t>
      </w:r>
      <w:r>
        <w:rPr>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0"/>
        <w:keepNext w:val="0"/>
        <w:keepLines w:val="0"/>
        <w:widowControl w:val="0"/>
        <w:shd w:val="clear" w:color="auto" w:fill="auto"/>
        <w:bidi w:val="0"/>
        <w:spacing w:before="0" w:line="240" w:lineRule="auto"/>
        <w:ind w:left="380" w:right="0" w:firstLine="0"/>
        <w:jc w:val="both"/>
      </w:pPr>
      <w:r>
        <w:rPr>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Dílčí faktury budou vystaveny zhotovitelem nejvýše do 90 % celkové smluvní ceny díla, pokud nebude dohodnuto jinak.</w:t>
      </w:r>
    </w:p>
    <w:p>
      <w:pPr>
        <w:pStyle w:val="Style10"/>
        <w:keepNext w:val="0"/>
        <w:keepLines w:val="0"/>
        <w:widowControl w:val="0"/>
        <w:shd w:val="clear" w:color="auto" w:fill="auto"/>
        <w:bidi w:val="0"/>
        <w:spacing w:before="0" w:after="0" w:line="240" w:lineRule="auto"/>
        <w:ind w:left="380" w:right="0" w:firstLine="0"/>
        <w:jc w:val="both"/>
      </w:pPr>
      <w:r>
        <w:rPr>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shd w:val="clear" w:color="auto" w:fill="auto"/>
        <w:bidi w:val="0"/>
        <w:spacing w:before="0" w:line="240" w:lineRule="auto"/>
        <w:ind w:left="380" w:right="0" w:firstLine="0"/>
        <w:jc w:val="both"/>
      </w:pPr>
      <w:r>
        <w:rPr>
          <w:color w:val="00000A"/>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10"/>
        <w:keepNext w:val="0"/>
        <w:keepLines w:val="0"/>
        <w:widowControl w:val="0"/>
        <w:shd w:val="clear" w:color="auto" w:fill="auto"/>
        <w:bidi w:val="0"/>
        <w:spacing w:before="0" w:line="240" w:lineRule="auto"/>
        <w:ind w:left="380" w:right="0" w:firstLine="0"/>
        <w:jc w:val="both"/>
      </w:pPr>
      <w:r>
        <w:rPr>
          <w:color w:val="00000A"/>
          <w:spacing w:val="0"/>
          <w:w w:val="100"/>
          <w:position w:val="0"/>
          <w:shd w:val="clear" w:color="auto" w:fill="auto"/>
          <w:lang w:val="cs-CZ" w:eastAsia="cs-CZ" w:bidi="cs-CZ"/>
        </w:rPr>
        <w:t>Zbývajících 5 % z celkové ceny díla bude objednatelem uhrazeno až po odstranění poslední vady.</w:t>
      </w:r>
    </w:p>
    <w:p>
      <w:pPr>
        <w:pStyle w:val="Style10"/>
        <w:keepNext w:val="0"/>
        <w:keepLines w:val="0"/>
        <w:widowControl w:val="0"/>
        <w:shd w:val="clear" w:color="auto" w:fill="auto"/>
        <w:bidi w:val="0"/>
        <w:spacing w:before="0" w:after="0" w:line="240" w:lineRule="auto"/>
        <w:ind w:left="380" w:right="0" w:firstLine="0"/>
        <w:jc w:val="both"/>
      </w:pPr>
      <w:r>
        <w:rPr>
          <w:color w:val="808080"/>
          <w:spacing w:val="0"/>
          <w:w w:val="100"/>
          <w:position w:val="0"/>
          <w:sz w:val="18"/>
          <w:szCs w:val="18"/>
          <w:shd w:val="clear" w:color="auto" w:fill="auto"/>
          <w:lang w:val="cs-CZ" w:eastAsia="cs-CZ" w:bidi="cs-CZ"/>
        </w:rPr>
        <w:t xml:space="preserve">a.i.10. </w:t>
      </w:r>
      <w:r>
        <w:rPr>
          <w:color w:val="00000A"/>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shd w:val="clear" w:color="auto" w:fill="auto"/>
        <w:bidi w:val="0"/>
        <w:spacing w:before="0" w:line="240" w:lineRule="auto"/>
        <w:ind w:left="380" w:right="0" w:firstLine="0"/>
        <w:jc w:val="both"/>
      </w:pPr>
      <w:r>
        <w:rPr>
          <w:color w:val="808080"/>
          <w:spacing w:val="0"/>
          <w:w w:val="100"/>
          <w:position w:val="0"/>
          <w:sz w:val="18"/>
          <w:szCs w:val="18"/>
          <w:shd w:val="clear" w:color="auto" w:fill="auto"/>
          <w:lang w:val="cs-CZ" w:eastAsia="cs-CZ" w:bidi="cs-CZ"/>
        </w:rPr>
        <w:t xml:space="preserve">a.i.11.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line="240" w:lineRule="auto"/>
        <w:ind w:left="0" w:right="0" w:firstLine="380"/>
        <w:jc w:val="both"/>
      </w:pPr>
      <w:r>
        <w:rPr>
          <w:color w:val="808080"/>
          <w:spacing w:val="0"/>
          <w:w w:val="100"/>
          <w:position w:val="0"/>
          <w:sz w:val="18"/>
          <w:szCs w:val="18"/>
          <w:shd w:val="clear" w:color="auto" w:fill="auto"/>
          <w:lang w:val="cs-CZ" w:eastAsia="cs-CZ" w:bidi="cs-CZ"/>
        </w:rPr>
        <w:t xml:space="preserve">a.i.12. </w:t>
      </w:r>
      <w:r>
        <w:rPr>
          <w:color w:val="00000A"/>
          <w:spacing w:val="0"/>
          <w:w w:val="100"/>
          <w:position w:val="0"/>
          <w:shd w:val="clear" w:color="auto" w:fill="auto"/>
          <w:lang w:val="cs-CZ" w:eastAsia="cs-CZ" w:bidi="cs-CZ"/>
        </w:rPr>
        <w:t>Splatnost faktury je 30 kalendářních dnů od data doručení faktury objednateli.</w:t>
      </w:r>
    </w:p>
    <w:p>
      <w:pPr>
        <w:pStyle w:val="Style10"/>
        <w:keepNext w:val="0"/>
        <w:keepLines w:val="0"/>
        <w:widowControl w:val="0"/>
        <w:shd w:val="clear" w:color="auto" w:fill="auto"/>
        <w:bidi w:val="0"/>
        <w:spacing w:before="0" w:after="400" w:line="240" w:lineRule="auto"/>
        <w:ind w:left="380" w:right="0" w:firstLine="0"/>
        <w:jc w:val="both"/>
      </w:pPr>
      <w:r>
        <w:rPr>
          <w:color w:val="808080"/>
          <w:spacing w:val="0"/>
          <w:w w:val="100"/>
          <w:position w:val="0"/>
          <w:sz w:val="18"/>
          <w:szCs w:val="18"/>
          <w:shd w:val="clear" w:color="auto" w:fill="auto"/>
          <w:lang w:val="cs-CZ" w:eastAsia="cs-CZ" w:bidi="cs-CZ"/>
        </w:rPr>
        <w:t xml:space="preserve">a.i.13. </w:t>
      </w:r>
      <w:r>
        <w:rPr>
          <w:color w:val="00000A"/>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10"/>
        <w:keepNext w:val="0"/>
        <w:keepLines w:val="0"/>
        <w:widowControl w:val="0"/>
        <w:shd w:val="clear" w:color="auto" w:fill="auto"/>
        <w:bidi w:val="0"/>
        <w:spacing w:before="0" w:line="240" w:lineRule="auto"/>
        <w:ind w:left="300" w:right="0" w:hanging="300"/>
        <w:jc w:val="both"/>
      </w:pPr>
      <w:r>
        <w:rPr>
          <w:color w:val="808080"/>
          <w:spacing w:val="0"/>
          <w:w w:val="100"/>
          <w:position w:val="0"/>
          <w:sz w:val="18"/>
          <w:szCs w:val="18"/>
          <w:shd w:val="clear" w:color="auto" w:fill="auto"/>
          <w:lang w:val="cs-CZ" w:eastAsia="cs-CZ" w:bidi="cs-CZ"/>
        </w:rPr>
        <w:t xml:space="preserve">a.i.14.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sectPr>
          <w:headerReference w:type="default" r:id="rId7"/>
          <w:footerReference w:type="default" r:id="rId8"/>
          <w:footnotePr>
            <w:pos w:val="pageBottom"/>
            <w:numFmt w:val="decimal"/>
            <w:numRestart w:val="continuous"/>
          </w:footnotePr>
          <w:pgSz w:w="11909" w:h="16838"/>
          <w:pgMar w:top="567" w:left="1395" w:right="1383" w:bottom="1296" w:header="139" w:footer="3" w:gutter="0"/>
          <w:cols w:space="720"/>
          <w:noEndnote/>
          <w:rtlGutter w:val="0"/>
          <w:docGrid w:linePitch="360"/>
        </w:sectPr>
      </w:pPr>
      <w:bookmarkStart w:id="171" w:name="bookmark171"/>
      <w:bookmarkEnd w:id="17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5"/>
        </w:numPr>
        <w:shd w:val="clear" w:color="auto" w:fill="auto"/>
        <w:tabs>
          <w:tab w:pos="360" w:val="left"/>
        </w:tabs>
        <w:bidi w:val="0"/>
        <w:spacing w:before="34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7"/>
        </w:numPr>
        <w:shd w:val="clear" w:color="auto" w:fill="auto"/>
        <w:tabs>
          <w:tab w:pos="384" w:val="left"/>
        </w:tabs>
        <w:bidi w:val="0"/>
        <w:spacing w:before="0" w:after="0" w:line="218" w:lineRule="auto"/>
        <w:ind w:left="0" w:right="0" w:firstLine="0"/>
        <w:jc w:val="both"/>
      </w:pPr>
      <w:bookmarkStart w:id="186" w:name="bookmark186"/>
      <w:bookmarkEnd w:id="186"/>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10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9"/>
        </w:numPr>
        <w:shd w:val="clear" w:color="auto" w:fill="auto"/>
        <w:tabs>
          <w:tab w:pos="986" w:val="left"/>
        </w:tabs>
        <w:bidi w:val="0"/>
        <w:spacing w:before="0" w:after="100" w:line="240" w:lineRule="auto"/>
        <w:ind w:left="1020" w:right="0" w:hanging="600"/>
        <w:jc w:val="both"/>
      </w:pPr>
      <w:bookmarkStart w:id="187" w:name="bookmark187"/>
      <w:bookmarkEnd w:id="187"/>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9"/>
        </w:numPr>
        <w:shd w:val="clear" w:color="auto" w:fill="auto"/>
        <w:tabs>
          <w:tab w:pos="986" w:val="left"/>
        </w:tabs>
        <w:bidi w:val="0"/>
        <w:spacing w:before="0" w:after="100" w:line="240" w:lineRule="auto"/>
        <w:ind w:left="1020" w:right="0" w:hanging="600"/>
        <w:jc w:val="both"/>
      </w:pPr>
      <w:bookmarkStart w:id="188" w:name="bookmark188"/>
      <w:bookmarkEnd w:id="188"/>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7"/>
        </w:numPr>
        <w:shd w:val="clear" w:color="auto" w:fill="auto"/>
        <w:tabs>
          <w:tab w:pos="384" w:val="left"/>
        </w:tabs>
        <w:bidi w:val="0"/>
        <w:spacing w:before="0" w:line="218" w:lineRule="auto"/>
        <w:ind w:left="0" w:right="0" w:firstLine="0"/>
        <w:jc w:val="both"/>
      </w:pPr>
      <w:bookmarkStart w:id="189" w:name="bookmark189"/>
      <w:bookmarkEnd w:id="189"/>
      <w:r>
        <w:rPr>
          <w:color w:val="000000"/>
          <w:spacing w:val="0"/>
          <w:w w:val="100"/>
          <w:position w:val="0"/>
          <w:shd w:val="clear" w:color="auto" w:fill="auto"/>
          <w:lang w:val="cs-CZ" w:eastAsia="cs-CZ" w:bidi="cs-CZ"/>
        </w:rPr>
        <w:t xml:space="preserve">Záruční doba se sjednává na </w:t>
      </w:r>
      <w:r>
        <w:rPr>
          <w:color w:val="00000A"/>
          <w:spacing w:val="0"/>
          <w:w w:val="100"/>
          <w:position w:val="0"/>
          <w:shd w:val="clear" w:color="auto" w:fill="auto"/>
          <w:lang w:val="cs-CZ" w:eastAsia="cs-CZ" w:bidi="cs-CZ"/>
        </w:rPr>
        <w:t xml:space="preserve">60 </w:t>
      </w:r>
      <w:r>
        <w:rPr>
          <w:color w:val="000000"/>
          <w:spacing w:val="0"/>
          <w:w w:val="100"/>
          <w:position w:val="0"/>
          <w:shd w:val="clear" w:color="auto" w:fill="auto"/>
          <w:lang w:val="cs-CZ" w:eastAsia="cs-CZ" w:bidi="cs-CZ"/>
        </w:rPr>
        <w:t>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8"/>
        <w:keepNext/>
        <w:keepLines/>
        <w:widowControl w:val="0"/>
        <w:numPr>
          <w:ilvl w:val="0"/>
          <w:numId w:val="17"/>
        </w:numPr>
        <w:shd w:val="clear" w:color="auto" w:fill="auto"/>
        <w:tabs>
          <w:tab w:pos="365" w:val="left"/>
        </w:tabs>
        <w:bidi w:val="0"/>
        <w:spacing w:before="0" w:after="100" w:line="240" w:lineRule="auto"/>
        <w:ind w:right="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190"/>
      <w:bookmarkEnd w:id="191"/>
      <w:bookmarkEnd w:id="193"/>
    </w:p>
    <w:p>
      <w:pPr>
        <w:pStyle w:val="Style8"/>
        <w:keepNext/>
        <w:keepLines/>
        <w:widowControl w:val="0"/>
        <w:numPr>
          <w:ilvl w:val="0"/>
          <w:numId w:val="17"/>
        </w:numPr>
        <w:shd w:val="clear" w:color="auto" w:fill="auto"/>
        <w:tabs>
          <w:tab w:pos="365" w:val="left"/>
        </w:tabs>
        <w:bidi w:val="0"/>
        <w:spacing w:before="0" w:after="100" w:line="240" w:lineRule="auto"/>
        <w:ind w:right="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194"/>
      <w:bookmarkEnd w:id="195"/>
      <w:bookmarkEnd w:id="197"/>
    </w:p>
    <w:p>
      <w:pPr>
        <w:pStyle w:val="Style8"/>
        <w:keepNext/>
        <w:keepLines/>
        <w:widowControl w:val="0"/>
        <w:numPr>
          <w:ilvl w:val="0"/>
          <w:numId w:val="17"/>
        </w:numPr>
        <w:shd w:val="clear" w:color="auto" w:fill="auto"/>
        <w:tabs>
          <w:tab w:pos="365" w:val="left"/>
        </w:tabs>
        <w:bidi w:val="0"/>
        <w:spacing w:before="0" w:after="380" w:line="240" w:lineRule="auto"/>
        <w:ind w:right="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198"/>
      <w:bookmarkEnd w:id="199"/>
      <w:bookmarkEnd w:id="201"/>
    </w:p>
    <w:p>
      <w:pPr>
        <w:pStyle w:val="Style10"/>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21"/>
        </w:numPr>
        <w:shd w:val="clear" w:color="auto" w:fill="auto"/>
        <w:tabs>
          <w:tab w:pos="359" w:val="left"/>
        </w:tabs>
        <w:bidi w:val="0"/>
        <w:spacing w:before="0" w:after="400" w:line="240" w:lineRule="auto"/>
        <w:ind w:right="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03"/>
      <w:bookmarkEnd w:id="204"/>
      <w:bookmarkEnd w:id="206"/>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08" w:name="bookmark208"/>
      <w:bookmarkEnd w:id="208"/>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3"/>
        </w:numPr>
        <w:shd w:val="clear" w:color="auto" w:fill="auto"/>
        <w:tabs>
          <w:tab w:pos="359" w:val="left"/>
        </w:tabs>
        <w:bidi w:val="0"/>
        <w:spacing w:before="0" w:after="260" w:line="240" w:lineRule="auto"/>
        <w:ind w:left="380" w:right="0" w:hanging="380"/>
        <w:jc w:val="both"/>
      </w:pPr>
      <w:bookmarkStart w:id="209" w:name="bookmark209"/>
      <w:bookmarkEnd w:id="209"/>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8"/>
        <w:keepNext/>
        <w:keepLines/>
        <w:widowControl w:val="0"/>
        <w:numPr>
          <w:ilvl w:val="0"/>
          <w:numId w:val="23"/>
        </w:numPr>
        <w:shd w:val="clear" w:color="auto" w:fill="auto"/>
        <w:tabs>
          <w:tab w:pos="359" w:val="left"/>
        </w:tabs>
        <w:bidi w:val="0"/>
        <w:spacing w:before="0" w:line="240" w:lineRule="auto"/>
        <w:ind w:right="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10"/>
      <w:bookmarkEnd w:id="211"/>
      <w:bookmarkEnd w:id="213"/>
    </w:p>
    <w:p>
      <w:pPr>
        <w:pStyle w:val="Style8"/>
        <w:keepNext/>
        <w:keepLines/>
        <w:widowControl w:val="0"/>
        <w:shd w:val="clear" w:color="auto" w:fill="auto"/>
        <w:bidi w:val="0"/>
        <w:spacing w:before="0" w:line="240" w:lineRule="auto"/>
        <w:ind w:right="0" w:firstLine="0"/>
        <w:jc w:val="both"/>
      </w:pPr>
      <w:bookmarkStart w:id="214" w:name="bookmark214"/>
      <w:bookmarkStart w:id="215" w:name="bookmark215"/>
      <w:bookmarkStart w:id="216" w:name="bookmark216"/>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w:t>
      </w:r>
      <w:bookmarkEnd w:id="214"/>
      <w:bookmarkEnd w:id="215"/>
      <w:bookmarkEnd w:id="216"/>
    </w:p>
    <w:p>
      <w:pPr>
        <w:pStyle w:val="Style8"/>
        <w:keepNext/>
        <w:keepLines/>
        <w:widowControl w:val="0"/>
        <w:numPr>
          <w:ilvl w:val="0"/>
          <w:numId w:val="23"/>
        </w:numPr>
        <w:shd w:val="clear" w:color="auto" w:fill="auto"/>
        <w:tabs>
          <w:tab w:pos="359" w:val="left"/>
        </w:tabs>
        <w:bidi w:val="0"/>
        <w:spacing w:before="0" w:after="56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217"/>
      <w:bookmarkEnd w:id="218"/>
      <w:bookmarkEnd w:id="220"/>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21" w:name="bookmark221"/>
      <w:bookmarkEnd w:id="221"/>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2" w:name="bookmark222"/>
      <w:bookmarkEnd w:id="222"/>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3" w:name="bookmark223"/>
      <w:bookmarkEnd w:id="223"/>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5"/>
        <w:keepNext/>
        <w:keepLines/>
        <w:widowControl w:val="0"/>
        <w:numPr>
          <w:ilvl w:val="0"/>
          <w:numId w:val="27"/>
        </w:numPr>
        <w:shd w:val="clear" w:color="auto" w:fill="auto"/>
        <w:tabs>
          <w:tab w:pos="1179" w:val="left"/>
        </w:tabs>
        <w:bidi w:val="0"/>
        <w:spacing w:before="0" w:after="120" w:line="240" w:lineRule="auto"/>
        <w:ind w:left="1160" w:right="0" w:hanging="36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224"/>
      <w:bookmarkEnd w:id="225"/>
      <w:bookmarkEnd w:id="227"/>
    </w:p>
    <w:p>
      <w:pPr>
        <w:pStyle w:val="Style15"/>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bezdůvodném přerušení prací zhotovitelem, které trvá více než 14 dnů,</w:t>
      </w:r>
      <w:bookmarkEnd w:id="228"/>
      <w:bookmarkEnd w:id="229"/>
      <w:bookmarkEnd w:id="231"/>
    </w:p>
    <w:p>
      <w:pPr>
        <w:pStyle w:val="Style15"/>
        <w:keepNext/>
        <w:keepLines/>
        <w:widowControl w:val="0"/>
        <w:numPr>
          <w:ilvl w:val="0"/>
          <w:numId w:val="27"/>
        </w:numPr>
        <w:shd w:val="clear" w:color="auto" w:fill="auto"/>
        <w:tabs>
          <w:tab w:pos="1347" w:val="left"/>
        </w:tabs>
        <w:bidi w:val="0"/>
        <w:spacing w:before="0" w:after="120" w:line="240" w:lineRule="auto"/>
        <w:ind w:left="1160" w:right="0" w:hanging="36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32"/>
      <w:bookmarkEnd w:id="233"/>
      <w:bookmarkEnd w:id="235"/>
    </w:p>
    <w:p>
      <w:pPr>
        <w:pStyle w:val="Style15"/>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neplněním povinností zhotovitele vést řádně zápisy do stavebního deníku.</w:t>
      </w:r>
      <w:bookmarkEnd w:id="236"/>
      <w:bookmarkEnd w:id="237"/>
      <w:bookmarkEnd w:id="239"/>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0" w:name="bookmark240"/>
      <w:bookmarkEnd w:id="240"/>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1" w:name="bookmark241"/>
      <w:bookmarkEnd w:id="241"/>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5"/>
        </w:numPr>
        <w:shd w:val="clear" w:color="auto" w:fill="auto"/>
        <w:tabs>
          <w:tab w:pos="471" w:val="left"/>
        </w:tabs>
        <w:bidi w:val="0"/>
        <w:spacing w:before="0" w:after="60" w:line="240" w:lineRule="auto"/>
        <w:ind w:left="380" w:right="0" w:hanging="380"/>
        <w:jc w:val="both"/>
      </w:pPr>
      <w:bookmarkStart w:id="246" w:name="bookmark246"/>
      <w:bookmarkEnd w:id="246"/>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5"/>
        </w:numPr>
        <w:shd w:val="clear" w:color="auto" w:fill="auto"/>
        <w:tabs>
          <w:tab w:pos="471" w:val="left"/>
        </w:tabs>
        <w:bidi w:val="0"/>
        <w:spacing w:before="0" w:after="6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033" w:left="1395" w:right="1383" w:bottom="1299" w:header="0" w:footer="3" w:gutter="0"/>
          <w:cols w:space="720"/>
          <w:noEndnote/>
          <w:rtlGutter w:val="0"/>
          <w:docGrid w:linePitch="360"/>
        </w:sectPr>
      </w:pPr>
      <w:bookmarkStart w:id="247" w:name="bookmark247"/>
      <w:bookmarkEnd w:id="247"/>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w:t>
      </w:r>
    </w:p>
    <w:p>
      <w:pPr>
        <w:pStyle w:val="Style10"/>
        <w:keepNext w:val="0"/>
        <w:keepLines w:val="0"/>
        <w:widowControl w:val="0"/>
        <w:shd w:val="clear" w:color="auto" w:fill="auto"/>
        <w:bidi w:val="0"/>
        <w:spacing w:before="0" w:after="140" w:line="295" w:lineRule="auto"/>
        <w:ind w:left="300" w:right="0" w:firstLine="7340"/>
        <w:jc w:val="both"/>
      </w:pPr>
      <w:r>
        <w:rPr>
          <w:color w:val="000000"/>
          <w:spacing w:val="0"/>
          <w:w w:val="100"/>
          <w:position w:val="0"/>
          <w:shd w:val="clear" w:color="auto" w:fill="auto"/>
          <w:lang w:val="cs-CZ" w:eastAsia="cs-CZ" w:bidi="cs-CZ"/>
        </w:rPr>
        <w:t>Smlouva o dílo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10"/>
        <w:keepNext w:val="0"/>
        <w:keepLines w:val="0"/>
        <w:widowControl w:val="0"/>
        <w:numPr>
          <w:ilvl w:val="0"/>
          <w:numId w:val="25"/>
        </w:numPr>
        <w:shd w:val="clear" w:color="auto" w:fill="auto"/>
        <w:tabs>
          <w:tab w:pos="531" w:val="left"/>
        </w:tabs>
        <w:bidi w:val="0"/>
        <w:spacing w:before="0" w:after="0" w:line="221" w:lineRule="auto"/>
        <w:ind w:left="0" w:right="0" w:firstLine="0"/>
        <w:jc w:val="both"/>
      </w:pPr>
      <w:bookmarkStart w:id="248" w:name="bookmark248"/>
      <w:bookmarkEnd w:id="248"/>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60" w:line="240" w:lineRule="auto"/>
        <w:ind w:left="300" w:right="0" w:firstLine="6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0"/>
        <w:keepNext w:val="0"/>
        <w:keepLines w:val="0"/>
        <w:widowControl w:val="0"/>
        <w:numPr>
          <w:ilvl w:val="0"/>
          <w:numId w:val="25"/>
        </w:numPr>
        <w:shd w:val="clear" w:color="auto" w:fill="auto"/>
        <w:tabs>
          <w:tab w:pos="531" w:val="left"/>
        </w:tabs>
        <w:bidi w:val="0"/>
        <w:spacing w:before="0" w:after="60" w:line="240" w:lineRule="auto"/>
        <w:ind w:left="300" w:right="0" w:hanging="300"/>
        <w:jc w:val="both"/>
      </w:pPr>
      <w:bookmarkStart w:id="249" w:name="bookmark249"/>
      <w:bookmarkEnd w:id="249"/>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5"/>
        </w:numPr>
        <w:shd w:val="clear" w:color="auto" w:fill="auto"/>
        <w:tabs>
          <w:tab w:pos="531" w:val="left"/>
        </w:tabs>
        <w:bidi w:val="0"/>
        <w:spacing w:before="0" w:after="60" w:line="240" w:lineRule="auto"/>
        <w:ind w:left="300" w:right="0" w:hanging="300"/>
        <w:jc w:val="both"/>
      </w:pPr>
      <w:bookmarkStart w:id="250" w:name="bookmark250"/>
      <w:bookmarkEnd w:id="250"/>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5"/>
        </w:numPr>
        <w:shd w:val="clear" w:color="auto" w:fill="auto"/>
        <w:tabs>
          <w:tab w:pos="531" w:val="left"/>
        </w:tabs>
        <w:bidi w:val="0"/>
        <w:spacing w:before="0" w:after="740" w:line="295" w:lineRule="auto"/>
        <w:ind w:left="300" w:right="0" w:hanging="300"/>
        <w:jc w:val="both"/>
      </w:pPr>
      <w:bookmarkStart w:id="251" w:name="bookmark251"/>
      <w:bookmarkEnd w:id="25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line="360" w:lineRule="auto"/>
        <w:ind w:left="0" w:right="0" w:firstLine="3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line="360" w:lineRule="auto"/>
        <w:ind w:left="0" w:right="0" w:firstLine="300"/>
        <w:jc w:val="both"/>
      </w:pPr>
      <w:r>
        <w:rPr>
          <w:color w:val="000000"/>
          <w:spacing w:val="0"/>
          <w:w w:val="100"/>
          <w:position w:val="0"/>
          <w:shd w:val="clear" w:color="auto" w:fill="auto"/>
          <w:lang w:val="cs-CZ" w:eastAsia="cs-CZ" w:bidi="cs-CZ"/>
        </w:rPr>
        <w:t>Priorita 2) Příloha č.1: Cenová nabídka ze dne 16.10.2025</w:t>
      </w:r>
    </w:p>
    <w:p>
      <w:pPr>
        <w:pStyle w:val="Style10"/>
        <w:keepNext w:val="0"/>
        <w:keepLines w:val="0"/>
        <w:widowControl w:val="0"/>
        <w:shd w:val="clear" w:color="auto" w:fill="auto"/>
        <w:bidi w:val="0"/>
        <w:spacing w:before="0" w:after="140" w:line="360" w:lineRule="auto"/>
        <w:ind w:left="300" w:right="0" w:firstLine="60"/>
        <w:jc w:val="both"/>
      </w:pPr>
      <w:r>
        <w:rPr>
          <w:color w:val="000000"/>
          <w:spacing w:val="0"/>
          <w:w w:val="100"/>
          <w:position w:val="0"/>
          <w:shd w:val="clear" w:color="auto" w:fill="auto"/>
          <w:lang w:val="cs-CZ" w:eastAsia="cs-CZ" w:bidi="cs-CZ"/>
        </w:rPr>
        <w:t>Priorita 3) Příloha č.2: Čestné prohlášení o společensky odpovědném plnění veřejné zakázky</w:t>
      </w:r>
    </w:p>
    <w:p>
      <w:pPr>
        <w:pStyle w:val="Style10"/>
        <w:keepNext w:val="0"/>
        <w:keepLines w:val="0"/>
        <w:widowControl w:val="0"/>
        <w:shd w:val="clear" w:color="auto" w:fill="auto"/>
        <w:bidi w:val="0"/>
        <w:spacing w:before="0" w:after="2580" w:line="360" w:lineRule="auto"/>
        <w:ind w:left="300" w:right="0" w:firstLine="60"/>
        <w:jc w:val="both"/>
      </w:pPr>
      <w:r>
        <w:rPr>
          <w:color w:val="000000"/>
          <w:spacing w:val="0"/>
          <w:w w:val="100"/>
          <w:position w:val="0"/>
          <w:shd w:val="clear" w:color="auto" w:fill="auto"/>
          <w:lang w:val="cs-CZ" w:eastAsia="cs-CZ" w:bidi="cs-CZ"/>
        </w:rPr>
        <w:t>Priorita 4) Příloha č.3: Čestné prohlášení k finančním sankcím</w:t>
      </w:r>
    </w:p>
    <w:p>
      <w:pPr>
        <w:pStyle w:val="Style10"/>
        <w:keepNext w:val="0"/>
        <w:keepLines w:val="0"/>
        <w:widowControl w:val="0"/>
        <w:shd w:val="clear" w:color="auto" w:fill="auto"/>
        <w:bidi w:val="0"/>
        <w:spacing w:before="0" w:after="0" w:line="240" w:lineRule="auto"/>
        <w:ind w:left="0" w:right="0" w:firstLine="300"/>
        <w:jc w:val="both"/>
      </w:pPr>
      <w:r>
        <mc:AlternateContent>
          <mc:Choice Requires="wps">
            <w:drawing>
              <wp:anchor distT="0" distB="337820" distL="114300" distR="114300" simplePos="0" relativeHeight="125829378" behindDoc="0" locked="0" layoutInCell="1" allowOverlap="1">
                <wp:simplePos x="0" y="0"/>
                <wp:positionH relativeFrom="page">
                  <wp:posOffset>4086860</wp:posOffset>
                </wp:positionH>
                <wp:positionV relativeFrom="paragraph">
                  <wp:posOffset>12700</wp:posOffset>
                </wp:positionV>
                <wp:extent cx="2706370" cy="387350"/>
                <wp:wrapSquare wrapText="bothSides"/>
                <wp:docPr id="11" name="Shape 11"/>
                <a:graphic xmlns:a="http://schemas.openxmlformats.org/drawingml/2006/main">
                  <a:graphicData uri="http://schemas.microsoft.com/office/word/2010/wordprocessingShape">
                    <wps:wsp>
                      <wps:cNvSpPr txBox="1"/>
                      <wps:spPr>
                        <a:xfrm>
                          <a:ext cx="270637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FINSTAV Vodohospodářská stavební s.r.o.</w:t>
                            </w:r>
                          </w:p>
                        </w:txbxContent>
                      </wps:txbx>
                      <wps:bodyPr lIns="0" tIns="0" rIns="0" bIns="0">
                        <a:noAutoFit/>
                      </wps:bodyPr>
                    </wps:wsp>
                  </a:graphicData>
                </a:graphic>
              </wp:anchor>
            </w:drawing>
          </mc:Choice>
          <mc:Fallback>
            <w:pict>
              <v:shape id="_x0000_s1037" type="#_x0000_t202" style="position:absolute;margin-left:321.80000000000001pt;margin-top:1.pt;width:213.09999999999999pt;height:30.5pt;z-index:-125829375;mso-wrap-distance-left:9.pt;mso-wrap-distance-right:9.pt;mso-wrap-distance-bottom:26.600000000000001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FINSTAV Vodohospodářská stavební s.r.o.</w:t>
                      </w:r>
                    </w:p>
                  </w:txbxContent>
                </v:textbox>
                <w10:wrap type="square" anchorx="page"/>
              </v:shape>
            </w:pict>
          </mc:Fallback>
        </mc:AlternateContent>
      </w:r>
      <w:r>
        <mc:AlternateContent>
          <mc:Choice Requires="wps">
            <w:drawing>
              <wp:anchor distT="481330" distB="0" distL="114300" distR="1437005" simplePos="0" relativeHeight="125829380" behindDoc="0" locked="0" layoutInCell="1" allowOverlap="1">
                <wp:simplePos x="0" y="0"/>
                <wp:positionH relativeFrom="page">
                  <wp:posOffset>4086860</wp:posOffset>
                </wp:positionH>
                <wp:positionV relativeFrom="paragraph">
                  <wp:posOffset>494030</wp:posOffset>
                </wp:positionV>
                <wp:extent cx="1383665" cy="243840"/>
                <wp:wrapSquare wrapText="bothSides"/>
                <wp:docPr id="13" name="Shape 13"/>
                <a:graphic xmlns:a="http://schemas.openxmlformats.org/drawingml/2006/main">
                  <a:graphicData uri="http://schemas.microsoft.com/office/word/2010/wordprocessingShape">
                    <wps:wsp>
                      <wps:cNvSpPr txBox="1"/>
                      <wps:spPr>
                        <a:xfrm>
                          <a:ext cx="1383665" cy="2438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txbxContent>
                      </wps:txbx>
                      <wps:bodyPr wrap="none" lIns="0" tIns="0" rIns="0" bIns="0">
                        <a:noAutoFit/>
                      </wps:bodyPr>
                    </wps:wsp>
                  </a:graphicData>
                </a:graphic>
              </wp:anchor>
            </w:drawing>
          </mc:Choice>
          <mc:Fallback>
            <w:pict>
              <v:shape id="_x0000_s1039" type="#_x0000_t202" style="position:absolute;margin-left:321.80000000000001pt;margin-top:38.899999999999999pt;width:108.95pt;height:19.199999999999999pt;z-index:-125829373;mso-wrap-distance-left:9.pt;mso-wrap-distance-top:37.899999999999999pt;mso-wrap-distance-right:113.15000000000001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txbxContent>
                </v:textbox>
                <w10:wrap type="square" anchorx="page"/>
              </v:shape>
            </w:pict>
          </mc:Fallback>
        </mc:AlternateContent>
      </w: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180" w:line="502" w:lineRule="auto"/>
        <w:ind w:left="300" w:right="0" w:firstLine="60"/>
        <w:jc w:val="both"/>
      </w:pPr>
      <w:r>
        <w:rPr>
          <w:color w:val="000000"/>
          <w:spacing w:val="0"/>
          <w:w w:val="100"/>
          <w:position w:val="0"/>
          <w:shd w:val="clear" w:color="auto" w:fill="auto"/>
          <w:lang w:val="cs-CZ" w:eastAsia="cs-CZ" w:bidi="cs-CZ"/>
        </w:rPr>
        <w:t>Povodí Ohře, státní podnik elektronicky podepsal</w:t>
      </w:r>
    </w:p>
    <w:sectPr>
      <w:headerReference w:type="default" r:id="rId11"/>
      <w:footerReference w:type="default" r:id="rId12"/>
      <w:footnotePr>
        <w:pos w:val="pageBottom"/>
        <w:numFmt w:val="decimal"/>
        <w:numRestart w:val="continuous"/>
      </w:footnotePr>
      <w:pgSz w:w="11909" w:h="16838"/>
      <w:pgMar w:top="657" w:left="1396" w:right="1382" w:bottom="1286" w:header="22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5692775</wp:posOffset>
              </wp:positionH>
              <wp:positionV relativeFrom="page">
                <wp:posOffset>9885045</wp:posOffset>
              </wp:positionV>
              <wp:extent cx="972185" cy="204470"/>
              <wp:wrapNone/>
              <wp:docPr id="3" name="Shape 3"/>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8.25pt;margin-top:778.35000000000002pt;width:76.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5693410</wp:posOffset>
              </wp:positionH>
              <wp:positionV relativeFrom="page">
                <wp:posOffset>9932670</wp:posOffset>
              </wp:positionV>
              <wp:extent cx="972185" cy="204470"/>
              <wp:wrapNone/>
              <wp:docPr id="5" name="Shape 5"/>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8.30000000000001pt;margin-top:782.10000000000002pt;width:76.549999999999997pt;height:16.1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5692775</wp:posOffset>
              </wp:positionH>
              <wp:positionV relativeFrom="page">
                <wp:posOffset>9885045</wp:posOffset>
              </wp:positionV>
              <wp:extent cx="972185" cy="204470"/>
              <wp:wrapNone/>
              <wp:docPr id="9" name="Shape 9"/>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8.25pt;margin-top:778.35000000000002pt;width:76.549999999999997pt;height:16.1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5693410</wp:posOffset>
              </wp:positionH>
              <wp:positionV relativeFrom="page">
                <wp:posOffset>9932670</wp:posOffset>
              </wp:positionV>
              <wp:extent cx="972185" cy="204470"/>
              <wp:wrapNone/>
              <wp:docPr id="15" name="Shape 15"/>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41" type="#_x0000_t202" style="position:absolute;margin-left:448.30000000000001pt;margin-top:782.10000000000002pt;width:76.549999999999997pt;height:16.1000000000000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5742305</wp:posOffset>
              </wp:positionH>
              <wp:positionV relativeFrom="page">
                <wp:posOffset>405765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5000000000003pt;margin-top:31.949999999999999pt;width:72.5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5742305</wp:posOffset>
              </wp:positionH>
              <wp:positionV relativeFrom="page">
                <wp:posOffset>405765</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15000000000003pt;margin-top:31.949999999999999pt;width:72.5pt;height:15.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ind w:left="1020" w:hanging="5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